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aps/>
        </w:rPr>
        <w:id w:val="30091833"/>
        <w:lock w:val="contentLocked"/>
        <w:placeholder>
          <w:docPart w:val="AA9461329F6C29478D80F792C32886AA"/>
        </w:placeholder>
        <w:group/>
      </w:sdtPr>
      <w:sdtContent>
        <w:p w14:paraId="39036760" w14:textId="77777777" w:rsidR="00673CC9" w:rsidRPr="0008176F" w:rsidRDefault="00673CC9" w:rsidP="00566B2E">
          <w:pPr>
            <w:pStyle w:val="NoSpacing"/>
            <w:jc w:val="center"/>
            <w:rPr>
              <w:caps/>
            </w:rPr>
          </w:pPr>
          <w:r w:rsidRPr="0008176F">
            <w:rPr>
              <w:caps/>
            </w:rPr>
            <w:t>University of Oklahoma</w:t>
          </w:r>
        </w:p>
        <w:p w14:paraId="52A19295" w14:textId="77777777" w:rsidR="00673CC9" w:rsidRPr="0008176F" w:rsidRDefault="00673CC9" w:rsidP="00566B2E">
          <w:pPr>
            <w:pStyle w:val="NoSpacing"/>
            <w:jc w:val="center"/>
            <w:rPr>
              <w:caps/>
            </w:rPr>
          </w:pPr>
        </w:p>
        <w:p w14:paraId="1B814DA0" w14:textId="77777777" w:rsidR="00673CC9" w:rsidRPr="0008176F" w:rsidRDefault="00673CC9" w:rsidP="00566B2E">
          <w:pPr>
            <w:pStyle w:val="NoSpacing"/>
            <w:jc w:val="center"/>
            <w:rPr>
              <w:caps/>
            </w:rPr>
          </w:pPr>
          <w:r w:rsidRPr="0008176F">
            <w:rPr>
              <w:caps/>
            </w:rPr>
            <w:t>Graduate College</w:t>
          </w:r>
        </w:p>
      </w:sdtContent>
    </w:sdt>
    <w:p w14:paraId="4A8BB164" w14:textId="77777777" w:rsidR="00673CC9" w:rsidRPr="0008176F" w:rsidRDefault="00673CC9" w:rsidP="00566B2E">
      <w:pPr>
        <w:pStyle w:val="NoSpacing"/>
        <w:jc w:val="center"/>
        <w:rPr>
          <w:caps/>
        </w:rPr>
      </w:pPr>
    </w:p>
    <w:p w14:paraId="6C2120FE" w14:textId="77777777" w:rsidR="00673CC9" w:rsidRPr="0008176F" w:rsidRDefault="00673CC9" w:rsidP="00566B2E">
      <w:pPr>
        <w:pStyle w:val="NoSpacing"/>
        <w:jc w:val="center"/>
        <w:rPr>
          <w:caps/>
        </w:rPr>
      </w:pPr>
    </w:p>
    <w:p w14:paraId="4DFB9E0B" w14:textId="77777777" w:rsidR="00673CC9" w:rsidRPr="0008176F" w:rsidRDefault="00673CC9" w:rsidP="00566B2E">
      <w:pPr>
        <w:pStyle w:val="NoSpacing"/>
        <w:jc w:val="center"/>
        <w:rPr>
          <w:caps/>
        </w:rPr>
      </w:pPr>
    </w:p>
    <w:p w14:paraId="48EAE9E2" w14:textId="77777777" w:rsidR="00673CC9" w:rsidRPr="0008176F" w:rsidRDefault="00673CC9" w:rsidP="00566B2E">
      <w:pPr>
        <w:pStyle w:val="NoSpacing"/>
        <w:jc w:val="center"/>
        <w:rPr>
          <w:caps/>
        </w:rPr>
      </w:pPr>
    </w:p>
    <w:p w14:paraId="771B4D6D" w14:textId="77777777" w:rsidR="00673CC9" w:rsidRPr="0008176F" w:rsidRDefault="00673CC9" w:rsidP="00566B2E">
      <w:pPr>
        <w:pStyle w:val="NoSpacing"/>
        <w:jc w:val="center"/>
        <w:rPr>
          <w:caps/>
        </w:rPr>
      </w:pPr>
    </w:p>
    <w:p w14:paraId="6D7655FE" w14:textId="77777777" w:rsidR="00673CC9" w:rsidRPr="0008176F" w:rsidRDefault="00673CC9" w:rsidP="00566B2E">
      <w:pPr>
        <w:pStyle w:val="NoSpacing"/>
        <w:jc w:val="center"/>
        <w:rPr>
          <w:caps/>
        </w:rPr>
      </w:pPr>
    </w:p>
    <w:p w14:paraId="6FCDD3CD" w14:textId="77777777" w:rsidR="00673CC9" w:rsidRPr="0008176F" w:rsidRDefault="00673CC9" w:rsidP="00566B2E">
      <w:pPr>
        <w:pStyle w:val="NoSpacing"/>
        <w:jc w:val="center"/>
        <w:rPr>
          <w:caps/>
        </w:rPr>
      </w:pPr>
    </w:p>
    <w:sdt>
      <w:sdtPr>
        <w:rPr>
          <w:caps/>
        </w:rPr>
        <w:alias w:val="Click to enter dissertation title"/>
        <w:tag w:val="Click to enter dissertation title"/>
        <w:id w:val="30091832"/>
        <w:placeholder>
          <w:docPart w:val="AA9461329F6C29478D80F792C32886AA"/>
        </w:placeholder>
      </w:sdtPr>
      <w:sdtEndPr>
        <w:rPr>
          <w:rFonts w:ascii="Calibri" w:hAnsi="Calibri" w:cs="Calibri"/>
        </w:rPr>
      </w:sdtEndPr>
      <w:sdtContent>
        <w:p w14:paraId="46435A48" w14:textId="1B96301F" w:rsidR="00673CC9" w:rsidRPr="00167C54" w:rsidRDefault="00673CC9" w:rsidP="00566B2E">
          <w:pPr>
            <w:pStyle w:val="NoSpacing"/>
            <w:spacing w:line="480" w:lineRule="auto"/>
            <w:jc w:val="center"/>
            <w:rPr>
              <w:rFonts w:ascii="Calibri" w:hAnsi="Calibri" w:cs="Calibri"/>
              <w:caps/>
            </w:rPr>
          </w:pPr>
          <w:r w:rsidRPr="00167C54">
            <w:rPr>
              <w:rFonts w:ascii="Calibri" w:hAnsi="Calibri" w:cs="Calibri"/>
              <w:caps/>
            </w:rPr>
            <w:t>peptide aggregation induced immunogenic cell death</w:t>
          </w:r>
        </w:p>
      </w:sdtContent>
    </w:sdt>
    <w:p w14:paraId="20EB4AE8" w14:textId="77777777" w:rsidR="00673CC9" w:rsidRPr="0008176F" w:rsidRDefault="00673CC9" w:rsidP="00566B2E">
      <w:pPr>
        <w:pStyle w:val="NoSpacing"/>
        <w:jc w:val="center"/>
        <w:rPr>
          <w:caps/>
        </w:rPr>
      </w:pPr>
    </w:p>
    <w:p w14:paraId="7DA57C72" w14:textId="77777777" w:rsidR="00673CC9" w:rsidRPr="0008176F" w:rsidRDefault="00673CC9" w:rsidP="00566B2E">
      <w:pPr>
        <w:pStyle w:val="NoSpacing"/>
        <w:jc w:val="center"/>
        <w:rPr>
          <w:caps/>
        </w:rPr>
      </w:pPr>
    </w:p>
    <w:p w14:paraId="50A41D45" w14:textId="77777777" w:rsidR="00673CC9" w:rsidRPr="0008176F" w:rsidRDefault="00673CC9" w:rsidP="00566B2E">
      <w:pPr>
        <w:pStyle w:val="NoSpacing"/>
        <w:jc w:val="center"/>
        <w:rPr>
          <w:caps/>
        </w:rPr>
      </w:pPr>
    </w:p>
    <w:p w14:paraId="4303C3A5" w14:textId="77777777" w:rsidR="00673CC9" w:rsidRPr="0008176F" w:rsidRDefault="00673CC9" w:rsidP="00566B2E">
      <w:pPr>
        <w:pStyle w:val="NoSpacing"/>
        <w:jc w:val="center"/>
        <w:rPr>
          <w:caps/>
        </w:rPr>
      </w:pPr>
    </w:p>
    <w:p w14:paraId="02757A25" w14:textId="77777777" w:rsidR="00673CC9" w:rsidRPr="0008176F" w:rsidRDefault="00673CC9" w:rsidP="00566B2E">
      <w:pPr>
        <w:pStyle w:val="NoSpacing"/>
        <w:jc w:val="center"/>
        <w:rPr>
          <w:caps/>
        </w:rPr>
      </w:pPr>
    </w:p>
    <w:p w14:paraId="6FDB91D0" w14:textId="77777777" w:rsidR="00673CC9" w:rsidRPr="0008176F" w:rsidRDefault="00673CC9" w:rsidP="00566B2E">
      <w:pPr>
        <w:pStyle w:val="NoSpacing"/>
        <w:jc w:val="center"/>
        <w:rPr>
          <w:caps/>
        </w:rPr>
      </w:pPr>
    </w:p>
    <w:p w14:paraId="5575D77E" w14:textId="77777777" w:rsidR="00673CC9" w:rsidRPr="0008176F" w:rsidRDefault="00000000" w:rsidP="00566B2E">
      <w:pPr>
        <w:pStyle w:val="NoSpacing"/>
        <w:jc w:val="center"/>
        <w:rPr>
          <w:caps/>
        </w:rPr>
      </w:pPr>
      <w:sdt>
        <w:sdtPr>
          <w:rPr>
            <w:caps/>
          </w:rPr>
          <w:id w:val="11707817"/>
          <w:lock w:val="contentLocked"/>
          <w:placeholder>
            <w:docPart w:val="AA9461329F6C29478D80F792C32886AA"/>
          </w:placeholder>
          <w:group/>
        </w:sdtPr>
        <w:sdtContent>
          <w:r w:rsidR="00673CC9" w:rsidRPr="0008176F">
            <w:rPr>
              <w:caps/>
            </w:rPr>
            <w:t>A</w:t>
          </w:r>
        </w:sdtContent>
      </w:sdt>
      <w:r w:rsidR="00673CC9"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8C82F46DAAE31D42B38DF16828286AC0"/>
          </w:placeholder>
          <w:dropDownList>
            <w:listItem w:displayText="[Dissertation/Document]" w:value="[Dissertation/Document]"/>
            <w:listItem w:displayText="Dissertation" w:value="Dissertation"/>
            <w:listItem w:displayText="Document" w:value="Document"/>
          </w:dropDownList>
        </w:sdtPr>
        <w:sdtContent>
          <w:r w:rsidR="00673CC9">
            <w:rPr>
              <w:caps/>
            </w:rPr>
            <w:t>Dissertation</w:t>
          </w:r>
        </w:sdtContent>
      </w:sdt>
    </w:p>
    <w:p w14:paraId="24D8E227" w14:textId="77777777" w:rsidR="00673CC9" w:rsidRPr="0008176F" w:rsidRDefault="00673CC9" w:rsidP="00566B2E">
      <w:pPr>
        <w:pStyle w:val="NoSpacing"/>
        <w:jc w:val="center"/>
        <w:rPr>
          <w:caps/>
        </w:rPr>
      </w:pPr>
    </w:p>
    <w:sdt>
      <w:sdtPr>
        <w:rPr>
          <w:caps/>
        </w:rPr>
        <w:id w:val="11707818"/>
        <w:lock w:val="contentLocked"/>
        <w:placeholder>
          <w:docPart w:val="AA9461329F6C29478D80F792C32886AA"/>
        </w:placeholder>
        <w:group/>
      </w:sdtPr>
      <w:sdtEndPr>
        <w:rPr>
          <w:caps w:val="0"/>
        </w:rPr>
      </w:sdtEndPr>
      <w:sdtContent>
        <w:p w14:paraId="2F68C2CB" w14:textId="77777777" w:rsidR="00673CC9" w:rsidRPr="0008176F" w:rsidRDefault="00673CC9" w:rsidP="00566B2E">
          <w:pPr>
            <w:pStyle w:val="NoSpacing"/>
            <w:jc w:val="center"/>
            <w:rPr>
              <w:caps/>
            </w:rPr>
          </w:pPr>
          <w:r w:rsidRPr="0008176F">
            <w:rPr>
              <w:caps/>
            </w:rPr>
            <w:t>submitted to the Graduate Faculty</w:t>
          </w:r>
        </w:p>
        <w:p w14:paraId="6105AA4E" w14:textId="77777777" w:rsidR="00673CC9" w:rsidRDefault="00673CC9" w:rsidP="00566B2E">
          <w:pPr>
            <w:pStyle w:val="NoSpacing"/>
            <w:jc w:val="center"/>
          </w:pPr>
        </w:p>
        <w:p w14:paraId="316353E5" w14:textId="77777777" w:rsidR="00673CC9" w:rsidRDefault="00673CC9" w:rsidP="00566B2E">
          <w:pPr>
            <w:pStyle w:val="NoSpacing"/>
            <w:jc w:val="center"/>
          </w:pPr>
          <w:r>
            <w:t>in partial fulfillment of the requirements for the</w:t>
          </w:r>
        </w:p>
        <w:p w14:paraId="4A963EB3" w14:textId="77777777" w:rsidR="00673CC9" w:rsidRDefault="00673CC9" w:rsidP="00566B2E">
          <w:pPr>
            <w:pStyle w:val="NoSpacing"/>
            <w:jc w:val="center"/>
          </w:pPr>
        </w:p>
        <w:p w14:paraId="00F02FF3" w14:textId="77777777" w:rsidR="00673CC9" w:rsidRDefault="00673CC9" w:rsidP="00566B2E">
          <w:pPr>
            <w:pStyle w:val="NoSpacing"/>
            <w:jc w:val="center"/>
          </w:pPr>
          <w:r>
            <w:t>Degree of</w:t>
          </w:r>
        </w:p>
      </w:sdtContent>
    </w:sdt>
    <w:p w14:paraId="196C255E" w14:textId="77777777" w:rsidR="00673CC9" w:rsidRDefault="00673CC9" w:rsidP="00566B2E">
      <w:pPr>
        <w:pStyle w:val="NoSpacing"/>
        <w:jc w:val="center"/>
      </w:pPr>
    </w:p>
    <w:sdt>
      <w:sdtPr>
        <w:rPr>
          <w:caps/>
        </w:rPr>
        <w:alias w:val="Select the exact name of your degree"/>
        <w:tag w:val="Exact name of your degree in ALL CAPS"/>
        <w:id w:val="8173860"/>
        <w:placeholder>
          <w:docPart w:val="E3E0FEA7C1A5324E84D1A3772B62C28F"/>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64E24171" w14:textId="77777777" w:rsidR="00673CC9" w:rsidRDefault="00673CC9" w:rsidP="00566B2E">
          <w:pPr>
            <w:pStyle w:val="NoSpacing"/>
            <w:spacing w:line="480" w:lineRule="auto"/>
            <w:jc w:val="center"/>
            <w:rPr>
              <w:caps/>
            </w:rPr>
          </w:pPr>
          <w:r>
            <w:rPr>
              <w:caps/>
            </w:rPr>
            <w:t>Doctor of Philosophy</w:t>
          </w:r>
        </w:p>
      </w:sdtContent>
    </w:sdt>
    <w:p w14:paraId="56F57D87" w14:textId="77777777" w:rsidR="00673CC9" w:rsidRDefault="00673CC9" w:rsidP="00566B2E">
      <w:pPr>
        <w:pStyle w:val="NoSpacing"/>
        <w:jc w:val="center"/>
      </w:pPr>
    </w:p>
    <w:p w14:paraId="22DD94BD" w14:textId="77777777" w:rsidR="00673CC9" w:rsidRDefault="00673CC9" w:rsidP="00566B2E">
      <w:pPr>
        <w:pStyle w:val="NoSpacing"/>
        <w:jc w:val="center"/>
      </w:pPr>
    </w:p>
    <w:p w14:paraId="299FD155" w14:textId="77777777" w:rsidR="00673CC9" w:rsidRDefault="00673CC9" w:rsidP="00566B2E">
      <w:pPr>
        <w:pStyle w:val="NoSpacing"/>
        <w:jc w:val="center"/>
      </w:pPr>
    </w:p>
    <w:p w14:paraId="732E65F8" w14:textId="77777777" w:rsidR="00673CC9" w:rsidRDefault="00673CC9" w:rsidP="00566B2E">
      <w:pPr>
        <w:pStyle w:val="NoSpacing"/>
        <w:jc w:val="center"/>
      </w:pPr>
    </w:p>
    <w:p w14:paraId="560ACEDB" w14:textId="77777777" w:rsidR="00673CC9" w:rsidRDefault="00673CC9" w:rsidP="00566B2E">
      <w:pPr>
        <w:pStyle w:val="NoSpacing"/>
        <w:jc w:val="center"/>
      </w:pPr>
    </w:p>
    <w:p w14:paraId="77AE99D2" w14:textId="77777777" w:rsidR="00673CC9" w:rsidRDefault="00673CC9" w:rsidP="00566B2E">
      <w:pPr>
        <w:pStyle w:val="NoSpacing"/>
        <w:jc w:val="center"/>
      </w:pPr>
    </w:p>
    <w:p w14:paraId="00500D92" w14:textId="77777777" w:rsidR="00673CC9" w:rsidRDefault="00673CC9" w:rsidP="00566B2E">
      <w:pPr>
        <w:pStyle w:val="NoSpacing"/>
        <w:jc w:val="center"/>
      </w:pPr>
    </w:p>
    <w:p w14:paraId="1A254C52" w14:textId="77777777" w:rsidR="00673CC9" w:rsidRDefault="00673CC9" w:rsidP="00566B2E">
      <w:pPr>
        <w:pStyle w:val="NoSpacing"/>
        <w:jc w:val="center"/>
      </w:pPr>
    </w:p>
    <w:p w14:paraId="23ED94B3" w14:textId="77777777" w:rsidR="00673CC9" w:rsidRDefault="00673CC9" w:rsidP="00566B2E">
      <w:pPr>
        <w:pStyle w:val="NoSpacing"/>
        <w:jc w:val="center"/>
      </w:pPr>
    </w:p>
    <w:p w14:paraId="6C6E4DA1" w14:textId="77777777" w:rsidR="00673CC9" w:rsidRDefault="00673CC9" w:rsidP="00566B2E">
      <w:pPr>
        <w:pStyle w:val="NoSpacing"/>
        <w:jc w:val="center"/>
      </w:pPr>
      <w:r>
        <w:t>By</w:t>
      </w:r>
    </w:p>
    <w:p w14:paraId="5EA50B27" w14:textId="77777777" w:rsidR="00673CC9" w:rsidRDefault="00673CC9" w:rsidP="00566B2E">
      <w:pPr>
        <w:pStyle w:val="NoSpacing"/>
        <w:jc w:val="center"/>
      </w:pPr>
    </w:p>
    <w:sdt>
      <w:sdtPr>
        <w:rPr>
          <w:caps/>
        </w:rPr>
        <w:alias w:val="Click to enter your name (must match University records)"/>
        <w:tag w:val="Click to enter your name (must match University records)"/>
        <w:id w:val="24310776"/>
        <w:placeholder>
          <w:docPart w:val="ADE0B5EB9F9B6B438C08BAF74CC17D46"/>
        </w:placeholder>
      </w:sdtPr>
      <w:sdtContent>
        <w:p w14:paraId="7CA9C622" w14:textId="76393803" w:rsidR="00673CC9" w:rsidRDefault="00673CC9" w:rsidP="00566B2E">
          <w:pPr>
            <w:pStyle w:val="NoSpacing"/>
            <w:jc w:val="center"/>
            <w:rPr>
              <w:caps/>
            </w:rPr>
          </w:pPr>
          <w:r>
            <w:rPr>
              <w:caps/>
            </w:rPr>
            <w:t>gokhan gunay</w:t>
          </w:r>
        </w:p>
      </w:sdtContent>
    </w:sdt>
    <w:sdt>
      <w:sdtPr>
        <w:id w:val="30091838"/>
        <w:lock w:val="contentLocked"/>
        <w:placeholder>
          <w:docPart w:val="AA9461329F6C29478D80F792C32886AA"/>
        </w:placeholder>
        <w:group/>
      </w:sdtPr>
      <w:sdtContent>
        <w:p w14:paraId="182306EE" w14:textId="77777777" w:rsidR="00673CC9" w:rsidRDefault="00673CC9" w:rsidP="00566B2E">
          <w:pPr>
            <w:pStyle w:val="NoSpacing"/>
            <w:jc w:val="center"/>
          </w:pPr>
          <w:r>
            <w:t xml:space="preserve"> Norman, Oklahoma</w:t>
          </w:r>
        </w:p>
      </w:sdtContent>
    </w:sdt>
    <w:sdt>
      <w:sdtPr>
        <w:alias w:val="Click to enter the year you are depositing the thesis"/>
        <w:tag w:val="Click to enter the year you are depositing the thesis"/>
        <w:id w:val="30091842"/>
        <w:placeholder>
          <w:docPart w:val="AA9461329F6C29478D80F792C32886AA"/>
        </w:placeholder>
      </w:sdtPr>
      <w:sdtContent>
        <w:p w14:paraId="12CDA69D" w14:textId="66C5BE10" w:rsidR="00673CC9" w:rsidRDefault="00673CC9" w:rsidP="00566B2E">
          <w:pPr>
            <w:pStyle w:val="NoSpacing"/>
            <w:jc w:val="center"/>
          </w:pPr>
          <w:r>
            <w:t>2022</w:t>
          </w:r>
        </w:p>
      </w:sdtContent>
    </w:sdt>
    <w:p w14:paraId="767D99D1" w14:textId="373A1BCC" w:rsidR="00673CC9" w:rsidRDefault="004064FE" w:rsidP="00566B2E">
      <w:pPr>
        <w:pStyle w:val="NoSpacing"/>
        <w:jc w:val="center"/>
      </w:pPr>
      <w:r>
        <w:rPr>
          <w:noProof/>
        </w:rPr>
        <mc:AlternateContent>
          <mc:Choice Requires="wps">
            <w:drawing>
              <wp:anchor distT="0" distB="0" distL="114300" distR="114300" simplePos="0" relativeHeight="251659264" behindDoc="0" locked="0" layoutInCell="1" allowOverlap="1" wp14:anchorId="4B492AEA" wp14:editId="66C598EC">
                <wp:simplePos x="0" y="0"/>
                <wp:positionH relativeFrom="column">
                  <wp:posOffset>5743254</wp:posOffset>
                </wp:positionH>
                <wp:positionV relativeFrom="paragraph">
                  <wp:posOffset>693327</wp:posOffset>
                </wp:positionV>
                <wp:extent cx="277402" cy="267128"/>
                <wp:effectExtent l="0" t="0" r="15240" b="12700"/>
                <wp:wrapNone/>
                <wp:docPr id="38" name="Rectangle 38"/>
                <wp:cNvGraphicFramePr/>
                <a:graphic xmlns:a="http://schemas.openxmlformats.org/drawingml/2006/main">
                  <a:graphicData uri="http://schemas.microsoft.com/office/word/2010/wordprocessingShape">
                    <wps:wsp>
                      <wps:cNvSpPr/>
                      <wps:spPr>
                        <a:xfrm>
                          <a:off x="0" y="0"/>
                          <a:ext cx="277402" cy="26712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C54D2F" id="Rectangle 38" o:spid="_x0000_s1026" style="position:absolute;margin-left:452.2pt;margin-top:54.6pt;width:21.85pt;height:2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52heeAIAAIUFAAAOAAAAZHJzL2Uyb0RvYy54bWysVN1PGzEMf5+0/yHK+7gPFcoqrqgCMU1C&#13;&#10;gICJ5zSX9CLl4ixJe+3++jm5jzKG9oDWh9Q52z/bv9i+uNy3muyE8wpMRYuTnBJhONTKbCr64/nm&#13;&#10;yzklPjBTMw1GVPQgPL1cfv500dmFKKEBXQtHEMT4RWcr2oRgF1nmeSNa5k/ACoNKCa5lAa9uk9WO&#13;&#10;dYje6qzM87OsA1dbB1x4j1+veyVdJnwpBQ/3UnoRiK4o5hbS6dK5jme2vGCLjWO2UXxIg30gi5Yp&#13;&#10;g0EnqGsWGNk69RdUq7gDDzKccGgzkFJxkWrAaor8TTVPDbMi1YLkeDvR5P8fLL/bPdkHhzR01i88&#13;&#10;irGKvXRt/Mf8yD6RdZjIEvtAOH4s5/NZXlLCUVWezYvyPJKZHZ2t8+GbgJZEoaIO3yJRxHa3PvSm&#13;&#10;o0mM5UGr+kZpnS7x/cWVdmTH8OXWm2IA/8NKmw85Yo7RMztWnKRw0CLiafMoJFF1rDElnJrxmAzj&#13;&#10;XJhQ9KqG1aLP8TTH35jlmH4iJAFGZInVTdgDwGjZg4zYPT2DfXQVqZcn5/xfifXOk0eKDCZMzq0y&#13;&#10;4N4D0FjVELm3H0nqqYksraE+PDjioJ8kb/mNwue9ZT48MIejg0OG6yDc4yE1dBWFQaKkAffrve/R&#13;&#10;HjsatZR0OIoV9T+3zAlK9HeDvf61mM3i7KbL7HRe4sW91qxfa8y2vQLsmQIXj+VJjPZBj6J00L7g&#13;&#10;1ljFqKhihmPsivLgxstV6FcE7h0uVqtkhvNqWbg1T5ZH8MhqbN/n/QtzdujxgMNxB+PYssWbVu9t&#13;&#10;o6eB1TaAVGkOjrwOfOOsp8YZ9lJcJq/vyeq4PZe/AQAA//8DAFBLAwQUAAYACAAAACEA41NlL+QA&#13;&#10;AAAQAQAADwAAAGRycy9kb3ducmV2LnhtbExPTU+EMBC9m/gfmjHx5rYg6sJSNsaPGBMPumuix1na&#13;&#10;ApG2hBYW/73jSS+TzLw376PcLrZnsx5D552EZCWAaVd71blGwvv+8WINLER0CnvvtIRvHWBbnZ6U&#13;&#10;WCh/dG963sWGkYgLBUpoYxwKzkPdaoth5QftCDN+tBhpHRuuRjySuO15KsQ1t9g5cmhx0Hetrr92&#13;&#10;k5XwafBp//AcXrhJZ5N3r9OHuZmkPD9b7jc0bjfAol7i3wf8dqD8UFGwg5+cCqyXkIssIyoBIk+B&#13;&#10;ESPP1gmwA12ukkvgVcn/F6l+AAAA//8DAFBLAQItABQABgAIAAAAIQC2gziS/gAAAOEBAAATAAAA&#13;&#10;AAAAAAAAAAAAAAAAAABbQ29udGVudF9UeXBlc10ueG1sUEsBAi0AFAAGAAgAAAAhADj9If/WAAAA&#13;&#10;lAEAAAsAAAAAAAAAAAAAAAAALwEAAF9yZWxzLy5yZWxzUEsBAi0AFAAGAAgAAAAhAFfnaF54AgAA&#13;&#10;hQUAAA4AAAAAAAAAAAAAAAAALgIAAGRycy9lMm9Eb2MueG1sUEsBAi0AFAAGAAgAAAAhAONTZS/k&#13;&#10;AAAAEAEAAA8AAAAAAAAAAAAAAAAA0gQAAGRycy9kb3ducmV2LnhtbFBLBQYAAAAABAAEAPMAAADj&#13;&#10;BQAAAAA=&#13;&#10;" fillcolor="white [3212]" strokecolor="white [3212]" strokeweight="1pt"/>
            </w:pict>
          </mc:Fallback>
        </mc:AlternateContent>
      </w:r>
      <w:r w:rsidR="00673CC9">
        <w:br w:type="page"/>
      </w:r>
    </w:p>
    <w:p w14:paraId="4B82DD63" w14:textId="77777777" w:rsidR="00673CC9" w:rsidRDefault="00673CC9" w:rsidP="00566B2E">
      <w:pPr>
        <w:pStyle w:val="NoSpacing"/>
        <w:jc w:val="center"/>
      </w:pPr>
    </w:p>
    <w:p w14:paraId="7673FF8B" w14:textId="77777777" w:rsidR="00673CC9" w:rsidRDefault="00673CC9" w:rsidP="00566B2E">
      <w:pPr>
        <w:pStyle w:val="NoSpacing"/>
        <w:jc w:val="center"/>
      </w:pPr>
    </w:p>
    <w:p w14:paraId="5B1F7CDE" w14:textId="77777777" w:rsidR="00673CC9" w:rsidRDefault="00673CC9" w:rsidP="00566B2E">
      <w:pPr>
        <w:pStyle w:val="NoSpacing"/>
        <w:jc w:val="center"/>
      </w:pPr>
    </w:p>
    <w:p w14:paraId="620636C6" w14:textId="77777777" w:rsidR="00673CC9" w:rsidRDefault="00673CC9" w:rsidP="00566B2E">
      <w:pPr>
        <w:pStyle w:val="NoSpacing"/>
        <w:jc w:val="center"/>
      </w:pPr>
    </w:p>
    <w:p w14:paraId="237039E0" w14:textId="77777777" w:rsidR="00673CC9" w:rsidRDefault="00673CC9" w:rsidP="00566B2E">
      <w:pPr>
        <w:pStyle w:val="NoSpacing"/>
        <w:jc w:val="center"/>
      </w:pPr>
    </w:p>
    <w:sdt>
      <w:sdtPr>
        <w:rPr>
          <w:caps/>
        </w:rPr>
        <w:alias w:val="Click to enter dissertation title"/>
        <w:tag w:val="Click to enter dissertation title"/>
        <w:id w:val="30091843"/>
        <w:placeholder>
          <w:docPart w:val="AA9461329F6C29478D80F792C32886AA"/>
        </w:placeholder>
      </w:sdtPr>
      <w:sdtContent>
        <w:p w14:paraId="23690817" w14:textId="5BE1EF4D" w:rsidR="00673CC9" w:rsidRPr="00730F0A" w:rsidRDefault="00EB58D3" w:rsidP="00566B2E">
          <w:pPr>
            <w:pStyle w:val="NoSpacing"/>
            <w:jc w:val="center"/>
            <w:rPr>
              <w:caps/>
            </w:rPr>
          </w:pPr>
          <w:r>
            <w:rPr>
              <w:caps/>
            </w:rPr>
            <w:t>peptide aggregation induced immunogenic cell death</w:t>
          </w:r>
        </w:p>
      </w:sdtContent>
    </w:sdt>
    <w:p w14:paraId="0F68194C" w14:textId="77777777" w:rsidR="00673CC9" w:rsidRPr="00730F0A" w:rsidRDefault="00673CC9" w:rsidP="00566B2E">
      <w:pPr>
        <w:pStyle w:val="NoSpacing"/>
        <w:jc w:val="center"/>
        <w:rPr>
          <w:caps/>
        </w:rPr>
      </w:pPr>
    </w:p>
    <w:p w14:paraId="279F4244" w14:textId="77777777" w:rsidR="00673CC9" w:rsidRPr="00730F0A" w:rsidRDefault="00673CC9" w:rsidP="00566B2E">
      <w:pPr>
        <w:pStyle w:val="NoSpacing"/>
        <w:jc w:val="center"/>
        <w:rPr>
          <w:caps/>
        </w:rPr>
      </w:pPr>
    </w:p>
    <w:p w14:paraId="23BDF363" w14:textId="77777777" w:rsidR="00673CC9" w:rsidRPr="00730F0A" w:rsidRDefault="00000000" w:rsidP="00566B2E">
      <w:pPr>
        <w:pStyle w:val="NoSpacing"/>
        <w:jc w:val="center"/>
        <w:rPr>
          <w:caps/>
        </w:rPr>
      </w:pPr>
      <w:sdt>
        <w:sdtPr>
          <w:rPr>
            <w:caps/>
          </w:rPr>
          <w:id w:val="11707828"/>
          <w:lock w:val="contentLocked"/>
          <w:placeholder>
            <w:docPart w:val="AA9461329F6C29478D80F792C32886AA"/>
          </w:placeholder>
          <w:group/>
        </w:sdtPr>
        <w:sdtContent>
          <w:r w:rsidR="00673CC9" w:rsidRPr="00730F0A">
            <w:rPr>
              <w:caps/>
            </w:rPr>
            <w:t>A</w:t>
          </w:r>
        </w:sdtContent>
      </w:sdt>
      <w:r w:rsidR="00673CC9"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8C82F46DAAE31D42B38DF16828286AC0"/>
          </w:placeholder>
          <w:dropDownList>
            <w:listItem w:displayText="[Dissertation/Document]" w:value="[Dissertation/Document]"/>
            <w:listItem w:displayText="Dissertation" w:value="Dissertation"/>
            <w:listItem w:displayText="Document" w:value="Document"/>
          </w:dropDownList>
        </w:sdtPr>
        <w:sdtContent>
          <w:r w:rsidR="00673CC9">
            <w:rPr>
              <w:caps/>
            </w:rPr>
            <w:t>Dissertation</w:t>
          </w:r>
        </w:sdtContent>
      </w:sdt>
      <w:sdt>
        <w:sdtPr>
          <w:rPr>
            <w:caps/>
          </w:rPr>
          <w:id w:val="11707829"/>
          <w:lock w:val="contentLocked"/>
          <w:placeholder>
            <w:docPart w:val="AA9461329F6C29478D80F792C32886AA"/>
          </w:placeholder>
          <w:group/>
        </w:sdtPr>
        <w:sdtContent>
          <w:r w:rsidR="00673CC9" w:rsidRPr="00730F0A">
            <w:rPr>
              <w:caps/>
            </w:rPr>
            <w:t xml:space="preserve"> approved for the</w:t>
          </w:r>
        </w:sdtContent>
      </w:sdt>
    </w:p>
    <w:sdt>
      <w:sdtPr>
        <w:rPr>
          <w:caps/>
        </w:rPr>
        <w:alias w:val="Select the exact name of your academic unit"/>
        <w:tag w:val="Exact name of your academic unit in ALL CAPS"/>
        <w:id w:val="8173889"/>
        <w:placeholder>
          <w:docPart w:val="82BFBC4B1398894FBA98C562341D633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14:paraId="492ED7C9" w14:textId="1B772F59" w:rsidR="00673CC9" w:rsidRDefault="00EB58D3" w:rsidP="00566B2E">
          <w:pPr>
            <w:pStyle w:val="NoSpacing"/>
            <w:jc w:val="center"/>
            <w:rPr>
              <w:caps/>
            </w:rPr>
          </w:pPr>
          <w:r>
            <w:rPr>
              <w:caps/>
            </w:rPr>
            <w:t>Stephenson School of Biomedical Engineering</w:t>
          </w:r>
        </w:p>
      </w:sdtContent>
    </w:sdt>
    <w:p w14:paraId="2519040D" w14:textId="77777777" w:rsidR="00673CC9" w:rsidRPr="00730F0A" w:rsidRDefault="00673CC9" w:rsidP="00566B2E">
      <w:pPr>
        <w:pStyle w:val="NoSpacing"/>
        <w:jc w:val="center"/>
        <w:rPr>
          <w:caps/>
        </w:rPr>
      </w:pPr>
    </w:p>
    <w:p w14:paraId="4BBD2BE2" w14:textId="77777777" w:rsidR="00673CC9" w:rsidRPr="00730F0A" w:rsidRDefault="00673CC9" w:rsidP="00566B2E">
      <w:pPr>
        <w:pStyle w:val="NoSpacing"/>
        <w:jc w:val="center"/>
        <w:rPr>
          <w:caps/>
        </w:rPr>
      </w:pPr>
    </w:p>
    <w:p w14:paraId="334949AE" w14:textId="77777777" w:rsidR="00673CC9" w:rsidRPr="00730F0A" w:rsidRDefault="00673CC9" w:rsidP="00566B2E">
      <w:pPr>
        <w:pStyle w:val="NoSpacing"/>
        <w:jc w:val="center"/>
        <w:rPr>
          <w:caps/>
        </w:rPr>
      </w:pPr>
    </w:p>
    <w:p w14:paraId="1D9C641E" w14:textId="77777777" w:rsidR="00673CC9" w:rsidRDefault="00673CC9" w:rsidP="00566B2E">
      <w:pPr>
        <w:pStyle w:val="NoSpacing"/>
        <w:jc w:val="center"/>
        <w:rPr>
          <w:caps/>
        </w:rPr>
      </w:pPr>
    </w:p>
    <w:p w14:paraId="13B98674" w14:textId="77777777" w:rsidR="00673CC9" w:rsidRPr="00730F0A" w:rsidRDefault="00673CC9" w:rsidP="00566B2E">
      <w:pPr>
        <w:pStyle w:val="NoSpacing"/>
        <w:jc w:val="center"/>
        <w:rPr>
          <w:caps/>
        </w:rPr>
      </w:pPr>
    </w:p>
    <w:p w14:paraId="4F67C26B" w14:textId="77777777" w:rsidR="00673CC9" w:rsidRPr="00730F0A" w:rsidRDefault="00673CC9" w:rsidP="00566B2E">
      <w:pPr>
        <w:pStyle w:val="NoSpacing"/>
        <w:jc w:val="center"/>
        <w:rPr>
          <w:caps/>
        </w:rPr>
      </w:pPr>
    </w:p>
    <w:p w14:paraId="5A9A5823" w14:textId="77777777" w:rsidR="00673CC9" w:rsidRPr="00730F0A" w:rsidRDefault="00673CC9" w:rsidP="00566B2E">
      <w:pPr>
        <w:pStyle w:val="NoSpacing"/>
        <w:jc w:val="center"/>
        <w:rPr>
          <w:caps/>
        </w:rPr>
      </w:pPr>
    </w:p>
    <w:p w14:paraId="6E342BAD" w14:textId="77777777" w:rsidR="00673CC9" w:rsidRPr="00730F0A" w:rsidRDefault="00673CC9" w:rsidP="00566B2E">
      <w:pPr>
        <w:pStyle w:val="NoSpacing"/>
        <w:jc w:val="center"/>
        <w:rPr>
          <w:caps/>
        </w:rPr>
      </w:pPr>
    </w:p>
    <w:p w14:paraId="5C721EC9" w14:textId="2512C3AE" w:rsidR="00673CC9" w:rsidRPr="00F274D7" w:rsidRDefault="00000000" w:rsidP="00F274D7">
      <w:pPr>
        <w:pStyle w:val="NoSpacing"/>
        <w:jc w:val="center"/>
        <w:rPr>
          <w:caps/>
        </w:rPr>
      </w:pPr>
      <w:sdt>
        <w:sdtPr>
          <w:rPr>
            <w:caps/>
            <w:color w:val="808080"/>
          </w:rPr>
          <w:id w:val="30091876"/>
          <w:lock w:val="contentLocked"/>
          <w:placeholder>
            <w:docPart w:val="AA9461329F6C29478D80F792C32886AA"/>
          </w:placeholder>
          <w:group/>
        </w:sdtPr>
        <w:sdtContent>
          <w:r w:rsidR="00673CC9" w:rsidRPr="00730F0A">
            <w:rPr>
              <w:caps/>
            </w:rPr>
            <w:t>By</w:t>
          </w:r>
        </w:sdtContent>
      </w:sdt>
      <w:r w:rsidR="00F274D7">
        <w:rPr>
          <w:caps/>
        </w:rPr>
        <w:t xml:space="preserve"> </w:t>
      </w:r>
      <w:r w:rsidR="00F274D7">
        <w:t>THE COMMITTEE CONSISTING OF</w:t>
      </w:r>
    </w:p>
    <w:p w14:paraId="2113E7C7" w14:textId="77777777" w:rsidR="00673CC9" w:rsidRDefault="00673CC9" w:rsidP="00566B2E">
      <w:pPr>
        <w:pStyle w:val="NoSpacing"/>
        <w:jc w:val="center"/>
      </w:pPr>
    </w:p>
    <w:p w14:paraId="13AF8035" w14:textId="77777777" w:rsidR="00673CC9" w:rsidRDefault="00673CC9" w:rsidP="00566B2E">
      <w:pPr>
        <w:pStyle w:val="NoSpacing"/>
        <w:jc w:val="center"/>
      </w:pPr>
    </w:p>
    <w:p w14:paraId="4ED62C99" w14:textId="61301465" w:rsidR="00673CC9" w:rsidRPr="006B4721" w:rsidRDefault="00673CC9" w:rsidP="00566B2E">
      <w:pPr>
        <w:pStyle w:val="NoSpacing"/>
        <w:jc w:val="right"/>
      </w:pPr>
      <w:r>
        <w:tab/>
      </w:r>
      <w:r>
        <w:tab/>
      </w:r>
      <w:r>
        <w:tab/>
      </w:r>
      <w:r>
        <w:tab/>
      </w:r>
    </w:p>
    <w:p w14:paraId="0979BE08" w14:textId="4352CE75" w:rsidR="00673CC9" w:rsidRDefault="00000000" w:rsidP="00566B2E">
      <w:pPr>
        <w:pStyle w:val="NoSpacing"/>
        <w:wordWrap w:val="0"/>
        <w:jc w:val="right"/>
      </w:pPr>
      <w:sdt>
        <w:sdtPr>
          <w:id w:val="2462164"/>
          <w:lock w:val="contentLocked"/>
          <w:placeholder>
            <w:docPart w:val="AA9461329F6C29478D80F792C32886AA"/>
          </w:placeholder>
          <w:group/>
        </w:sdtPr>
        <w:sdtContent>
          <w:sdt>
            <w:sdtPr>
              <w:id w:val="11707793"/>
              <w:lock w:val="contentLocked"/>
              <w:placeholder>
                <w:docPart w:val="AA9461329F6C29478D80F792C32886AA"/>
              </w:placeholder>
              <w:group/>
            </w:sdtPr>
            <w:sdtContent>
              <w:r w:rsidR="00673CC9">
                <w:t>Dr.</w:t>
              </w:r>
            </w:sdtContent>
          </w:sdt>
        </w:sdtContent>
      </w:sdt>
      <w:r w:rsidR="00673CC9">
        <w:t xml:space="preserve"> </w:t>
      </w:r>
      <w:sdt>
        <w:sdtPr>
          <w:alias w:val="Click to enter committee chair name"/>
          <w:tag w:val="committee chair"/>
          <w:id w:val="30091849"/>
          <w:placeholder>
            <w:docPart w:val="AA9461329F6C29478D80F792C32886AA"/>
          </w:placeholder>
        </w:sdtPr>
        <w:sdtContent>
          <w:r w:rsidR="00673CC9">
            <w:t xml:space="preserve">Handan </w:t>
          </w:r>
          <w:proofErr w:type="spellStart"/>
          <w:r w:rsidR="00673CC9">
            <w:t>Acar</w:t>
          </w:r>
          <w:proofErr w:type="spellEnd"/>
        </w:sdtContent>
      </w:sdt>
      <w:r w:rsidR="00673CC9">
        <w:t>, Chair</w:t>
      </w:r>
    </w:p>
    <w:p w14:paraId="1E7BE138" w14:textId="77777777" w:rsidR="00673CC9" w:rsidRDefault="00673CC9" w:rsidP="00566B2E">
      <w:pPr>
        <w:pStyle w:val="NoSpacing"/>
        <w:jc w:val="right"/>
      </w:pPr>
    </w:p>
    <w:p w14:paraId="117BF08C" w14:textId="77777777" w:rsidR="00673CC9" w:rsidRDefault="00673CC9" w:rsidP="00566B2E">
      <w:pPr>
        <w:pStyle w:val="NoSpacing"/>
        <w:jc w:val="right"/>
      </w:pPr>
    </w:p>
    <w:p w14:paraId="40A0BB4D" w14:textId="1010DC92" w:rsidR="00673CC9" w:rsidRDefault="00000000" w:rsidP="00566B2E">
      <w:pPr>
        <w:pStyle w:val="NoSpacing"/>
        <w:wordWrap w:val="0"/>
        <w:jc w:val="right"/>
      </w:pPr>
      <w:sdt>
        <w:sdtPr>
          <w:alias w:val="Select the appropriate prefix"/>
          <w:tag w:val="Prefix"/>
          <w:id w:val="8173872"/>
          <w:placeholder>
            <w:docPart w:val="AB519BEB74477E4CAFD33F9090813EC7"/>
          </w:placeholder>
          <w:dropDownList>
            <w:listItem w:displayText="[Prefix]" w:value="[Prefix]"/>
            <w:listItem w:displayText="Dr." w:value="Dr."/>
            <w:listItem w:displayText="Mr." w:value="Mr."/>
            <w:listItem w:displayText="Mrs." w:value="Mrs."/>
            <w:listItem w:displayText="Ms." w:value="Ms."/>
          </w:dropDownList>
        </w:sdtPr>
        <w:sdtContent>
          <w:r w:rsidR="00673CC9">
            <w:t>Dr.</w:t>
          </w:r>
        </w:sdtContent>
      </w:sdt>
      <w:r w:rsidR="00673CC9">
        <w:t xml:space="preserve"> </w:t>
      </w:r>
      <w:sdt>
        <w:sdtPr>
          <w:alias w:val="Click to enter 2nd member name"/>
          <w:tag w:val="2nd member"/>
          <w:id w:val="30091850"/>
          <w:placeholder>
            <w:docPart w:val="9195BF15C8037B4E941673879A3F5103"/>
          </w:placeholder>
        </w:sdtPr>
        <w:sdtContent>
          <w:proofErr w:type="spellStart"/>
          <w:r w:rsidR="009D454A">
            <w:t>Sepideh</w:t>
          </w:r>
          <w:proofErr w:type="spellEnd"/>
          <w:r w:rsidR="009D454A">
            <w:t xml:space="preserve"> </w:t>
          </w:r>
          <w:proofErr w:type="spellStart"/>
          <w:r w:rsidR="009D454A">
            <w:t>Razavi</w:t>
          </w:r>
          <w:proofErr w:type="spellEnd"/>
        </w:sdtContent>
      </w:sdt>
    </w:p>
    <w:p w14:paraId="713E5EB9" w14:textId="77777777" w:rsidR="00673CC9" w:rsidRDefault="00673CC9" w:rsidP="00566B2E">
      <w:pPr>
        <w:pStyle w:val="NoSpacing"/>
        <w:jc w:val="right"/>
      </w:pPr>
    </w:p>
    <w:p w14:paraId="00C4D2AD" w14:textId="77777777" w:rsidR="00673CC9" w:rsidRDefault="00673CC9" w:rsidP="00566B2E">
      <w:pPr>
        <w:pStyle w:val="NoSpacing"/>
        <w:jc w:val="right"/>
      </w:pPr>
    </w:p>
    <w:p w14:paraId="4AF009C6" w14:textId="4D0A68D1" w:rsidR="00673CC9" w:rsidRDefault="00000000" w:rsidP="00566B2E">
      <w:pPr>
        <w:pStyle w:val="NoSpacing"/>
        <w:wordWrap w:val="0"/>
        <w:jc w:val="right"/>
      </w:pPr>
      <w:sdt>
        <w:sdtPr>
          <w:alias w:val="Select the appropriate prefix"/>
          <w:tag w:val="Prefix"/>
          <w:id w:val="30091851"/>
          <w:placeholder>
            <w:docPart w:val="1C0FC68D7012B44393A6D50D2FE287CC"/>
          </w:placeholder>
          <w:dropDownList>
            <w:listItem w:displayText="[Prefix]" w:value="[Prefix]"/>
            <w:listItem w:displayText="Dr." w:value="Dr."/>
            <w:listItem w:displayText="Mr." w:value="Mr."/>
            <w:listItem w:displayText="Mrs." w:value="Mrs."/>
            <w:listItem w:displayText="Ms." w:value="Ms."/>
          </w:dropDownList>
        </w:sdtPr>
        <w:sdtContent>
          <w:r w:rsidR="00673CC9">
            <w:t>Dr.</w:t>
          </w:r>
        </w:sdtContent>
      </w:sdt>
      <w:r w:rsidR="00673CC9">
        <w:t xml:space="preserve"> </w:t>
      </w:r>
      <w:sdt>
        <w:sdtPr>
          <w:alias w:val="Click to enter 3rd member name"/>
          <w:tag w:val="3rd member"/>
          <w:id w:val="30091852"/>
          <w:placeholder>
            <w:docPart w:val="9AEB173F43B9FA43A88A058721E6BC6B"/>
          </w:placeholder>
        </w:sdtPr>
        <w:sdtContent>
          <w:proofErr w:type="spellStart"/>
          <w:r w:rsidR="00673CC9">
            <w:t>Qinggong</w:t>
          </w:r>
          <w:proofErr w:type="spellEnd"/>
          <w:r w:rsidR="00673CC9">
            <w:t xml:space="preserve"> Tang</w:t>
          </w:r>
        </w:sdtContent>
      </w:sdt>
    </w:p>
    <w:p w14:paraId="75B3D392" w14:textId="77777777" w:rsidR="00673CC9" w:rsidRDefault="00673CC9" w:rsidP="00566B2E">
      <w:pPr>
        <w:pStyle w:val="NoSpacing"/>
        <w:jc w:val="right"/>
      </w:pPr>
    </w:p>
    <w:p w14:paraId="0EC87A15" w14:textId="77777777" w:rsidR="00673CC9" w:rsidRDefault="00673CC9" w:rsidP="00566B2E">
      <w:pPr>
        <w:pStyle w:val="NoSpacing"/>
        <w:jc w:val="right"/>
      </w:pPr>
    </w:p>
    <w:p w14:paraId="7028DDF5" w14:textId="7E4CA6FA" w:rsidR="00673CC9" w:rsidRDefault="00000000" w:rsidP="00566B2E">
      <w:pPr>
        <w:pStyle w:val="NoSpacing"/>
        <w:wordWrap w:val="0"/>
        <w:jc w:val="right"/>
      </w:pPr>
      <w:sdt>
        <w:sdtPr>
          <w:alias w:val="Select the appropriate prefix"/>
          <w:tag w:val="Prefix"/>
          <w:id w:val="30091854"/>
          <w:placeholder>
            <w:docPart w:val="A2691EAAE737894AB4E230CBF2FB82D8"/>
          </w:placeholder>
          <w:dropDownList>
            <w:listItem w:displayText="[Prefix]" w:value="[Prefix]"/>
            <w:listItem w:displayText="Dr." w:value="Dr."/>
            <w:listItem w:displayText="Mr." w:value="Mr."/>
            <w:listItem w:displayText="Mrs." w:value="Mrs."/>
            <w:listItem w:displayText="Ms." w:value="Ms."/>
          </w:dropDownList>
        </w:sdtPr>
        <w:sdtContent>
          <w:r w:rsidR="00673CC9">
            <w:t>Dr.</w:t>
          </w:r>
        </w:sdtContent>
      </w:sdt>
      <w:r w:rsidR="00673CC9">
        <w:t xml:space="preserve"> </w:t>
      </w:r>
      <w:sdt>
        <w:sdtPr>
          <w:alias w:val="Click to enter 4th member name"/>
          <w:tag w:val="4th member"/>
          <w:id w:val="30091855"/>
          <w:placeholder>
            <w:docPart w:val="EDB7280384609945BAF70BC128984081"/>
          </w:placeholder>
        </w:sdtPr>
        <w:sdtContent>
          <w:r w:rsidR="009D454A">
            <w:t>Stefan Wilhelm</w:t>
          </w:r>
        </w:sdtContent>
      </w:sdt>
    </w:p>
    <w:p w14:paraId="6AD7F244" w14:textId="77777777" w:rsidR="00673CC9" w:rsidRDefault="00673CC9" w:rsidP="00566B2E">
      <w:pPr>
        <w:pStyle w:val="NoSpacing"/>
        <w:jc w:val="right"/>
      </w:pPr>
    </w:p>
    <w:p w14:paraId="79761B0D" w14:textId="77777777" w:rsidR="00673CC9" w:rsidRDefault="00673CC9" w:rsidP="00566B2E">
      <w:pPr>
        <w:pStyle w:val="NoSpacing"/>
        <w:jc w:val="right"/>
      </w:pPr>
    </w:p>
    <w:p w14:paraId="42F8C7C5" w14:textId="29CF3C2D" w:rsidR="00673CC9" w:rsidRPr="006B4721" w:rsidRDefault="00673CC9" w:rsidP="00566B2E">
      <w:pPr>
        <w:pStyle w:val="NoSpacing"/>
        <w:jc w:val="right"/>
      </w:pPr>
    </w:p>
    <w:p w14:paraId="7C9AEC4B" w14:textId="77777777" w:rsidR="00673CC9" w:rsidRDefault="00673CC9" w:rsidP="00566B2E">
      <w:pPr>
        <w:pStyle w:val="NoSpacing"/>
        <w:jc w:val="right"/>
      </w:pPr>
    </w:p>
    <w:p w14:paraId="5E6806EF" w14:textId="77777777" w:rsidR="00673CC9" w:rsidRDefault="00673CC9" w:rsidP="00566B2E">
      <w:pPr>
        <w:pStyle w:val="NoSpacing"/>
        <w:jc w:val="right"/>
      </w:pPr>
    </w:p>
    <w:p w14:paraId="57DEEB3F" w14:textId="77777777" w:rsidR="00673CC9" w:rsidRDefault="00673CC9" w:rsidP="00566B2E">
      <w:pPr>
        <w:pStyle w:val="NoSpacing"/>
        <w:jc w:val="center"/>
      </w:pPr>
    </w:p>
    <w:p w14:paraId="1DF3A35C" w14:textId="77777777" w:rsidR="00673CC9" w:rsidRDefault="00673CC9" w:rsidP="00566B2E">
      <w:pPr>
        <w:pStyle w:val="NoSpacing"/>
        <w:jc w:val="center"/>
      </w:pPr>
    </w:p>
    <w:p w14:paraId="26CEC13D" w14:textId="1FCC4A82" w:rsidR="00673CC9" w:rsidRDefault="00673CC9" w:rsidP="00566B2E">
      <w:pPr>
        <w:pStyle w:val="NoSpacing"/>
        <w:jc w:val="center"/>
      </w:pPr>
    </w:p>
    <w:p w14:paraId="64D7F934" w14:textId="08D13A4D" w:rsidR="00673CC9" w:rsidRDefault="00673CC9" w:rsidP="00566B2E">
      <w:pPr>
        <w:pStyle w:val="NoSpacing"/>
        <w:jc w:val="center"/>
      </w:pPr>
    </w:p>
    <w:p w14:paraId="4C803AFF" w14:textId="2C3177D1" w:rsidR="00673CC9" w:rsidRDefault="00673CC9" w:rsidP="00566B2E">
      <w:pPr>
        <w:pStyle w:val="NoSpacing"/>
        <w:jc w:val="center"/>
      </w:pPr>
    </w:p>
    <w:p w14:paraId="6E64332F" w14:textId="02911F15" w:rsidR="00673CC9" w:rsidRDefault="00673CC9" w:rsidP="00566B2E">
      <w:pPr>
        <w:pStyle w:val="NoSpacing"/>
        <w:jc w:val="center"/>
      </w:pPr>
    </w:p>
    <w:p w14:paraId="150C7728" w14:textId="627BB201" w:rsidR="00673CC9" w:rsidRDefault="004064FE" w:rsidP="00566B2E">
      <w:pPr>
        <w:pStyle w:val="NoSpacing"/>
        <w:jc w:val="center"/>
      </w:pPr>
      <w:r>
        <w:rPr>
          <w:noProof/>
        </w:rPr>
        <mc:AlternateContent>
          <mc:Choice Requires="wps">
            <w:drawing>
              <wp:anchor distT="0" distB="0" distL="114300" distR="114300" simplePos="0" relativeHeight="251661312" behindDoc="0" locked="0" layoutInCell="1" allowOverlap="1" wp14:anchorId="72B34A8E" wp14:editId="5D28A147">
                <wp:simplePos x="0" y="0"/>
                <wp:positionH relativeFrom="column">
                  <wp:posOffset>5784351</wp:posOffset>
                </wp:positionH>
                <wp:positionV relativeFrom="paragraph">
                  <wp:posOffset>417245</wp:posOffset>
                </wp:positionV>
                <wp:extent cx="277402" cy="267128"/>
                <wp:effectExtent l="0" t="0" r="15240" b="12700"/>
                <wp:wrapNone/>
                <wp:docPr id="41" name="Rectangle 41"/>
                <wp:cNvGraphicFramePr/>
                <a:graphic xmlns:a="http://schemas.openxmlformats.org/drawingml/2006/main">
                  <a:graphicData uri="http://schemas.microsoft.com/office/word/2010/wordprocessingShape">
                    <wps:wsp>
                      <wps:cNvSpPr/>
                      <wps:spPr>
                        <a:xfrm>
                          <a:off x="0" y="0"/>
                          <a:ext cx="277402" cy="26712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470948" id="Rectangle 41" o:spid="_x0000_s1026" style="position:absolute;margin-left:455.45pt;margin-top:32.85pt;width:21.85pt;height:2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52heeAIAAIUFAAAOAAAAZHJzL2Uyb0RvYy54bWysVN1PGzEMf5+0/yHK+7gPFcoqrqgCMU1C&#13;&#10;gICJ5zSX9CLl4ixJe+3++jm5jzKG9oDWh9Q52z/bv9i+uNy3muyE8wpMRYuTnBJhONTKbCr64/nm&#13;&#10;yzklPjBTMw1GVPQgPL1cfv500dmFKKEBXQtHEMT4RWcr2oRgF1nmeSNa5k/ACoNKCa5lAa9uk9WO&#13;&#10;dYje6qzM87OsA1dbB1x4j1+veyVdJnwpBQ/3UnoRiK4o5hbS6dK5jme2vGCLjWO2UXxIg30gi5Yp&#13;&#10;g0EnqGsWGNk69RdUq7gDDzKccGgzkFJxkWrAaor8TTVPDbMi1YLkeDvR5P8fLL/bPdkHhzR01i88&#13;&#10;irGKvXRt/Mf8yD6RdZjIEvtAOH4s5/NZXlLCUVWezYvyPJKZHZ2t8+GbgJZEoaIO3yJRxHa3PvSm&#13;&#10;o0mM5UGr+kZpnS7x/cWVdmTH8OXWm2IA/8NKmw85Yo7RMztWnKRw0CLiafMoJFF1rDElnJrxmAzj&#13;&#10;XJhQ9KqG1aLP8TTH35jlmH4iJAFGZInVTdgDwGjZg4zYPT2DfXQVqZcn5/xfifXOk0eKDCZMzq0y&#13;&#10;4N4D0FjVELm3H0nqqYksraE+PDjioJ8kb/mNwue9ZT48MIejg0OG6yDc4yE1dBWFQaKkAffrve/R&#13;&#10;HjsatZR0OIoV9T+3zAlK9HeDvf61mM3i7KbL7HRe4sW91qxfa8y2vQLsmQIXj+VJjPZBj6J00L7g&#13;&#10;1ljFqKhihmPsivLgxstV6FcE7h0uVqtkhvNqWbg1T5ZH8MhqbN/n/QtzdujxgMNxB+PYssWbVu9t&#13;&#10;o6eB1TaAVGkOjrwOfOOsp8YZ9lJcJq/vyeq4PZe/AQAA//8DAFBLAwQUAAYACAAAACEAJh81/+YA&#13;&#10;AAAPAQAADwAAAGRycy9kb3ducmV2LnhtbEyPzU7DMBCE70i8g7VI3KjdiiZNGqdC/Agh9QAtEhy3&#13;&#10;sZ1ExHYUO2l4e5YTXFZa7TezM8Vuth2b9BBa7yQsFwKYdpVXraslvB+fbjbAQkSnsPNOS/jWAXbl&#13;&#10;5UWBufJn96anQ6wZmbiQo4Qmxj7nPFSNthgWvteObsYPFiOtQ83VgGcytx1fCZFwi62jDw32+r7R&#13;&#10;1ddhtBI+DT4fH1/CnpvVZLL2dfww6Sjl9dX8sKVxtwUW9Rz/FPDbgfJDScFOfnQqsE5CthQZoRKS&#13;&#10;dQqMgGx9mwA7ESnSDfCy4P97lD8AAAD//wMAUEsBAi0AFAAGAAgAAAAhALaDOJL+AAAA4QEAABMA&#13;&#10;AAAAAAAAAAAAAAAAAAAAAFtDb250ZW50X1R5cGVzXS54bWxQSwECLQAUAAYACAAAACEAOP0h/9YA&#13;&#10;AACUAQAACwAAAAAAAAAAAAAAAAAvAQAAX3JlbHMvLnJlbHNQSwECLQAUAAYACAAAACEAV+doXngC&#13;&#10;AACFBQAADgAAAAAAAAAAAAAAAAAuAgAAZHJzL2Uyb0RvYy54bWxQSwECLQAUAAYACAAAACEAJh81&#13;&#10;/+YAAAAPAQAADwAAAAAAAAAAAAAAAADSBAAAZHJzL2Rvd25yZXYueG1sUEsFBgAAAAAEAAQA8wAA&#13;&#10;AOUFAAAAAA==&#13;&#10;" fillcolor="white [3212]" strokecolor="white [3212]" strokeweight="1pt"/>
            </w:pict>
          </mc:Fallback>
        </mc:AlternateContent>
      </w:r>
    </w:p>
    <w:p w14:paraId="1A43EE5C" w14:textId="3F47DD00" w:rsidR="00673CC9" w:rsidRDefault="00673CC9" w:rsidP="00566B2E">
      <w:pPr>
        <w:pStyle w:val="NoSpacing"/>
        <w:jc w:val="center"/>
      </w:pPr>
    </w:p>
    <w:p w14:paraId="3B1BF512" w14:textId="32749653" w:rsidR="00673CC9" w:rsidRDefault="00673CC9" w:rsidP="00566B2E">
      <w:pPr>
        <w:pStyle w:val="NoSpacing"/>
        <w:jc w:val="center"/>
      </w:pPr>
    </w:p>
    <w:p w14:paraId="3A958F7A" w14:textId="77777777" w:rsidR="00673CC9" w:rsidRDefault="00673CC9" w:rsidP="00566B2E">
      <w:pPr>
        <w:pStyle w:val="NoSpacing"/>
        <w:jc w:val="center"/>
      </w:pPr>
    </w:p>
    <w:p w14:paraId="16AE104B" w14:textId="77777777" w:rsidR="00673CC9" w:rsidRDefault="00673CC9" w:rsidP="00566B2E">
      <w:pPr>
        <w:pStyle w:val="NoSpacing"/>
        <w:jc w:val="center"/>
      </w:pPr>
    </w:p>
    <w:p w14:paraId="2EB3BFF9" w14:textId="6CF34C48" w:rsidR="00673CC9" w:rsidRDefault="00673CC9" w:rsidP="00566B2E">
      <w:pPr>
        <w:pStyle w:val="NoSpacing"/>
        <w:jc w:val="center"/>
      </w:pPr>
    </w:p>
    <w:p w14:paraId="40D88C2C" w14:textId="77777777" w:rsidR="00673CC9" w:rsidRDefault="00673CC9" w:rsidP="00566B2E">
      <w:pPr>
        <w:pStyle w:val="NoSpacing"/>
        <w:jc w:val="center"/>
      </w:pPr>
    </w:p>
    <w:p w14:paraId="4E865038" w14:textId="56F2EA07" w:rsidR="00673CC9" w:rsidRDefault="00673CC9" w:rsidP="00566B2E">
      <w:pPr>
        <w:pStyle w:val="NoSpacing"/>
        <w:jc w:val="center"/>
      </w:pPr>
    </w:p>
    <w:p w14:paraId="11C06530" w14:textId="53FEB0A8" w:rsidR="00673CC9" w:rsidRDefault="00673CC9" w:rsidP="00566B2E">
      <w:pPr>
        <w:pStyle w:val="NoSpacing"/>
        <w:jc w:val="center"/>
      </w:pPr>
    </w:p>
    <w:p w14:paraId="1CF6AB0C" w14:textId="478ECCAD" w:rsidR="00673CC9" w:rsidRDefault="00673CC9" w:rsidP="00566B2E">
      <w:pPr>
        <w:pStyle w:val="NoSpacing"/>
        <w:jc w:val="center"/>
      </w:pPr>
    </w:p>
    <w:p w14:paraId="3E0C9F36" w14:textId="77777777" w:rsidR="00673CC9" w:rsidRDefault="00673CC9" w:rsidP="00566B2E">
      <w:pPr>
        <w:pStyle w:val="NoSpacing"/>
        <w:jc w:val="center"/>
      </w:pPr>
    </w:p>
    <w:p w14:paraId="0544A8C5" w14:textId="77777777" w:rsidR="00673CC9" w:rsidRDefault="00673CC9" w:rsidP="00566B2E">
      <w:pPr>
        <w:pStyle w:val="NoSpacing"/>
        <w:jc w:val="center"/>
      </w:pPr>
    </w:p>
    <w:p w14:paraId="360B525A" w14:textId="77777777" w:rsidR="00673CC9" w:rsidRDefault="00673CC9" w:rsidP="00566B2E">
      <w:pPr>
        <w:pStyle w:val="NoSpacing"/>
        <w:jc w:val="center"/>
      </w:pPr>
    </w:p>
    <w:p w14:paraId="6B6316CB" w14:textId="77777777" w:rsidR="00673CC9" w:rsidRDefault="00673CC9" w:rsidP="00566B2E">
      <w:pPr>
        <w:pStyle w:val="NoSpacing"/>
        <w:jc w:val="center"/>
      </w:pPr>
    </w:p>
    <w:p w14:paraId="536E4A41" w14:textId="6CFF0F8F" w:rsidR="00673CC9" w:rsidRDefault="00673CC9" w:rsidP="00566B2E">
      <w:pPr>
        <w:pStyle w:val="NoSpacing"/>
        <w:jc w:val="center"/>
      </w:pPr>
    </w:p>
    <w:p w14:paraId="492377A7" w14:textId="77777777" w:rsidR="00673CC9" w:rsidRDefault="00673CC9" w:rsidP="00566B2E">
      <w:pPr>
        <w:pStyle w:val="NoSpacing"/>
        <w:jc w:val="center"/>
      </w:pPr>
    </w:p>
    <w:p w14:paraId="70B22BEA" w14:textId="77777777" w:rsidR="00673CC9" w:rsidRDefault="00673CC9" w:rsidP="00566B2E">
      <w:pPr>
        <w:pStyle w:val="NoSpacing"/>
        <w:jc w:val="center"/>
      </w:pPr>
    </w:p>
    <w:p w14:paraId="7E4B9F93" w14:textId="77777777" w:rsidR="00673CC9" w:rsidRDefault="00673CC9" w:rsidP="00566B2E">
      <w:pPr>
        <w:pStyle w:val="NoSpacing"/>
        <w:jc w:val="center"/>
      </w:pPr>
    </w:p>
    <w:p w14:paraId="3635B613" w14:textId="77777777" w:rsidR="00673CC9" w:rsidRDefault="00673CC9" w:rsidP="00566B2E">
      <w:pPr>
        <w:pStyle w:val="NoSpacing"/>
        <w:jc w:val="center"/>
      </w:pPr>
    </w:p>
    <w:p w14:paraId="4596D17E" w14:textId="77777777" w:rsidR="00673CC9" w:rsidRDefault="00673CC9" w:rsidP="00566B2E">
      <w:pPr>
        <w:pStyle w:val="NoSpacing"/>
        <w:jc w:val="center"/>
      </w:pPr>
    </w:p>
    <w:p w14:paraId="45EF9967" w14:textId="77777777" w:rsidR="00673CC9" w:rsidRDefault="00673CC9" w:rsidP="00566B2E">
      <w:pPr>
        <w:pStyle w:val="NoSpacing"/>
        <w:jc w:val="center"/>
      </w:pPr>
    </w:p>
    <w:p w14:paraId="13DCDAF7" w14:textId="77777777" w:rsidR="00673CC9" w:rsidRDefault="00673CC9" w:rsidP="00566B2E">
      <w:pPr>
        <w:pStyle w:val="NoSpacing"/>
        <w:jc w:val="center"/>
      </w:pPr>
    </w:p>
    <w:p w14:paraId="1AC8E157" w14:textId="77777777" w:rsidR="00673CC9" w:rsidRDefault="00673CC9" w:rsidP="00566B2E">
      <w:pPr>
        <w:pStyle w:val="NoSpacing"/>
        <w:jc w:val="center"/>
      </w:pPr>
    </w:p>
    <w:p w14:paraId="27799582" w14:textId="0EEF5F65" w:rsidR="00673CC9" w:rsidRDefault="00673CC9" w:rsidP="00566B2E">
      <w:pPr>
        <w:pStyle w:val="NoSpacing"/>
        <w:jc w:val="center"/>
      </w:pPr>
    </w:p>
    <w:p w14:paraId="7E6959F7" w14:textId="77777777" w:rsidR="00673CC9" w:rsidRDefault="00673CC9" w:rsidP="00566B2E">
      <w:pPr>
        <w:pStyle w:val="NoSpacing"/>
        <w:jc w:val="center"/>
      </w:pPr>
    </w:p>
    <w:p w14:paraId="2AAD4C59" w14:textId="77777777" w:rsidR="00673CC9" w:rsidRDefault="00673CC9" w:rsidP="00566B2E">
      <w:pPr>
        <w:pStyle w:val="NoSpacing"/>
        <w:jc w:val="center"/>
      </w:pPr>
    </w:p>
    <w:p w14:paraId="5556B04C" w14:textId="27167A00" w:rsidR="00673CC9" w:rsidRDefault="00673CC9" w:rsidP="00566B2E">
      <w:pPr>
        <w:pStyle w:val="NoSpacing"/>
        <w:jc w:val="center"/>
      </w:pPr>
    </w:p>
    <w:p w14:paraId="79B635C3" w14:textId="736BF1E0" w:rsidR="00673CC9" w:rsidRDefault="00673CC9" w:rsidP="00566B2E">
      <w:pPr>
        <w:pStyle w:val="NoSpacing"/>
        <w:jc w:val="center"/>
      </w:pPr>
    </w:p>
    <w:p w14:paraId="5E397818" w14:textId="77777777" w:rsidR="00673CC9" w:rsidRDefault="00673CC9" w:rsidP="00566B2E">
      <w:pPr>
        <w:pStyle w:val="NoSpacing"/>
        <w:jc w:val="center"/>
      </w:pPr>
    </w:p>
    <w:p w14:paraId="5DC10D1B" w14:textId="77777777" w:rsidR="00673CC9" w:rsidRDefault="00673CC9" w:rsidP="00566B2E">
      <w:pPr>
        <w:pStyle w:val="NoSpacing"/>
        <w:jc w:val="center"/>
      </w:pPr>
    </w:p>
    <w:p w14:paraId="52209D39" w14:textId="7613E401" w:rsidR="00673CC9" w:rsidRDefault="00673CC9" w:rsidP="00566B2E">
      <w:pPr>
        <w:pStyle w:val="NoSpacing"/>
        <w:jc w:val="center"/>
      </w:pPr>
    </w:p>
    <w:p w14:paraId="483C7A6F" w14:textId="3D78C3DE" w:rsidR="00673CC9" w:rsidRDefault="00673CC9" w:rsidP="00566B2E">
      <w:pPr>
        <w:pStyle w:val="NoSpacing"/>
        <w:jc w:val="center"/>
      </w:pPr>
    </w:p>
    <w:p w14:paraId="5331CF49" w14:textId="682FFDBC" w:rsidR="00673CC9" w:rsidRDefault="00673CC9" w:rsidP="00566B2E">
      <w:pPr>
        <w:pStyle w:val="NoSpacing"/>
        <w:jc w:val="center"/>
      </w:pPr>
    </w:p>
    <w:p w14:paraId="38EA10FE" w14:textId="26786C28" w:rsidR="00673CC9" w:rsidRDefault="00673CC9" w:rsidP="00566B2E">
      <w:pPr>
        <w:pStyle w:val="NoSpacing"/>
        <w:jc w:val="center"/>
      </w:pPr>
    </w:p>
    <w:p w14:paraId="74DA0C93" w14:textId="297A0CBB" w:rsidR="00135E13" w:rsidRDefault="00135E13" w:rsidP="00566B2E">
      <w:pPr>
        <w:pStyle w:val="NoSpacing"/>
        <w:jc w:val="center"/>
      </w:pPr>
    </w:p>
    <w:p w14:paraId="575EA9FC" w14:textId="65AC042F" w:rsidR="00135E13" w:rsidRDefault="00135E13" w:rsidP="00566B2E">
      <w:pPr>
        <w:pStyle w:val="NoSpacing"/>
        <w:jc w:val="center"/>
      </w:pPr>
    </w:p>
    <w:p w14:paraId="13295E89" w14:textId="77777777" w:rsidR="00135E13" w:rsidRDefault="00135E13" w:rsidP="00566B2E">
      <w:pPr>
        <w:pStyle w:val="NoSpacing"/>
        <w:jc w:val="center"/>
      </w:pPr>
    </w:p>
    <w:p w14:paraId="069AA237" w14:textId="77777777" w:rsidR="00673CC9" w:rsidRDefault="00673CC9" w:rsidP="00566B2E">
      <w:pPr>
        <w:pStyle w:val="NoSpacing"/>
        <w:jc w:val="center"/>
      </w:pPr>
    </w:p>
    <w:p w14:paraId="754DC576" w14:textId="58F7B628" w:rsidR="00673CC9" w:rsidRDefault="00673CC9" w:rsidP="00566B2E">
      <w:pPr>
        <w:pStyle w:val="NoSpacing"/>
        <w:jc w:val="center"/>
      </w:pPr>
    </w:p>
    <w:p w14:paraId="439D2386" w14:textId="2607BA7D" w:rsidR="00673CC9" w:rsidRDefault="00000000" w:rsidP="00566B2E">
      <w:pPr>
        <w:pStyle w:val="NoSpacing"/>
        <w:jc w:val="center"/>
      </w:pPr>
      <w:sdt>
        <w:sdtPr>
          <w:id w:val="30091877"/>
          <w:lock w:val="contentLocked"/>
          <w:placeholder>
            <w:docPart w:val="AA9461329F6C29478D80F792C32886AA"/>
          </w:placeholder>
          <w:group/>
        </w:sdtPr>
        <w:sdtContent>
          <w:r w:rsidR="00673CC9">
            <w:t>© Copyright by</w:t>
          </w:r>
        </w:sdtContent>
      </w:sdt>
      <w:r w:rsidR="00673CC9">
        <w:t xml:space="preserve"> </w:t>
      </w:r>
      <w:sdt>
        <w:sdtPr>
          <w:alias w:val="Click here to enter your name (must match University records)"/>
          <w:tag w:val="Click here to enter your name (must match University records)"/>
          <w:id w:val="2590303"/>
          <w:placeholder>
            <w:docPart w:val="AA9461329F6C29478D80F792C32886AA"/>
          </w:placeholder>
        </w:sdtPr>
        <w:sdtEndPr>
          <w:rPr>
            <w:caps/>
          </w:rPr>
        </w:sdtEndPr>
        <w:sdtContent>
          <w:r w:rsidR="00EB58D3">
            <w:rPr>
              <w:caps/>
            </w:rPr>
            <w:t>gokhan gunay</w:t>
          </w:r>
        </w:sdtContent>
      </w:sdt>
      <w:r w:rsidR="00673CC9">
        <w:t xml:space="preserve"> </w:t>
      </w:r>
      <w:sdt>
        <w:sdtPr>
          <w:alias w:val="Click to enter the year you are depositing thesis"/>
          <w:tag w:val="Click to enter the year you are depositing thesis"/>
          <w:id w:val="2590304"/>
          <w:placeholder>
            <w:docPart w:val="AA9461329F6C29478D80F792C32886AA"/>
          </w:placeholder>
        </w:sdtPr>
        <w:sdtContent>
          <w:r w:rsidR="00673CC9">
            <w:t>20</w:t>
          </w:r>
          <w:r w:rsidR="00EB58D3">
            <w:t>22</w:t>
          </w:r>
        </w:sdtContent>
      </w:sdt>
    </w:p>
    <w:p w14:paraId="7E6895A1" w14:textId="142602B2" w:rsidR="00673CC9" w:rsidRDefault="004064FE" w:rsidP="00566B2E">
      <w:pPr>
        <w:pStyle w:val="NoSpacing"/>
        <w:jc w:val="center"/>
      </w:pPr>
      <w:r>
        <w:rPr>
          <w:noProof/>
        </w:rPr>
        <mc:AlternateContent>
          <mc:Choice Requires="wps">
            <w:drawing>
              <wp:anchor distT="0" distB="0" distL="114300" distR="114300" simplePos="0" relativeHeight="251663360" behindDoc="0" locked="0" layoutInCell="1" allowOverlap="1" wp14:anchorId="50BDD9E8" wp14:editId="53183A69">
                <wp:simplePos x="0" y="0"/>
                <wp:positionH relativeFrom="column">
                  <wp:posOffset>5742811</wp:posOffset>
                </wp:positionH>
                <wp:positionV relativeFrom="paragraph">
                  <wp:posOffset>1181229</wp:posOffset>
                </wp:positionV>
                <wp:extent cx="276860" cy="266700"/>
                <wp:effectExtent l="0" t="0" r="15240" b="12700"/>
                <wp:wrapNone/>
                <wp:docPr id="42" name="Rectangle 42"/>
                <wp:cNvGraphicFramePr/>
                <a:graphic xmlns:a="http://schemas.openxmlformats.org/drawingml/2006/main">
                  <a:graphicData uri="http://schemas.microsoft.com/office/word/2010/wordprocessingShape">
                    <wps:wsp>
                      <wps:cNvSpPr/>
                      <wps:spPr>
                        <a:xfrm>
                          <a:off x="0" y="0"/>
                          <a:ext cx="276860" cy="2667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94DB0D" id="Rectangle 42" o:spid="_x0000_s1026" style="position:absolute;margin-left:452.2pt;margin-top:93pt;width:21.8pt;height:2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HHaegIAAIUFAAAOAAAAZHJzL2Uyb0RvYy54bWysVN9PGzEMfp+0/yHK+7hrBYVVXFEFYpqE&#13;&#10;AFEmntNc0jspF2dO2mv318/J/ShjaA9ofUids/3Z/mL78mrfGLZT6GuwBZ+c5JwpK6Gs7abgP55v&#13;&#10;v1xw5oOwpTBgVcEPyvOrxedPl62bqylUYEqFjECsn7eu4FUIbp5lXlaqEf4EnLKk1ICNCHTFTVai&#13;&#10;aAm9Mdk0z2dZC1g6BKm8p683nZIvEr7WSoYHrb0KzBSccgvpxHSu45ktLsV8g8JVtezTEB/IohG1&#13;&#10;paAj1I0Igm2x/guqqSWCBx1OJDQZaF1LlWqgaib5m2pWlXAq1ULkeDfS5P8frLzfrdwjEg2t83NP&#13;&#10;Yqxir7GJ/5Qf2yeyDiNZah+YpI/T89nFjCiVpJrOZud5IjM7Ojv04ZuChkWh4EhvkSgSuzsfKCCZ&#13;&#10;DiYxlgdTl7e1MekS319dG2Q7QS+33kziS5HHH1bGfsiRYKJndqw4SeFgVMQz9klpVpexxpRwasZj&#13;&#10;MkJKZcOkU1WiVF2OZzn9hiyH9FPOCTAia6puxO4BBssOZMDuiu3to6tKvTw65/9KrHMePVJksGF0&#13;&#10;bmoL+B6Aoar6yJ39QFJHTWRpDeXhERlCN0neyduanvdO+PAokEaHOoLWQXigQxtoCw69xFkF+Ou9&#13;&#10;79GeOpq0nLU0igX3P7cCFWfmu6Ve/zo5PY2zmy6nZ+dTuuBrzfq1xm6ba6CemdDicTKJ0T6YQdQI&#13;&#10;zQttjWWMSiphJcUuuAw4XK5DtyJo70i1XCYzmlcnwp1dORnBI6uxfZ/3LwJd3+OBhuMehrEV8zet&#13;&#10;3tlGTwvLbQBdpzk48trzTbOeGqffS3GZvL4nq+P2XPwGAAD//wMAUEsDBBQABgAIAAAAIQD1ltZH&#13;&#10;4wAAABABAAAPAAAAZHJzL2Rvd25yZXYueG1sTE9NT4NAEL2b+B82Y+LNLhJSgbI0xo8YEw/amrTH&#13;&#10;KewCkZ0l7ELx3zue9DJ5k/fmzXvFdrG9mPXoO0cKblcRCE2VqztqFHzun29SED4g1dg70gq+tYdt&#13;&#10;eXlRYF67M33oeRcawSbkc1TQhjDkUvqq1Rb9yg2amDNutBh4HRtZj3hmc9vLOIrW0mJH/KHFQT+0&#13;&#10;uvraTVbB0eDL/unVv0kTzybr3qeDuZuUur5aHjc87jcggl7C3wX8duD8UHKwk5uo9qJXkEVJwlIm&#13;&#10;0jU3Y0WWpAxOCuKYgSwL+b9I+QMAAP//AwBQSwECLQAUAAYACAAAACEAtoM4kv4AAADhAQAAEwAA&#13;&#10;AAAAAAAAAAAAAAAAAAAAW0NvbnRlbnRfVHlwZXNdLnhtbFBLAQItABQABgAIAAAAIQA4/SH/1gAA&#13;&#10;AJQBAAALAAAAAAAAAAAAAAAAAC8BAABfcmVscy8ucmVsc1BLAQItABQABgAIAAAAIQANuHHaegIA&#13;&#10;AIUFAAAOAAAAAAAAAAAAAAAAAC4CAABkcnMvZTJvRG9jLnhtbFBLAQItABQABgAIAAAAIQD1ltZH&#13;&#10;4wAAABABAAAPAAAAAAAAAAAAAAAAANQEAABkcnMvZG93bnJldi54bWxQSwUGAAAAAAQABADzAAAA&#13;&#10;5AUAAAAA&#13;&#10;" fillcolor="white [3212]" strokecolor="white [3212]" strokeweight="1pt"/>
            </w:pict>
          </mc:Fallback>
        </mc:AlternateContent>
      </w:r>
      <w:r w:rsidR="00673CC9">
        <w:t>All Rights Reserved.</w:t>
      </w:r>
    </w:p>
    <w:p w14:paraId="3FF1FE80" w14:textId="77777777" w:rsidR="0067493A" w:rsidRDefault="0067493A" w:rsidP="00135E13">
      <w:pPr>
        <w:spacing w:line="480" w:lineRule="auto"/>
        <w:jc w:val="center"/>
        <w:rPr>
          <w:rFonts w:ascii="Palatino Linotype" w:hAnsi="Palatino Linotype"/>
          <w:b/>
          <w:bCs/>
        </w:rPr>
        <w:sectPr w:rsidR="0067493A" w:rsidSect="0067493A">
          <w:footerReference w:type="even" r:id="rId8"/>
          <w:footerReference w:type="default" r:id="rId9"/>
          <w:pgSz w:w="12240" w:h="15840"/>
          <w:pgMar w:top="1440" w:right="1440" w:bottom="1440" w:left="1440" w:header="720" w:footer="720" w:gutter="0"/>
          <w:pgNumType w:fmt="lowerRoman" w:start="4"/>
          <w:cols w:space="720"/>
          <w:docGrid w:linePitch="360"/>
        </w:sectPr>
      </w:pPr>
    </w:p>
    <w:p w14:paraId="0E29F7C5" w14:textId="77777777" w:rsidR="00990BE5" w:rsidRDefault="00990BE5" w:rsidP="006A6F4C">
      <w:pPr>
        <w:pStyle w:val="Heading1"/>
        <w:rPr>
          <w:rFonts w:ascii="Calibri" w:hAnsi="Calibri" w:cs="Calibri"/>
        </w:rPr>
      </w:pPr>
      <w:bookmarkStart w:id="0" w:name="_Toc120794114"/>
    </w:p>
    <w:p w14:paraId="351C70FB" w14:textId="06B2A328" w:rsidR="00135E13" w:rsidRPr="002A7128" w:rsidRDefault="00135E13" w:rsidP="006A6F4C">
      <w:pPr>
        <w:pStyle w:val="Heading1"/>
        <w:rPr>
          <w:rFonts w:ascii="Calibri" w:hAnsi="Calibri" w:cs="Calibri"/>
        </w:rPr>
      </w:pPr>
      <w:r w:rsidRPr="002A7128">
        <w:rPr>
          <w:rFonts w:ascii="Calibri" w:hAnsi="Calibri" w:cs="Calibri"/>
        </w:rPr>
        <w:t>Acknowledgements</w:t>
      </w:r>
      <w:bookmarkEnd w:id="0"/>
    </w:p>
    <w:p w14:paraId="6745B37F" w14:textId="77777777" w:rsidR="006A6F4C" w:rsidRPr="002A7128" w:rsidRDefault="006A6F4C" w:rsidP="006A6F4C">
      <w:pPr>
        <w:rPr>
          <w:rFonts w:ascii="Calibri" w:hAnsi="Calibri" w:cs="Calibri"/>
        </w:rPr>
      </w:pPr>
    </w:p>
    <w:p w14:paraId="50D5A4EF" w14:textId="166BE19A" w:rsidR="005A7853" w:rsidRPr="002A7128" w:rsidRDefault="005A7853" w:rsidP="005A7853">
      <w:pPr>
        <w:spacing w:line="480" w:lineRule="auto"/>
        <w:jc w:val="both"/>
        <w:rPr>
          <w:rFonts w:ascii="Calibri" w:hAnsi="Calibri" w:cs="Calibri"/>
        </w:rPr>
      </w:pPr>
      <w:r w:rsidRPr="002A7128">
        <w:rPr>
          <w:rFonts w:ascii="Calibri" w:hAnsi="Calibri" w:cs="Calibri"/>
        </w:rPr>
        <w:t xml:space="preserve">I would like to thank Dr. </w:t>
      </w:r>
      <w:proofErr w:type="spellStart"/>
      <w:r w:rsidRPr="002A7128">
        <w:rPr>
          <w:rFonts w:ascii="Calibri" w:hAnsi="Calibri" w:cs="Calibri"/>
        </w:rPr>
        <w:t>Acar</w:t>
      </w:r>
      <w:proofErr w:type="spellEnd"/>
      <w:r w:rsidRPr="002A7128">
        <w:rPr>
          <w:rFonts w:ascii="Calibri" w:hAnsi="Calibri" w:cs="Calibri"/>
        </w:rPr>
        <w:t xml:space="preserve"> for her support and guidance throughout my PhD education</w:t>
      </w:r>
      <w:r w:rsidR="004601F1" w:rsidRPr="002A7128">
        <w:rPr>
          <w:rFonts w:ascii="Calibri" w:hAnsi="Calibri" w:cs="Calibri"/>
        </w:rPr>
        <w:t xml:space="preserve"> and providing me an opportunity in her lab. </w:t>
      </w:r>
      <w:r w:rsidRPr="002A7128">
        <w:rPr>
          <w:rFonts w:ascii="Calibri" w:hAnsi="Calibri" w:cs="Calibri"/>
        </w:rPr>
        <w:t xml:space="preserve">I also would like to thank my committee members Dr. Wilhelm, Dr. Tang, and Dr. </w:t>
      </w:r>
      <w:proofErr w:type="spellStart"/>
      <w:r w:rsidRPr="002A7128">
        <w:rPr>
          <w:rFonts w:ascii="Calibri" w:hAnsi="Calibri" w:cs="Calibri"/>
        </w:rPr>
        <w:t>Razavi</w:t>
      </w:r>
      <w:proofErr w:type="spellEnd"/>
      <w:r w:rsidRPr="002A7128">
        <w:rPr>
          <w:rFonts w:ascii="Calibri" w:hAnsi="Calibri" w:cs="Calibri"/>
        </w:rPr>
        <w:t xml:space="preserve"> for their guidance</w:t>
      </w:r>
      <w:r w:rsidR="00763B96" w:rsidRPr="002A7128">
        <w:rPr>
          <w:rFonts w:ascii="Calibri" w:hAnsi="Calibri" w:cs="Calibri"/>
        </w:rPr>
        <w:t>, support,</w:t>
      </w:r>
      <w:r w:rsidRPr="002A7128">
        <w:rPr>
          <w:rFonts w:ascii="Calibri" w:hAnsi="Calibri" w:cs="Calibri"/>
        </w:rPr>
        <w:t xml:space="preserve"> and fruitful discussions. </w:t>
      </w:r>
    </w:p>
    <w:p w14:paraId="62B2A6C9" w14:textId="0C52D7DE" w:rsidR="0044198E" w:rsidRPr="002A7128" w:rsidRDefault="00ED3922" w:rsidP="005A7853">
      <w:pPr>
        <w:spacing w:line="480" w:lineRule="auto"/>
        <w:jc w:val="both"/>
        <w:rPr>
          <w:rFonts w:ascii="Calibri" w:hAnsi="Calibri" w:cs="Calibri"/>
        </w:rPr>
      </w:pPr>
      <w:r w:rsidRPr="002A7128">
        <w:rPr>
          <w:rFonts w:ascii="Calibri" w:hAnsi="Calibri" w:cs="Calibri"/>
        </w:rPr>
        <w:t xml:space="preserve">I would like to thank </w:t>
      </w:r>
      <w:proofErr w:type="spellStart"/>
      <w:r w:rsidRPr="002A7128">
        <w:rPr>
          <w:rFonts w:ascii="Calibri" w:hAnsi="Calibri" w:cs="Calibri"/>
        </w:rPr>
        <w:t>Seren</w:t>
      </w:r>
      <w:proofErr w:type="spellEnd"/>
      <w:r w:rsidR="00763B96" w:rsidRPr="002A7128">
        <w:rPr>
          <w:rFonts w:ascii="Calibri" w:hAnsi="Calibri" w:cs="Calibri"/>
        </w:rPr>
        <w:t xml:space="preserve"> and my family</w:t>
      </w:r>
      <w:r w:rsidRPr="002A7128">
        <w:rPr>
          <w:rFonts w:ascii="Calibri" w:hAnsi="Calibri" w:cs="Calibri"/>
        </w:rPr>
        <w:t xml:space="preserve"> for constantly reminding me what is really important in this life</w:t>
      </w:r>
      <w:r w:rsidR="00763B96" w:rsidRPr="002A7128">
        <w:rPr>
          <w:rFonts w:ascii="Calibri" w:hAnsi="Calibri" w:cs="Calibri"/>
        </w:rPr>
        <w:t xml:space="preserve">. </w:t>
      </w:r>
      <w:r w:rsidR="004601F1" w:rsidRPr="002A7128">
        <w:rPr>
          <w:rFonts w:ascii="Calibri" w:hAnsi="Calibri" w:cs="Calibri"/>
        </w:rPr>
        <w:t xml:space="preserve">I would like to thank Dr. Chen for his guidance and advice on how to approach academia </w:t>
      </w:r>
      <w:r w:rsidR="005C63B4" w:rsidRPr="002A7128">
        <w:rPr>
          <w:rFonts w:ascii="Calibri" w:hAnsi="Calibri" w:cs="Calibri"/>
        </w:rPr>
        <w:t>but more importantly to</w:t>
      </w:r>
      <w:r w:rsidR="004601F1" w:rsidRPr="002A7128">
        <w:rPr>
          <w:rFonts w:ascii="Calibri" w:hAnsi="Calibri" w:cs="Calibri"/>
        </w:rPr>
        <w:t xml:space="preserve"> life. I would like to thank the department for providing an opportunity for me to be an instructor of record for two BME lab courses</w:t>
      </w:r>
      <w:r w:rsidR="00E60079" w:rsidRPr="002A7128">
        <w:rPr>
          <w:rFonts w:ascii="Calibri" w:hAnsi="Calibri" w:cs="Calibri"/>
        </w:rPr>
        <w:t xml:space="preserve">. It was a great experience for </w:t>
      </w:r>
      <w:r w:rsidR="002560C6" w:rsidRPr="002A7128">
        <w:rPr>
          <w:rFonts w:ascii="Calibri" w:hAnsi="Calibri" w:cs="Calibri"/>
        </w:rPr>
        <w:t>me,</w:t>
      </w:r>
      <w:r w:rsidR="00E60079" w:rsidRPr="002A7128">
        <w:rPr>
          <w:rFonts w:ascii="Calibri" w:hAnsi="Calibri" w:cs="Calibri"/>
        </w:rPr>
        <w:t xml:space="preserve"> </w:t>
      </w:r>
      <w:r w:rsidR="0044198E" w:rsidRPr="002A7128">
        <w:rPr>
          <w:rFonts w:ascii="Calibri" w:hAnsi="Calibri" w:cs="Calibri"/>
        </w:rPr>
        <w:t xml:space="preserve">and I can only hope that they were beneficial to students. </w:t>
      </w:r>
    </w:p>
    <w:p w14:paraId="18E1E6C9" w14:textId="77777777" w:rsidR="0044198E" w:rsidRPr="002A7128" w:rsidRDefault="0044198E" w:rsidP="005A7853">
      <w:pPr>
        <w:spacing w:line="480" w:lineRule="auto"/>
        <w:jc w:val="both"/>
        <w:rPr>
          <w:rFonts w:ascii="Calibri" w:hAnsi="Calibri" w:cs="Calibri"/>
        </w:rPr>
      </w:pPr>
    </w:p>
    <w:p w14:paraId="66B5C3C3" w14:textId="7AB55099" w:rsidR="00ED3922" w:rsidRPr="002A7128" w:rsidRDefault="0044198E" w:rsidP="005A7853">
      <w:pPr>
        <w:spacing w:line="480" w:lineRule="auto"/>
        <w:jc w:val="both"/>
        <w:rPr>
          <w:rFonts w:ascii="Calibri" w:hAnsi="Calibri" w:cs="Calibri"/>
        </w:rPr>
      </w:pPr>
      <w:r w:rsidRPr="002A7128">
        <w:rPr>
          <w:rFonts w:ascii="Calibri" w:hAnsi="Calibri" w:cs="Calibri"/>
        </w:rPr>
        <w:t xml:space="preserve"> </w:t>
      </w:r>
    </w:p>
    <w:p w14:paraId="3731AA05" w14:textId="0754572A" w:rsidR="005A7853" w:rsidRPr="002A7128" w:rsidRDefault="005A7853" w:rsidP="00135E13">
      <w:pPr>
        <w:spacing w:line="480" w:lineRule="auto"/>
        <w:jc w:val="center"/>
        <w:rPr>
          <w:rFonts w:ascii="Calibri" w:hAnsi="Calibri" w:cs="Calibri"/>
          <w:b/>
          <w:bCs/>
        </w:rPr>
      </w:pPr>
    </w:p>
    <w:p w14:paraId="461F8882" w14:textId="62A87E04" w:rsidR="00673CC9" w:rsidRPr="002A7128" w:rsidRDefault="00673CC9" w:rsidP="00243AED">
      <w:pPr>
        <w:pStyle w:val="TOCHeading"/>
        <w:spacing w:line="480" w:lineRule="auto"/>
        <w:rPr>
          <w:rFonts w:ascii="Calibri" w:eastAsiaTheme="minorHAnsi" w:hAnsi="Calibri" w:cs="Calibri"/>
          <w:b/>
          <w:bCs w:val="0"/>
          <w:color w:val="auto"/>
          <w:sz w:val="24"/>
          <w:szCs w:val="24"/>
        </w:rPr>
      </w:pPr>
      <w:r w:rsidRPr="002A7128">
        <w:rPr>
          <w:rFonts w:ascii="Calibri" w:hAnsi="Calibri" w:cs="Calibri"/>
        </w:rPr>
        <w:br w:type="page"/>
      </w:r>
    </w:p>
    <w:sdt>
      <w:sdtPr>
        <w:rPr>
          <w:rFonts w:ascii="Calibri" w:eastAsiaTheme="minorHAnsi" w:hAnsi="Calibri" w:cs="Calibri"/>
          <w:b/>
          <w:bCs w:val="0"/>
          <w:color w:val="auto"/>
          <w:sz w:val="24"/>
          <w:szCs w:val="24"/>
        </w:rPr>
        <w:id w:val="-670168280"/>
        <w:docPartObj>
          <w:docPartGallery w:val="Table of Contents"/>
          <w:docPartUnique/>
        </w:docPartObj>
      </w:sdtPr>
      <w:sdtEndPr>
        <w:rPr>
          <w:rFonts w:eastAsia="Times New Roman"/>
          <w:b w:val="0"/>
          <w:noProof/>
        </w:rPr>
      </w:sdtEndPr>
      <w:sdtContent>
        <w:p w14:paraId="47DB1A0F" w14:textId="2CF8213A" w:rsidR="00424C77" w:rsidRPr="00284BA0" w:rsidRDefault="00424C77" w:rsidP="00243AED">
          <w:pPr>
            <w:pStyle w:val="TOCHeading"/>
            <w:spacing w:line="480" w:lineRule="auto"/>
            <w:rPr>
              <w:rFonts w:ascii="Calibri" w:hAnsi="Calibri" w:cs="Calibri"/>
              <w:sz w:val="24"/>
              <w:szCs w:val="24"/>
            </w:rPr>
          </w:pPr>
          <w:r w:rsidRPr="003C6BDE">
            <w:rPr>
              <w:rFonts w:ascii="Calibri" w:hAnsi="Calibri" w:cs="Calibri"/>
              <w:sz w:val="24"/>
              <w:szCs w:val="24"/>
            </w:rPr>
            <w:t>Table of Contents</w:t>
          </w:r>
        </w:p>
        <w:p w14:paraId="734C886A" w14:textId="6B732031" w:rsidR="00284BA0" w:rsidRPr="00284BA0" w:rsidRDefault="00424C77">
          <w:pPr>
            <w:pStyle w:val="TOC1"/>
            <w:tabs>
              <w:tab w:val="right" w:leader="dot" w:pos="9350"/>
            </w:tabs>
            <w:rPr>
              <w:rFonts w:ascii="Calibri" w:eastAsiaTheme="minorEastAsia" w:hAnsi="Calibri" w:cstheme="minorBidi"/>
              <w:b w:val="0"/>
              <w:bCs w:val="0"/>
              <w:noProof/>
              <w:sz w:val="24"/>
              <w:szCs w:val="24"/>
            </w:rPr>
          </w:pPr>
          <w:r w:rsidRPr="00284BA0">
            <w:rPr>
              <w:rFonts w:ascii="Calibri" w:hAnsi="Calibri" w:cs="Calibri"/>
              <w:b w:val="0"/>
              <w:sz w:val="24"/>
              <w:szCs w:val="24"/>
            </w:rPr>
            <w:fldChar w:fldCharType="begin"/>
          </w:r>
          <w:r w:rsidRPr="00284BA0">
            <w:rPr>
              <w:rFonts w:ascii="Calibri" w:hAnsi="Calibri" w:cs="Calibri"/>
              <w:b w:val="0"/>
              <w:sz w:val="24"/>
              <w:szCs w:val="24"/>
            </w:rPr>
            <w:instrText xml:space="preserve"> TOC \o "1-3" \h \z \u </w:instrText>
          </w:r>
          <w:r w:rsidRPr="00284BA0">
            <w:rPr>
              <w:rFonts w:ascii="Calibri" w:hAnsi="Calibri" w:cs="Calibri"/>
              <w:b w:val="0"/>
              <w:sz w:val="24"/>
              <w:szCs w:val="24"/>
            </w:rPr>
            <w:fldChar w:fldCharType="separate"/>
          </w:r>
          <w:hyperlink w:anchor="_Toc120794114" w:history="1">
            <w:r w:rsidR="00284BA0" w:rsidRPr="00284BA0">
              <w:rPr>
                <w:rStyle w:val="Hyperlink"/>
                <w:rFonts w:ascii="Calibri" w:hAnsi="Calibri" w:cs="Calibri"/>
                <w:b w:val="0"/>
                <w:noProof/>
                <w:sz w:val="24"/>
              </w:rPr>
              <w:t>Acknowledgements</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_Toc120794114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iv</w:t>
            </w:r>
            <w:r w:rsidR="00284BA0" w:rsidRPr="00284BA0">
              <w:rPr>
                <w:rFonts w:ascii="Calibri" w:hAnsi="Calibri"/>
                <w:b w:val="0"/>
                <w:noProof/>
                <w:webHidden/>
                <w:sz w:val="24"/>
              </w:rPr>
              <w:fldChar w:fldCharType="end"/>
            </w:r>
          </w:hyperlink>
        </w:p>
        <w:p w14:paraId="5A1A5280" w14:textId="314BBE48" w:rsidR="00284BA0" w:rsidRPr="00284BA0" w:rsidRDefault="00000000">
          <w:pPr>
            <w:pStyle w:val="TOC1"/>
            <w:tabs>
              <w:tab w:val="right" w:leader="dot" w:pos="9350"/>
            </w:tabs>
            <w:rPr>
              <w:rFonts w:ascii="Calibri" w:eastAsiaTheme="minorEastAsia" w:hAnsi="Calibri" w:cstheme="minorBidi"/>
              <w:b w:val="0"/>
              <w:bCs w:val="0"/>
              <w:noProof/>
              <w:sz w:val="24"/>
              <w:szCs w:val="24"/>
            </w:rPr>
          </w:pPr>
          <w:hyperlink w:anchor="_Toc120794115" w:history="1">
            <w:r w:rsidR="00284BA0" w:rsidRPr="00284BA0">
              <w:rPr>
                <w:rStyle w:val="Hyperlink"/>
                <w:rFonts w:ascii="Calibri" w:hAnsi="Calibri" w:cs="Calibri"/>
                <w:b w:val="0"/>
                <w:noProof/>
                <w:sz w:val="24"/>
              </w:rPr>
              <w:t>List of Figures</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_Toc120794115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x</w:t>
            </w:r>
            <w:r w:rsidR="00284BA0" w:rsidRPr="00284BA0">
              <w:rPr>
                <w:rFonts w:ascii="Calibri" w:hAnsi="Calibri"/>
                <w:b w:val="0"/>
                <w:noProof/>
                <w:webHidden/>
                <w:sz w:val="24"/>
              </w:rPr>
              <w:fldChar w:fldCharType="end"/>
            </w:r>
          </w:hyperlink>
        </w:p>
        <w:p w14:paraId="3EDBEC6A" w14:textId="5712894C" w:rsidR="00284BA0" w:rsidRPr="00284BA0" w:rsidRDefault="00000000">
          <w:pPr>
            <w:pStyle w:val="TOC1"/>
            <w:tabs>
              <w:tab w:val="right" w:leader="dot" w:pos="9350"/>
            </w:tabs>
            <w:rPr>
              <w:rFonts w:ascii="Calibri" w:eastAsiaTheme="minorEastAsia" w:hAnsi="Calibri" w:cstheme="minorBidi"/>
              <w:b w:val="0"/>
              <w:bCs w:val="0"/>
              <w:noProof/>
              <w:sz w:val="24"/>
              <w:szCs w:val="24"/>
            </w:rPr>
          </w:pPr>
          <w:hyperlink w:anchor="_Toc120794116" w:history="1">
            <w:r w:rsidR="00284BA0" w:rsidRPr="00284BA0">
              <w:rPr>
                <w:rStyle w:val="Hyperlink"/>
                <w:rFonts w:ascii="Calibri" w:hAnsi="Calibri" w:cs="Calibri"/>
                <w:b w:val="0"/>
                <w:noProof/>
                <w:sz w:val="24"/>
              </w:rPr>
              <w:t>List of Tables</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_Toc120794116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xix</w:t>
            </w:r>
            <w:r w:rsidR="00284BA0" w:rsidRPr="00284BA0">
              <w:rPr>
                <w:rFonts w:ascii="Calibri" w:hAnsi="Calibri"/>
                <w:b w:val="0"/>
                <w:noProof/>
                <w:webHidden/>
                <w:sz w:val="24"/>
              </w:rPr>
              <w:fldChar w:fldCharType="end"/>
            </w:r>
          </w:hyperlink>
        </w:p>
        <w:p w14:paraId="16097846" w14:textId="53757BDE" w:rsidR="00284BA0" w:rsidRPr="00284BA0" w:rsidRDefault="00000000">
          <w:pPr>
            <w:pStyle w:val="TOC1"/>
            <w:tabs>
              <w:tab w:val="right" w:leader="dot" w:pos="9350"/>
            </w:tabs>
            <w:rPr>
              <w:rFonts w:ascii="Calibri" w:eastAsiaTheme="minorEastAsia" w:hAnsi="Calibri" w:cstheme="minorBidi"/>
              <w:b w:val="0"/>
              <w:bCs w:val="0"/>
              <w:noProof/>
              <w:sz w:val="24"/>
              <w:szCs w:val="24"/>
            </w:rPr>
          </w:pPr>
          <w:hyperlink w:anchor="_Toc120794117" w:history="1">
            <w:r w:rsidR="00284BA0" w:rsidRPr="00284BA0">
              <w:rPr>
                <w:rStyle w:val="Hyperlink"/>
                <w:rFonts w:ascii="Calibri" w:hAnsi="Calibri" w:cs="Calibri"/>
                <w:b w:val="0"/>
                <w:noProof/>
                <w:sz w:val="24"/>
              </w:rPr>
              <w:t>Abstract</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_Toc120794117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xx</w:t>
            </w:r>
            <w:r w:rsidR="00284BA0" w:rsidRPr="00284BA0">
              <w:rPr>
                <w:rFonts w:ascii="Calibri" w:hAnsi="Calibri"/>
                <w:b w:val="0"/>
                <w:noProof/>
                <w:webHidden/>
                <w:sz w:val="24"/>
              </w:rPr>
              <w:fldChar w:fldCharType="end"/>
            </w:r>
          </w:hyperlink>
        </w:p>
        <w:p w14:paraId="0457E023" w14:textId="5A2A940C" w:rsidR="00284BA0" w:rsidRPr="00284BA0" w:rsidRDefault="00000000">
          <w:pPr>
            <w:pStyle w:val="TOC1"/>
            <w:tabs>
              <w:tab w:val="right" w:leader="dot" w:pos="9350"/>
            </w:tabs>
            <w:rPr>
              <w:rFonts w:ascii="Calibri" w:eastAsiaTheme="minorEastAsia" w:hAnsi="Calibri" w:cstheme="minorBidi"/>
              <w:b w:val="0"/>
              <w:bCs w:val="0"/>
              <w:noProof/>
              <w:sz w:val="24"/>
              <w:szCs w:val="24"/>
            </w:rPr>
          </w:pPr>
          <w:hyperlink w:anchor="_Toc120794118" w:history="1">
            <w:r w:rsidR="00284BA0" w:rsidRPr="00284BA0">
              <w:rPr>
                <w:rStyle w:val="Hyperlink"/>
                <w:rFonts w:ascii="Calibri" w:hAnsi="Calibri" w:cs="Calibri"/>
                <w:b w:val="0"/>
                <w:noProof/>
                <w:sz w:val="24"/>
              </w:rPr>
              <w:t>Chapter 1: Introduction</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_Toc120794118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1</w:t>
            </w:r>
            <w:r w:rsidR="00284BA0" w:rsidRPr="00284BA0">
              <w:rPr>
                <w:rFonts w:ascii="Calibri" w:hAnsi="Calibri"/>
                <w:b w:val="0"/>
                <w:noProof/>
                <w:webHidden/>
                <w:sz w:val="24"/>
              </w:rPr>
              <w:fldChar w:fldCharType="end"/>
            </w:r>
          </w:hyperlink>
        </w:p>
        <w:p w14:paraId="3A3E55DD" w14:textId="46211125" w:rsidR="00284BA0" w:rsidRPr="00284BA0" w:rsidRDefault="00000000">
          <w:pPr>
            <w:pStyle w:val="TOC2"/>
            <w:tabs>
              <w:tab w:val="left" w:pos="720"/>
              <w:tab w:val="right" w:leader="dot" w:pos="9350"/>
            </w:tabs>
            <w:rPr>
              <w:rFonts w:ascii="Calibri" w:eastAsiaTheme="minorEastAsia" w:hAnsi="Calibri" w:cstheme="minorBidi"/>
              <w:i w:val="0"/>
              <w:iCs w:val="0"/>
              <w:noProof/>
              <w:sz w:val="24"/>
              <w:szCs w:val="24"/>
            </w:rPr>
          </w:pPr>
          <w:hyperlink w:anchor="_Toc120794119" w:history="1">
            <w:r w:rsidR="00284BA0" w:rsidRPr="00284BA0">
              <w:rPr>
                <w:rStyle w:val="Hyperlink"/>
                <w:rFonts w:ascii="Calibri" w:hAnsi="Calibri" w:cs="Calibri"/>
                <w:i w:val="0"/>
                <w:noProof/>
                <w:sz w:val="24"/>
              </w:rPr>
              <w:t>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Introduction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_Toc120794119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w:t>
            </w:r>
            <w:r w:rsidR="00284BA0" w:rsidRPr="00284BA0">
              <w:rPr>
                <w:rFonts w:ascii="Calibri" w:hAnsi="Calibri"/>
                <w:i w:val="0"/>
                <w:noProof/>
                <w:webHidden/>
                <w:sz w:val="24"/>
              </w:rPr>
              <w:fldChar w:fldCharType="end"/>
            </w:r>
          </w:hyperlink>
        </w:p>
        <w:p w14:paraId="0470CD24" w14:textId="51ACC3D5"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0" w:history="1">
            <w:r w:rsidR="00284BA0" w:rsidRPr="00284BA0">
              <w:rPr>
                <w:rStyle w:val="Hyperlink"/>
                <w:rFonts w:ascii="Calibri" w:hAnsi="Calibri" w:cs="Calibri"/>
                <w:i w:val="0"/>
                <w:noProof/>
                <w:sz w:val="24"/>
              </w:rPr>
              <w:t>1.1.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Immune System</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w:t>
            </w:r>
            <w:r w:rsidR="00284BA0" w:rsidRPr="00284BA0">
              <w:rPr>
                <w:rFonts w:ascii="Calibri" w:hAnsi="Calibri"/>
                <w:i w:val="0"/>
                <w:noProof/>
                <w:webHidden/>
                <w:sz w:val="24"/>
              </w:rPr>
              <w:fldChar w:fldCharType="end"/>
            </w:r>
          </w:hyperlink>
        </w:p>
        <w:p w14:paraId="767A86FC" w14:textId="48B467B5"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1" w:history="1">
            <w:r w:rsidR="00284BA0" w:rsidRPr="00284BA0">
              <w:rPr>
                <w:rStyle w:val="Hyperlink"/>
                <w:rFonts w:ascii="Calibri" w:hAnsi="Calibri" w:cs="Calibri"/>
                <w:i w:val="0"/>
                <w:noProof/>
                <w:sz w:val="24"/>
              </w:rPr>
              <w:t>1.2.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Immunogenic Cell Death and Damage Associated Molecular Patterns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w:t>
            </w:r>
            <w:r w:rsidR="00284BA0" w:rsidRPr="00284BA0">
              <w:rPr>
                <w:rFonts w:ascii="Calibri" w:hAnsi="Calibri"/>
                <w:i w:val="0"/>
                <w:noProof/>
                <w:webHidden/>
                <w:sz w:val="24"/>
              </w:rPr>
              <w:fldChar w:fldCharType="end"/>
            </w:r>
          </w:hyperlink>
        </w:p>
        <w:p w14:paraId="5599787E" w14:textId="04B0FF84"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2" w:history="1">
            <w:r w:rsidR="00284BA0" w:rsidRPr="00284BA0">
              <w:rPr>
                <w:rStyle w:val="Hyperlink"/>
                <w:rFonts w:ascii="Calibri" w:hAnsi="Calibri" w:cs="Calibri"/>
                <w:i w:val="0"/>
                <w:noProof/>
                <w:sz w:val="24"/>
              </w:rPr>
              <w:t>1.2.1.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HMGB-1</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w:t>
            </w:r>
            <w:r w:rsidR="00284BA0" w:rsidRPr="00284BA0">
              <w:rPr>
                <w:rFonts w:ascii="Calibri" w:hAnsi="Calibri"/>
                <w:i w:val="0"/>
                <w:noProof/>
                <w:webHidden/>
                <w:sz w:val="24"/>
              </w:rPr>
              <w:fldChar w:fldCharType="end"/>
            </w:r>
          </w:hyperlink>
        </w:p>
        <w:p w14:paraId="7BB058DB" w14:textId="6707D55E"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3" w:history="1">
            <w:r w:rsidR="00284BA0" w:rsidRPr="00284BA0">
              <w:rPr>
                <w:rStyle w:val="Hyperlink"/>
                <w:rFonts w:ascii="Calibri" w:hAnsi="Calibri" w:cs="Calibri"/>
                <w:i w:val="0"/>
                <w:noProof/>
                <w:sz w:val="24"/>
              </w:rPr>
              <w:t>1.2.2.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ATP</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w:t>
            </w:r>
            <w:r w:rsidR="00284BA0" w:rsidRPr="00284BA0">
              <w:rPr>
                <w:rFonts w:ascii="Calibri" w:hAnsi="Calibri"/>
                <w:i w:val="0"/>
                <w:noProof/>
                <w:webHidden/>
                <w:sz w:val="24"/>
              </w:rPr>
              <w:fldChar w:fldCharType="end"/>
            </w:r>
          </w:hyperlink>
        </w:p>
        <w:p w14:paraId="374DB6A8" w14:textId="10C21333"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4" w:history="1">
            <w:r w:rsidR="00284BA0" w:rsidRPr="00284BA0">
              <w:rPr>
                <w:rStyle w:val="Hyperlink"/>
                <w:rFonts w:ascii="Calibri" w:hAnsi="Calibri" w:cs="Calibri"/>
                <w:i w:val="0"/>
                <w:noProof/>
                <w:sz w:val="24"/>
              </w:rPr>
              <w:t>1.2.3.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CRT</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w:t>
            </w:r>
            <w:r w:rsidR="00284BA0" w:rsidRPr="00284BA0">
              <w:rPr>
                <w:rFonts w:ascii="Calibri" w:hAnsi="Calibri"/>
                <w:i w:val="0"/>
                <w:noProof/>
                <w:webHidden/>
                <w:sz w:val="24"/>
              </w:rPr>
              <w:fldChar w:fldCharType="end"/>
            </w:r>
          </w:hyperlink>
        </w:p>
        <w:p w14:paraId="3B65107E" w14:textId="14C910F3"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5" w:history="1">
            <w:r w:rsidR="00284BA0" w:rsidRPr="00284BA0">
              <w:rPr>
                <w:rStyle w:val="Hyperlink"/>
                <w:rFonts w:ascii="Calibri" w:hAnsi="Calibri" w:cs="Calibri"/>
                <w:i w:val="0"/>
                <w:noProof/>
                <w:sz w:val="24"/>
              </w:rPr>
              <w:t>1.2.4.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Heat Shock Proteins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w:t>
            </w:r>
            <w:r w:rsidR="00284BA0" w:rsidRPr="00284BA0">
              <w:rPr>
                <w:rFonts w:ascii="Calibri" w:hAnsi="Calibri"/>
                <w:i w:val="0"/>
                <w:noProof/>
                <w:webHidden/>
                <w:sz w:val="24"/>
              </w:rPr>
              <w:fldChar w:fldCharType="end"/>
            </w:r>
          </w:hyperlink>
        </w:p>
        <w:p w14:paraId="2F3673DD" w14:textId="7C7DBCC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6" w:history="1">
            <w:r w:rsidR="00284BA0" w:rsidRPr="00284BA0">
              <w:rPr>
                <w:rStyle w:val="Hyperlink"/>
                <w:rFonts w:ascii="Calibri" w:hAnsi="Calibri" w:cs="Calibri"/>
                <w:i w:val="0"/>
                <w:noProof/>
                <w:sz w:val="24"/>
              </w:rPr>
              <w:t>1.2.5.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Interleukin-1 family cytokines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11</w:t>
            </w:r>
            <w:r w:rsidR="00284BA0" w:rsidRPr="00284BA0">
              <w:rPr>
                <w:rFonts w:ascii="Calibri" w:hAnsi="Calibri"/>
                <w:i w:val="0"/>
                <w:noProof/>
                <w:webHidden/>
                <w:sz w:val="24"/>
              </w:rPr>
              <w:fldChar w:fldCharType="end"/>
            </w:r>
          </w:hyperlink>
        </w:p>
        <w:p w14:paraId="5707A0B4" w14:textId="4B4A43C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7" w:history="1">
            <w:r w:rsidR="00284BA0" w:rsidRPr="00284BA0">
              <w:rPr>
                <w:rStyle w:val="Hyperlink"/>
                <w:rFonts w:ascii="Calibri" w:hAnsi="Calibri" w:cs="Calibri"/>
                <w:i w:val="0"/>
                <w:noProof/>
                <w:sz w:val="24"/>
              </w:rPr>
              <w:t>1.3.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DAMPs activate immune cells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12</w:t>
            </w:r>
            <w:r w:rsidR="00284BA0" w:rsidRPr="00284BA0">
              <w:rPr>
                <w:rFonts w:ascii="Calibri" w:hAnsi="Calibri"/>
                <w:i w:val="0"/>
                <w:noProof/>
                <w:webHidden/>
                <w:sz w:val="24"/>
              </w:rPr>
              <w:fldChar w:fldCharType="end"/>
            </w:r>
          </w:hyperlink>
        </w:p>
        <w:p w14:paraId="5AACF4CD" w14:textId="5E503FE4"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8" w:history="1">
            <w:r w:rsidR="00284BA0" w:rsidRPr="00284BA0">
              <w:rPr>
                <w:rStyle w:val="Hyperlink"/>
                <w:rFonts w:ascii="Calibri" w:hAnsi="Calibri" w:cs="Calibri"/>
                <w:i w:val="0"/>
                <w:noProof/>
                <w:sz w:val="24"/>
              </w:rPr>
              <w:t>1.4.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ICD and DAMP Release Inducers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w:t>
            </w:r>
            <w:r w:rsidR="00284BA0" w:rsidRPr="00284BA0">
              <w:rPr>
                <w:rFonts w:ascii="Calibri" w:hAnsi="Calibri"/>
                <w:i w:val="0"/>
                <w:noProof/>
                <w:webHidden/>
                <w:sz w:val="24"/>
              </w:rPr>
              <w:fldChar w:fldCharType="end"/>
            </w:r>
          </w:hyperlink>
        </w:p>
        <w:p w14:paraId="38384D64" w14:textId="42D5D71A"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29" w:history="1">
            <w:r w:rsidR="00284BA0" w:rsidRPr="00284BA0">
              <w:rPr>
                <w:rStyle w:val="Hyperlink"/>
                <w:rFonts w:ascii="Calibri" w:hAnsi="Calibri"/>
                <w:i w:val="0"/>
                <w:noProof/>
                <w:sz w:val="24"/>
              </w:rPr>
              <w:t>1.4.1.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i w:val="0"/>
                <w:noProof/>
                <w:sz w:val="24"/>
              </w:rPr>
              <w:t>Chemotherapeutics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_Toc120794129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w:t>
            </w:r>
            <w:r w:rsidR="00284BA0" w:rsidRPr="00284BA0">
              <w:rPr>
                <w:rFonts w:ascii="Calibri" w:hAnsi="Calibri"/>
                <w:i w:val="0"/>
                <w:noProof/>
                <w:webHidden/>
                <w:sz w:val="24"/>
              </w:rPr>
              <w:fldChar w:fldCharType="end"/>
            </w:r>
          </w:hyperlink>
        </w:p>
        <w:p w14:paraId="62FDC4E6" w14:textId="30A922D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30" w:history="1">
            <w:r w:rsidR="00284BA0" w:rsidRPr="00284BA0">
              <w:rPr>
                <w:rStyle w:val="Hyperlink"/>
                <w:rFonts w:ascii="Calibri" w:hAnsi="Calibri" w:cs="Calibri"/>
                <w:i w:val="0"/>
                <w:noProof/>
                <w:sz w:val="24"/>
              </w:rPr>
              <w:t>1.4.2.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Physical therapies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_Toc120794130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16</w:t>
            </w:r>
            <w:r w:rsidR="00284BA0" w:rsidRPr="00284BA0">
              <w:rPr>
                <w:rFonts w:ascii="Calibri" w:hAnsi="Calibri"/>
                <w:i w:val="0"/>
                <w:noProof/>
                <w:webHidden/>
                <w:sz w:val="24"/>
              </w:rPr>
              <w:fldChar w:fldCharType="end"/>
            </w:r>
          </w:hyperlink>
        </w:p>
        <w:p w14:paraId="3C77A803" w14:textId="3C248232"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31" w:history="1">
            <w:r w:rsidR="00284BA0" w:rsidRPr="00284BA0">
              <w:rPr>
                <w:rStyle w:val="Hyperlink"/>
                <w:rFonts w:ascii="Calibri" w:hAnsi="Calibri" w:cs="Calibri"/>
                <w:i w:val="0"/>
                <w:noProof/>
                <w:sz w:val="24"/>
              </w:rPr>
              <w:t>1.4.3.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Antimicrobial peptides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_Toc120794131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17</w:t>
            </w:r>
            <w:r w:rsidR="00284BA0" w:rsidRPr="00284BA0">
              <w:rPr>
                <w:rFonts w:ascii="Calibri" w:hAnsi="Calibri"/>
                <w:i w:val="0"/>
                <w:noProof/>
                <w:webHidden/>
                <w:sz w:val="24"/>
              </w:rPr>
              <w:fldChar w:fldCharType="end"/>
            </w:r>
          </w:hyperlink>
        </w:p>
        <w:p w14:paraId="5575499D" w14:textId="230DAC0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32" w:history="1">
            <w:r w:rsidR="00284BA0" w:rsidRPr="00284BA0">
              <w:rPr>
                <w:rStyle w:val="Hyperlink"/>
                <w:rFonts w:ascii="Calibri" w:hAnsi="Calibri" w:cs="Calibri"/>
                <w:i w:val="0"/>
                <w:noProof/>
                <w:sz w:val="24"/>
              </w:rPr>
              <w:t>1.4.4.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Protein/Peptide aggregation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_Toc120794132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20</w:t>
            </w:r>
            <w:r w:rsidR="00284BA0" w:rsidRPr="00284BA0">
              <w:rPr>
                <w:rFonts w:ascii="Calibri" w:hAnsi="Calibri"/>
                <w:i w:val="0"/>
                <w:noProof/>
                <w:webHidden/>
                <w:sz w:val="24"/>
              </w:rPr>
              <w:fldChar w:fldCharType="end"/>
            </w:r>
          </w:hyperlink>
        </w:p>
        <w:p w14:paraId="0F95F3AA" w14:textId="11F02018"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33" w:history="1">
            <w:r w:rsidR="00284BA0" w:rsidRPr="00284BA0">
              <w:rPr>
                <w:rStyle w:val="Hyperlink"/>
                <w:rFonts w:ascii="Calibri" w:hAnsi="Calibri" w:cs="Calibri"/>
                <w:i w:val="0"/>
                <w:noProof/>
                <w:sz w:val="24"/>
              </w:rPr>
              <w:t>1.4.5.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Peptide Aggregation Model to Induce ICD and DAMP release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_Toc120794133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23</w:t>
            </w:r>
            <w:r w:rsidR="00284BA0" w:rsidRPr="00284BA0">
              <w:rPr>
                <w:rFonts w:ascii="Calibri" w:hAnsi="Calibri"/>
                <w:i w:val="0"/>
                <w:noProof/>
                <w:webHidden/>
                <w:sz w:val="24"/>
              </w:rPr>
              <w:fldChar w:fldCharType="end"/>
            </w:r>
          </w:hyperlink>
        </w:p>
        <w:p w14:paraId="06B17C41" w14:textId="18994A07" w:rsidR="00284BA0" w:rsidRPr="00284BA0" w:rsidRDefault="00000000">
          <w:pPr>
            <w:pStyle w:val="TOC1"/>
            <w:tabs>
              <w:tab w:val="right" w:leader="dot" w:pos="9350"/>
            </w:tabs>
            <w:rPr>
              <w:rFonts w:ascii="Calibri" w:eastAsiaTheme="minorEastAsia" w:hAnsi="Calibri" w:cstheme="minorBidi"/>
              <w:b w:val="0"/>
              <w:bCs w:val="0"/>
              <w:noProof/>
              <w:sz w:val="24"/>
              <w:szCs w:val="24"/>
            </w:rPr>
          </w:pPr>
          <w:hyperlink w:anchor="_Toc120794134" w:history="1">
            <w:r w:rsidR="00284BA0" w:rsidRPr="00284BA0">
              <w:rPr>
                <w:rStyle w:val="Hyperlink"/>
                <w:rFonts w:ascii="Calibri" w:hAnsi="Calibri" w:cs="Calibri"/>
                <w:b w:val="0"/>
                <w:noProof/>
                <w:sz w:val="24"/>
              </w:rPr>
              <w:t>Chapter 2: Peptide Aggregation Induced Immunogenic Rupture (PAIIR)</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_Toc120794134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26</w:t>
            </w:r>
            <w:r w:rsidR="00284BA0" w:rsidRPr="00284BA0">
              <w:rPr>
                <w:rFonts w:ascii="Calibri" w:hAnsi="Calibri"/>
                <w:b w:val="0"/>
                <w:noProof/>
                <w:webHidden/>
                <w:sz w:val="24"/>
              </w:rPr>
              <w:fldChar w:fldCharType="end"/>
            </w:r>
          </w:hyperlink>
        </w:p>
        <w:p w14:paraId="61F885A1" w14:textId="2E524B6B"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35" w:history="1">
            <w:r w:rsidR="00284BA0" w:rsidRPr="00284BA0">
              <w:rPr>
                <w:rStyle w:val="Hyperlink"/>
                <w:rFonts w:ascii="Calibri" w:hAnsi="Calibri" w:cs="Calibri"/>
                <w:i w:val="0"/>
                <w:noProof/>
                <w:sz w:val="24"/>
              </w:rPr>
              <w:t>2.1.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Introduction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_Toc120794135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26</w:t>
            </w:r>
            <w:r w:rsidR="00284BA0" w:rsidRPr="00284BA0">
              <w:rPr>
                <w:rFonts w:ascii="Calibri" w:hAnsi="Calibri"/>
                <w:i w:val="0"/>
                <w:noProof/>
                <w:webHidden/>
                <w:sz w:val="24"/>
              </w:rPr>
              <w:fldChar w:fldCharType="end"/>
            </w:r>
          </w:hyperlink>
        </w:p>
        <w:p w14:paraId="162B5E49" w14:textId="4F6DFFFC"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36" w:history="1">
            <w:r w:rsidR="00284BA0" w:rsidRPr="00284BA0">
              <w:rPr>
                <w:rStyle w:val="Hyperlink"/>
                <w:rFonts w:ascii="Calibri" w:hAnsi="Calibri" w:cs="Calibri"/>
                <w:i w:val="0"/>
                <w:noProof/>
                <w:sz w:val="24"/>
              </w:rPr>
              <w:t>2.2.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Results and Discussion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_Toc120794136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31</w:t>
            </w:r>
            <w:r w:rsidR="00284BA0" w:rsidRPr="00284BA0">
              <w:rPr>
                <w:rFonts w:ascii="Calibri" w:hAnsi="Calibri"/>
                <w:i w:val="0"/>
                <w:noProof/>
                <w:webHidden/>
                <w:sz w:val="24"/>
              </w:rPr>
              <w:fldChar w:fldCharType="end"/>
            </w:r>
          </w:hyperlink>
        </w:p>
        <w:p w14:paraId="18CCE679" w14:textId="52A9706E"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37" w:history="1">
            <w:r w:rsidR="00284BA0" w:rsidRPr="00284BA0">
              <w:rPr>
                <w:rStyle w:val="Hyperlink"/>
                <w:rFonts w:ascii="Calibri" w:hAnsi="Calibri" w:cs="Calibri"/>
                <w:i w:val="0"/>
                <w:noProof/>
                <w:sz w:val="24"/>
              </w:rPr>
              <w:t>2.2.1.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Designing Peptides as ICD Inducing Tools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_Toc120794137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31</w:t>
            </w:r>
            <w:r w:rsidR="00284BA0" w:rsidRPr="00284BA0">
              <w:rPr>
                <w:rFonts w:ascii="Calibri" w:hAnsi="Calibri"/>
                <w:i w:val="0"/>
                <w:noProof/>
                <w:webHidden/>
                <w:sz w:val="24"/>
              </w:rPr>
              <w:fldChar w:fldCharType="end"/>
            </w:r>
          </w:hyperlink>
        </w:p>
        <w:p w14:paraId="07B25C2B" w14:textId="5FD987BE"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38" w:history="1">
            <w:r w:rsidR="00284BA0" w:rsidRPr="00284BA0">
              <w:rPr>
                <w:rStyle w:val="Hyperlink"/>
                <w:rFonts w:ascii="Calibri" w:hAnsi="Calibri" w:cs="Calibri"/>
                <w:i w:val="0"/>
                <w:noProof/>
                <w:sz w:val="24"/>
              </w:rPr>
              <w:t>2.2.2.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Cell Viability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_Toc120794138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35</w:t>
            </w:r>
            <w:r w:rsidR="00284BA0" w:rsidRPr="00284BA0">
              <w:rPr>
                <w:rFonts w:ascii="Calibri" w:hAnsi="Calibri"/>
                <w:i w:val="0"/>
                <w:noProof/>
                <w:webHidden/>
                <w:sz w:val="24"/>
              </w:rPr>
              <w:fldChar w:fldCharType="end"/>
            </w:r>
          </w:hyperlink>
        </w:p>
        <w:p w14:paraId="6086978A" w14:textId="33DA7F05"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39" w:history="1">
            <w:r w:rsidR="00284BA0" w:rsidRPr="00284BA0">
              <w:rPr>
                <w:rStyle w:val="Hyperlink"/>
                <w:rFonts w:ascii="Calibri" w:hAnsi="Calibri" w:cs="Calibri"/>
                <w:i w:val="0"/>
                <w:noProof/>
                <w:sz w:val="24"/>
              </w:rPr>
              <w:t>2.2.3.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Cell Membrane rupture Through Peptide Assembly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_Toc120794139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38</w:t>
            </w:r>
            <w:r w:rsidR="00284BA0" w:rsidRPr="00284BA0">
              <w:rPr>
                <w:rFonts w:ascii="Calibri" w:hAnsi="Calibri"/>
                <w:i w:val="0"/>
                <w:noProof/>
                <w:webHidden/>
                <w:sz w:val="24"/>
              </w:rPr>
              <w:fldChar w:fldCharType="end"/>
            </w:r>
          </w:hyperlink>
        </w:p>
        <w:p w14:paraId="267072A2" w14:textId="3A5413C2"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0" w:history="1">
            <w:r w:rsidR="00284BA0" w:rsidRPr="00284BA0">
              <w:rPr>
                <w:rStyle w:val="Hyperlink"/>
                <w:rFonts w:ascii="Calibri" w:hAnsi="Calibri" w:cs="Calibri"/>
                <w:i w:val="0"/>
                <w:noProof/>
                <w:sz w:val="24"/>
              </w:rPr>
              <w:t>2.2.4.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Aggregation-Induced Cell Death is Immunogenic</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43</w:t>
            </w:r>
            <w:r w:rsidR="00284BA0" w:rsidRPr="00284BA0">
              <w:rPr>
                <w:rFonts w:ascii="Calibri" w:hAnsi="Calibri"/>
                <w:i w:val="0"/>
                <w:noProof/>
                <w:webHidden/>
                <w:sz w:val="24"/>
              </w:rPr>
              <w:fldChar w:fldCharType="end"/>
            </w:r>
          </w:hyperlink>
        </w:p>
        <w:p w14:paraId="42EA811A" w14:textId="3A913CB0"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1" w:history="1">
            <w:r w:rsidR="00284BA0" w:rsidRPr="00284BA0">
              <w:rPr>
                <w:rStyle w:val="Hyperlink"/>
                <w:rFonts w:ascii="Calibri" w:hAnsi="Calibri" w:cs="Calibri"/>
                <w:i w:val="0"/>
                <w:noProof/>
                <w:sz w:val="24"/>
              </w:rPr>
              <w:t>2.2.5.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Peptide Assembly Induced ICD in Different Cell Types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48</w:t>
            </w:r>
            <w:r w:rsidR="00284BA0" w:rsidRPr="00284BA0">
              <w:rPr>
                <w:rFonts w:ascii="Calibri" w:hAnsi="Calibri"/>
                <w:i w:val="0"/>
                <w:noProof/>
                <w:webHidden/>
                <w:sz w:val="24"/>
              </w:rPr>
              <w:fldChar w:fldCharType="end"/>
            </w:r>
          </w:hyperlink>
        </w:p>
        <w:p w14:paraId="39678A87" w14:textId="448AB116"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2" w:history="1">
            <w:r w:rsidR="00284BA0" w:rsidRPr="00284BA0">
              <w:rPr>
                <w:rStyle w:val="Hyperlink"/>
                <w:rFonts w:ascii="Calibri" w:hAnsi="Calibri" w:cs="Calibri"/>
                <w:i w:val="0"/>
                <w:noProof/>
                <w:sz w:val="24"/>
              </w:rPr>
              <w:t>2.2.6.</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Induced Immune Response Enhances the Specific Antibody Formation Against Influenza Antigens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50</w:t>
            </w:r>
            <w:r w:rsidR="00284BA0" w:rsidRPr="00284BA0">
              <w:rPr>
                <w:rFonts w:ascii="Calibri" w:hAnsi="Calibri"/>
                <w:i w:val="0"/>
                <w:noProof/>
                <w:webHidden/>
                <w:sz w:val="24"/>
              </w:rPr>
              <w:fldChar w:fldCharType="end"/>
            </w:r>
          </w:hyperlink>
        </w:p>
        <w:p w14:paraId="543A2CD7" w14:textId="18C13693"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3" w:history="1">
            <w:r w:rsidR="00284BA0" w:rsidRPr="00284BA0">
              <w:rPr>
                <w:rStyle w:val="Hyperlink"/>
                <w:rFonts w:ascii="Calibri" w:hAnsi="Calibri" w:cs="Calibri"/>
                <w:i w:val="0"/>
                <w:noProof/>
                <w:sz w:val="24"/>
              </w:rPr>
              <w:t>2.3.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Conclusions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54</w:t>
            </w:r>
            <w:r w:rsidR="00284BA0" w:rsidRPr="00284BA0">
              <w:rPr>
                <w:rFonts w:ascii="Calibri" w:hAnsi="Calibri"/>
                <w:i w:val="0"/>
                <w:noProof/>
                <w:webHidden/>
                <w:sz w:val="24"/>
              </w:rPr>
              <w:fldChar w:fldCharType="end"/>
            </w:r>
          </w:hyperlink>
        </w:p>
        <w:p w14:paraId="56D71F1A" w14:textId="7C47496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4" w:history="1">
            <w:r w:rsidR="00284BA0" w:rsidRPr="00284BA0">
              <w:rPr>
                <w:rStyle w:val="Hyperlink"/>
                <w:rFonts w:ascii="Calibri" w:hAnsi="Calibri" w:cs="Calibri"/>
                <w:i w:val="0"/>
                <w:noProof/>
                <w:sz w:val="24"/>
              </w:rPr>
              <w:t>2.4.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Experimental Section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55</w:t>
            </w:r>
            <w:r w:rsidR="00284BA0" w:rsidRPr="00284BA0">
              <w:rPr>
                <w:rFonts w:ascii="Calibri" w:hAnsi="Calibri"/>
                <w:i w:val="0"/>
                <w:noProof/>
                <w:webHidden/>
                <w:sz w:val="24"/>
              </w:rPr>
              <w:fldChar w:fldCharType="end"/>
            </w:r>
          </w:hyperlink>
        </w:p>
        <w:p w14:paraId="15D110F9" w14:textId="7949537F"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5" w:history="1">
            <w:r w:rsidR="00284BA0" w:rsidRPr="00284BA0">
              <w:rPr>
                <w:rStyle w:val="Hyperlink"/>
                <w:rFonts w:ascii="Calibri" w:hAnsi="Calibri" w:cs="Calibri"/>
                <w:i w:val="0"/>
                <w:noProof/>
                <w:sz w:val="24"/>
              </w:rPr>
              <w:t>2.4.1.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Statistical Analysis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55</w:t>
            </w:r>
            <w:r w:rsidR="00284BA0" w:rsidRPr="00284BA0">
              <w:rPr>
                <w:rFonts w:ascii="Calibri" w:hAnsi="Calibri"/>
                <w:i w:val="0"/>
                <w:noProof/>
                <w:webHidden/>
                <w:sz w:val="24"/>
              </w:rPr>
              <w:fldChar w:fldCharType="end"/>
            </w:r>
          </w:hyperlink>
        </w:p>
        <w:p w14:paraId="1084E2D9" w14:textId="7DEEAF25"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6" w:history="1">
            <w:r w:rsidR="00284BA0" w:rsidRPr="00284BA0">
              <w:rPr>
                <w:rStyle w:val="Hyperlink"/>
                <w:rFonts w:ascii="Calibri" w:hAnsi="Calibri" w:cs="Calibri"/>
                <w:i w:val="0"/>
                <w:noProof/>
                <w:sz w:val="24"/>
              </w:rPr>
              <w:t>2.4.2.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Materials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55</w:t>
            </w:r>
            <w:r w:rsidR="00284BA0" w:rsidRPr="00284BA0">
              <w:rPr>
                <w:rFonts w:ascii="Calibri" w:hAnsi="Calibri"/>
                <w:i w:val="0"/>
                <w:noProof/>
                <w:webHidden/>
                <w:sz w:val="24"/>
              </w:rPr>
              <w:fldChar w:fldCharType="end"/>
            </w:r>
          </w:hyperlink>
        </w:p>
        <w:p w14:paraId="54FF4FC2" w14:textId="5769B0EE"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7" w:history="1">
            <w:r w:rsidR="00284BA0" w:rsidRPr="00284BA0">
              <w:rPr>
                <w:rStyle w:val="Hyperlink"/>
                <w:rFonts w:ascii="Calibri" w:hAnsi="Calibri" w:cs="Calibri"/>
                <w:i w:val="0"/>
                <w:noProof/>
                <w:sz w:val="24"/>
              </w:rPr>
              <w:t>2.4.3.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Cell Culture and Reagents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55</w:t>
            </w:r>
            <w:r w:rsidR="00284BA0" w:rsidRPr="00284BA0">
              <w:rPr>
                <w:rFonts w:ascii="Calibri" w:hAnsi="Calibri"/>
                <w:i w:val="0"/>
                <w:noProof/>
                <w:webHidden/>
                <w:sz w:val="24"/>
              </w:rPr>
              <w:fldChar w:fldCharType="end"/>
            </w:r>
          </w:hyperlink>
        </w:p>
        <w:p w14:paraId="61A3B6C4" w14:textId="299D0FB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8" w:history="1">
            <w:r w:rsidR="00284BA0" w:rsidRPr="00284BA0">
              <w:rPr>
                <w:rStyle w:val="Hyperlink"/>
                <w:rFonts w:ascii="Calibri" w:hAnsi="Calibri" w:cs="Calibri"/>
                <w:i w:val="0"/>
                <w:noProof/>
                <w:sz w:val="24"/>
              </w:rPr>
              <w:t>2.4.4.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Synthesis and Characterization of FF Peptides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56</w:t>
            </w:r>
            <w:r w:rsidR="00284BA0" w:rsidRPr="00284BA0">
              <w:rPr>
                <w:rFonts w:ascii="Calibri" w:hAnsi="Calibri"/>
                <w:i w:val="0"/>
                <w:noProof/>
                <w:webHidden/>
                <w:sz w:val="24"/>
              </w:rPr>
              <w:fldChar w:fldCharType="end"/>
            </w:r>
          </w:hyperlink>
        </w:p>
        <w:p w14:paraId="60A76F9E" w14:textId="65B6320B"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49" w:history="1">
            <w:r w:rsidR="00284BA0" w:rsidRPr="00284BA0">
              <w:rPr>
                <w:rStyle w:val="Hyperlink"/>
                <w:rFonts w:ascii="Calibri" w:hAnsi="Calibri" w:cs="Calibri"/>
                <w:i w:val="0"/>
                <w:noProof/>
                <w:sz w:val="24"/>
              </w:rPr>
              <w:t>2.4.5.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Peptide Aggregation Analysis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_Toc120794149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57</w:t>
            </w:r>
            <w:r w:rsidR="00284BA0" w:rsidRPr="00284BA0">
              <w:rPr>
                <w:rFonts w:ascii="Calibri" w:hAnsi="Calibri"/>
                <w:i w:val="0"/>
                <w:noProof/>
                <w:webHidden/>
                <w:sz w:val="24"/>
              </w:rPr>
              <w:fldChar w:fldCharType="end"/>
            </w:r>
          </w:hyperlink>
        </w:p>
        <w:p w14:paraId="1271E841" w14:textId="453951C8"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50" w:history="1">
            <w:r w:rsidR="00284BA0" w:rsidRPr="00284BA0">
              <w:rPr>
                <w:rStyle w:val="Hyperlink"/>
                <w:rFonts w:ascii="Calibri" w:hAnsi="Calibri" w:cs="Calibri"/>
                <w:i w:val="0"/>
                <w:noProof/>
                <w:sz w:val="24"/>
              </w:rPr>
              <w:t>2.4.6.</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TEM Analysis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58</w:t>
            </w:r>
            <w:r w:rsidR="00284BA0" w:rsidRPr="00284BA0">
              <w:rPr>
                <w:rFonts w:ascii="Calibri" w:hAnsi="Calibri"/>
                <w:i w:val="0"/>
                <w:noProof/>
                <w:webHidden/>
                <w:sz w:val="24"/>
              </w:rPr>
              <w:fldChar w:fldCharType="end"/>
            </w:r>
          </w:hyperlink>
        </w:p>
        <w:p w14:paraId="36E7AFA6" w14:textId="6FBE9043"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51" w:history="1">
            <w:r w:rsidR="00284BA0" w:rsidRPr="00284BA0">
              <w:rPr>
                <w:rStyle w:val="Hyperlink"/>
                <w:rFonts w:ascii="Calibri" w:hAnsi="Calibri" w:cs="Calibri"/>
                <w:i w:val="0"/>
                <w:noProof/>
                <w:sz w:val="24"/>
              </w:rPr>
              <w:t>2.4.7.</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Peptide Treatment and Viability Experiments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58</w:t>
            </w:r>
            <w:r w:rsidR="00284BA0" w:rsidRPr="00284BA0">
              <w:rPr>
                <w:rFonts w:ascii="Calibri" w:hAnsi="Calibri"/>
                <w:i w:val="0"/>
                <w:noProof/>
                <w:webHidden/>
                <w:sz w:val="24"/>
              </w:rPr>
              <w:fldChar w:fldCharType="end"/>
            </w:r>
          </w:hyperlink>
        </w:p>
        <w:p w14:paraId="714A4952" w14:textId="387014E6"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52" w:history="1">
            <w:r w:rsidR="00284BA0" w:rsidRPr="00284BA0">
              <w:rPr>
                <w:rStyle w:val="Hyperlink"/>
                <w:rFonts w:ascii="Calibri" w:hAnsi="Calibri" w:cs="Calibri"/>
                <w:i w:val="0"/>
                <w:noProof/>
                <w:sz w:val="24"/>
              </w:rPr>
              <w:t>2.4.8.</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Induction of Different Cell Death Modalities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58</w:t>
            </w:r>
            <w:r w:rsidR="00284BA0" w:rsidRPr="00284BA0">
              <w:rPr>
                <w:rFonts w:ascii="Calibri" w:hAnsi="Calibri"/>
                <w:i w:val="0"/>
                <w:noProof/>
                <w:webHidden/>
                <w:sz w:val="24"/>
              </w:rPr>
              <w:fldChar w:fldCharType="end"/>
            </w:r>
          </w:hyperlink>
        </w:p>
        <w:p w14:paraId="49EBBCB5" w14:textId="7CA00F27"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53" w:history="1">
            <w:r w:rsidR="00284BA0" w:rsidRPr="00284BA0">
              <w:rPr>
                <w:rStyle w:val="Hyperlink"/>
                <w:rFonts w:ascii="Calibri" w:hAnsi="Calibri" w:cs="Calibri"/>
                <w:i w:val="0"/>
                <w:noProof/>
                <w:sz w:val="24"/>
              </w:rPr>
              <w:t>2.4.9.</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Protein Extraction and Quantification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59</w:t>
            </w:r>
            <w:r w:rsidR="00284BA0" w:rsidRPr="00284BA0">
              <w:rPr>
                <w:rFonts w:ascii="Calibri" w:hAnsi="Calibri"/>
                <w:i w:val="0"/>
                <w:noProof/>
                <w:webHidden/>
                <w:sz w:val="24"/>
              </w:rPr>
              <w:fldChar w:fldCharType="end"/>
            </w:r>
          </w:hyperlink>
        </w:p>
        <w:p w14:paraId="73B35793" w14:textId="71CB1861"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54" w:history="1">
            <w:r w:rsidR="00284BA0" w:rsidRPr="00284BA0">
              <w:rPr>
                <w:rStyle w:val="Hyperlink"/>
                <w:rFonts w:ascii="Calibri" w:hAnsi="Calibri" w:cs="Calibri"/>
                <w:i w:val="0"/>
                <w:noProof/>
                <w:sz w:val="24"/>
              </w:rPr>
              <w:t>2.4.10.</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Immunoblotting Reagents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59</w:t>
            </w:r>
            <w:r w:rsidR="00284BA0" w:rsidRPr="00284BA0">
              <w:rPr>
                <w:rFonts w:ascii="Calibri" w:hAnsi="Calibri"/>
                <w:i w:val="0"/>
                <w:noProof/>
                <w:webHidden/>
                <w:sz w:val="24"/>
              </w:rPr>
              <w:fldChar w:fldCharType="end"/>
            </w:r>
          </w:hyperlink>
        </w:p>
        <w:p w14:paraId="42338ADA" w14:textId="383B64E9"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55" w:history="1">
            <w:r w:rsidR="00284BA0" w:rsidRPr="00284BA0">
              <w:rPr>
                <w:rStyle w:val="Hyperlink"/>
                <w:rFonts w:ascii="Calibri" w:hAnsi="Calibri" w:cs="Calibri"/>
                <w:i w:val="0"/>
                <w:noProof/>
                <w:sz w:val="24"/>
              </w:rPr>
              <w:t>2.4.11.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Procedure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60</w:t>
            </w:r>
            <w:r w:rsidR="00284BA0" w:rsidRPr="00284BA0">
              <w:rPr>
                <w:rFonts w:ascii="Calibri" w:hAnsi="Calibri"/>
                <w:i w:val="0"/>
                <w:noProof/>
                <w:webHidden/>
                <w:sz w:val="24"/>
              </w:rPr>
              <w:fldChar w:fldCharType="end"/>
            </w:r>
          </w:hyperlink>
        </w:p>
        <w:p w14:paraId="4E62AF20" w14:textId="2B5DDD5F"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56" w:history="1">
            <w:r w:rsidR="00284BA0" w:rsidRPr="00284BA0">
              <w:rPr>
                <w:rStyle w:val="Hyperlink"/>
                <w:rFonts w:ascii="Calibri" w:hAnsi="Calibri" w:cs="Calibri"/>
                <w:i w:val="0"/>
                <w:noProof/>
                <w:sz w:val="24"/>
              </w:rPr>
              <w:t>2.4.12.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LDH Assay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60</w:t>
            </w:r>
            <w:r w:rsidR="00284BA0" w:rsidRPr="00284BA0">
              <w:rPr>
                <w:rFonts w:ascii="Calibri" w:hAnsi="Calibri"/>
                <w:i w:val="0"/>
                <w:noProof/>
                <w:webHidden/>
                <w:sz w:val="24"/>
              </w:rPr>
              <w:fldChar w:fldCharType="end"/>
            </w:r>
          </w:hyperlink>
        </w:p>
        <w:p w14:paraId="3AE547FA" w14:textId="31E355F8"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57" w:history="1">
            <w:r w:rsidR="00284BA0" w:rsidRPr="00284BA0">
              <w:rPr>
                <w:rStyle w:val="Hyperlink"/>
                <w:rFonts w:ascii="Calibri" w:hAnsi="Calibri" w:cs="Calibri"/>
                <w:i w:val="0"/>
                <w:noProof/>
                <w:sz w:val="24"/>
              </w:rPr>
              <w:t>2.4.13.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Flow Cytometry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61</w:t>
            </w:r>
            <w:r w:rsidR="00284BA0" w:rsidRPr="00284BA0">
              <w:rPr>
                <w:rFonts w:ascii="Calibri" w:hAnsi="Calibri"/>
                <w:i w:val="0"/>
                <w:noProof/>
                <w:webHidden/>
                <w:sz w:val="24"/>
              </w:rPr>
              <w:fldChar w:fldCharType="end"/>
            </w:r>
          </w:hyperlink>
        </w:p>
        <w:p w14:paraId="09070423" w14:textId="5188BEF9"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58" w:history="1">
            <w:r w:rsidR="00284BA0" w:rsidRPr="00284BA0">
              <w:rPr>
                <w:rStyle w:val="Hyperlink"/>
                <w:rFonts w:ascii="Calibri" w:hAnsi="Calibri" w:cs="Calibri"/>
                <w:i w:val="0"/>
                <w:noProof/>
                <w:sz w:val="24"/>
              </w:rPr>
              <w:t>2.4.14.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Immunocytochemistry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61</w:t>
            </w:r>
            <w:r w:rsidR="00284BA0" w:rsidRPr="00284BA0">
              <w:rPr>
                <w:rFonts w:ascii="Calibri" w:hAnsi="Calibri"/>
                <w:i w:val="0"/>
                <w:noProof/>
                <w:webHidden/>
                <w:sz w:val="24"/>
              </w:rPr>
              <w:fldChar w:fldCharType="end"/>
            </w:r>
          </w:hyperlink>
        </w:p>
        <w:p w14:paraId="6D365CAC" w14:textId="2CB73CAD"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59" w:history="1">
            <w:r w:rsidR="00284BA0" w:rsidRPr="00284BA0">
              <w:rPr>
                <w:rStyle w:val="Hyperlink"/>
                <w:rFonts w:ascii="Calibri" w:hAnsi="Calibri" w:cs="Calibri"/>
                <w:i w:val="0"/>
                <w:noProof/>
                <w:sz w:val="24"/>
              </w:rPr>
              <w:t>2.4.15.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Cytochrome c Staining</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_Toc120794159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61</w:t>
            </w:r>
            <w:r w:rsidR="00284BA0" w:rsidRPr="00284BA0">
              <w:rPr>
                <w:rFonts w:ascii="Calibri" w:hAnsi="Calibri"/>
                <w:i w:val="0"/>
                <w:noProof/>
                <w:webHidden/>
                <w:sz w:val="24"/>
              </w:rPr>
              <w:fldChar w:fldCharType="end"/>
            </w:r>
          </w:hyperlink>
        </w:p>
        <w:p w14:paraId="598E27E5" w14:textId="5C86ECC0"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60" w:history="1">
            <w:r w:rsidR="00284BA0" w:rsidRPr="00284BA0">
              <w:rPr>
                <w:rStyle w:val="Hyperlink"/>
                <w:rFonts w:ascii="Calibri" w:hAnsi="Calibri" w:cs="Calibri"/>
                <w:i w:val="0"/>
                <w:noProof/>
                <w:sz w:val="24"/>
              </w:rPr>
              <w:t>2.4.16.</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THP-1 Differentiation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_Toc120794160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62</w:t>
            </w:r>
            <w:r w:rsidR="00284BA0" w:rsidRPr="00284BA0">
              <w:rPr>
                <w:rFonts w:ascii="Calibri" w:hAnsi="Calibri"/>
                <w:i w:val="0"/>
                <w:noProof/>
                <w:webHidden/>
                <w:sz w:val="24"/>
              </w:rPr>
              <w:fldChar w:fldCharType="end"/>
            </w:r>
          </w:hyperlink>
        </w:p>
        <w:p w14:paraId="3D9D6E4F" w14:textId="01AD8BFE"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61" w:history="1">
            <w:r w:rsidR="00284BA0" w:rsidRPr="00284BA0">
              <w:rPr>
                <w:rStyle w:val="Hyperlink"/>
                <w:rFonts w:ascii="Calibri" w:hAnsi="Calibri" w:cs="Calibri"/>
                <w:i w:val="0"/>
                <w:noProof/>
                <w:sz w:val="24"/>
              </w:rPr>
              <w:t>2.4.17.</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Ethics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_Toc120794161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62</w:t>
            </w:r>
            <w:r w:rsidR="00284BA0" w:rsidRPr="00284BA0">
              <w:rPr>
                <w:rFonts w:ascii="Calibri" w:hAnsi="Calibri"/>
                <w:i w:val="0"/>
                <w:noProof/>
                <w:webHidden/>
                <w:sz w:val="24"/>
              </w:rPr>
              <w:fldChar w:fldCharType="end"/>
            </w:r>
          </w:hyperlink>
        </w:p>
        <w:p w14:paraId="5B9D98AD" w14:textId="28A4B180"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62" w:history="1">
            <w:r w:rsidR="00284BA0" w:rsidRPr="00284BA0">
              <w:rPr>
                <w:rStyle w:val="Hyperlink"/>
                <w:rFonts w:ascii="Calibri" w:hAnsi="Calibri" w:cs="Calibri"/>
                <w:i w:val="0"/>
                <w:noProof/>
                <w:sz w:val="24"/>
              </w:rPr>
              <w:t>2.4.18.</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Immunization and Sera Collection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_Toc120794162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62</w:t>
            </w:r>
            <w:r w:rsidR="00284BA0" w:rsidRPr="00284BA0">
              <w:rPr>
                <w:rFonts w:ascii="Calibri" w:hAnsi="Calibri"/>
                <w:i w:val="0"/>
                <w:noProof/>
                <w:webHidden/>
                <w:sz w:val="24"/>
              </w:rPr>
              <w:fldChar w:fldCharType="end"/>
            </w:r>
          </w:hyperlink>
        </w:p>
        <w:p w14:paraId="47F705BB" w14:textId="417C2F3B"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63" w:history="1">
            <w:r w:rsidR="00284BA0" w:rsidRPr="00284BA0">
              <w:rPr>
                <w:rStyle w:val="Hyperlink"/>
                <w:rFonts w:ascii="Calibri" w:hAnsi="Calibri" w:cs="Calibri"/>
                <w:i w:val="0"/>
                <w:noProof/>
                <w:sz w:val="24"/>
              </w:rPr>
              <w:t>2.4.19.</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ELISA</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_Toc120794163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63</w:t>
            </w:r>
            <w:r w:rsidR="00284BA0" w:rsidRPr="00284BA0">
              <w:rPr>
                <w:rFonts w:ascii="Calibri" w:hAnsi="Calibri"/>
                <w:i w:val="0"/>
                <w:noProof/>
                <w:webHidden/>
                <w:sz w:val="24"/>
              </w:rPr>
              <w:fldChar w:fldCharType="end"/>
            </w:r>
          </w:hyperlink>
        </w:p>
        <w:p w14:paraId="6AA3AB73" w14:textId="563E6E69" w:rsidR="00284BA0" w:rsidRPr="00284BA0" w:rsidRDefault="00000000">
          <w:pPr>
            <w:pStyle w:val="TOC1"/>
            <w:tabs>
              <w:tab w:val="right" w:leader="dot" w:pos="9350"/>
            </w:tabs>
            <w:rPr>
              <w:rFonts w:ascii="Calibri" w:eastAsiaTheme="minorEastAsia" w:hAnsi="Calibri" w:cstheme="minorBidi"/>
              <w:b w:val="0"/>
              <w:bCs w:val="0"/>
              <w:noProof/>
              <w:sz w:val="24"/>
              <w:szCs w:val="24"/>
            </w:rPr>
          </w:pPr>
          <w:hyperlink w:anchor="_Toc120794164" w:history="1">
            <w:r w:rsidR="00284BA0" w:rsidRPr="00284BA0">
              <w:rPr>
                <w:rStyle w:val="Hyperlink"/>
                <w:rFonts w:ascii="Calibri" w:hAnsi="Calibri" w:cs="Calibri"/>
                <w:b w:val="0"/>
                <w:noProof/>
                <w:sz w:val="24"/>
              </w:rPr>
              <w:t>Chapter 3: Controllable Peptide Aggregation Induced Immunogenic Cell Death</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_Toc120794164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64</w:t>
            </w:r>
            <w:r w:rsidR="00284BA0" w:rsidRPr="00284BA0">
              <w:rPr>
                <w:rFonts w:ascii="Calibri" w:hAnsi="Calibri"/>
                <w:b w:val="0"/>
                <w:noProof/>
                <w:webHidden/>
                <w:sz w:val="24"/>
              </w:rPr>
              <w:fldChar w:fldCharType="end"/>
            </w:r>
          </w:hyperlink>
        </w:p>
        <w:p w14:paraId="23F556C9" w14:textId="11C7E16A"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65" w:history="1">
            <w:r w:rsidR="00284BA0" w:rsidRPr="00284BA0">
              <w:rPr>
                <w:rStyle w:val="Hyperlink"/>
                <w:rFonts w:ascii="Calibri" w:hAnsi="Calibri" w:cs="Calibri"/>
                <w:i w:val="0"/>
                <w:noProof/>
                <w:sz w:val="24"/>
              </w:rPr>
              <w:t>3.1.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Introduction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_Toc120794165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64</w:t>
            </w:r>
            <w:r w:rsidR="00284BA0" w:rsidRPr="00284BA0">
              <w:rPr>
                <w:rFonts w:ascii="Calibri" w:hAnsi="Calibri"/>
                <w:i w:val="0"/>
                <w:noProof/>
                <w:webHidden/>
                <w:sz w:val="24"/>
              </w:rPr>
              <w:fldChar w:fldCharType="end"/>
            </w:r>
          </w:hyperlink>
        </w:p>
        <w:p w14:paraId="160F281A" w14:textId="186EE2D8"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66" w:history="1">
            <w:r w:rsidR="00284BA0" w:rsidRPr="00284BA0">
              <w:rPr>
                <w:rStyle w:val="Hyperlink"/>
                <w:rFonts w:ascii="Calibri" w:hAnsi="Calibri" w:cs="Calibri"/>
                <w:i w:val="0"/>
                <w:noProof/>
                <w:sz w:val="24"/>
              </w:rPr>
              <w:t>3.2.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Results and Discussion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_Toc120794166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67</w:t>
            </w:r>
            <w:r w:rsidR="00284BA0" w:rsidRPr="00284BA0">
              <w:rPr>
                <w:rFonts w:ascii="Calibri" w:hAnsi="Calibri"/>
                <w:i w:val="0"/>
                <w:noProof/>
                <w:webHidden/>
                <w:sz w:val="24"/>
              </w:rPr>
              <w:fldChar w:fldCharType="end"/>
            </w:r>
          </w:hyperlink>
        </w:p>
        <w:p w14:paraId="5E822112" w14:textId="54F9F4D8"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67" w:history="1">
            <w:r w:rsidR="00284BA0" w:rsidRPr="00284BA0">
              <w:rPr>
                <w:rStyle w:val="Hyperlink"/>
                <w:rFonts w:ascii="Calibri" w:hAnsi="Calibri" w:cs="Calibri"/>
                <w:i w:val="0"/>
                <w:noProof/>
                <w:sz w:val="24"/>
              </w:rPr>
              <w:t>3.2.1.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aggregation kinetics depend on albumin concentration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_Toc120794167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67</w:t>
            </w:r>
            <w:r w:rsidR="00284BA0" w:rsidRPr="00284BA0">
              <w:rPr>
                <w:rFonts w:ascii="Calibri" w:hAnsi="Calibri"/>
                <w:i w:val="0"/>
                <w:noProof/>
                <w:webHidden/>
                <w:sz w:val="24"/>
              </w:rPr>
              <w:fldChar w:fldCharType="end"/>
            </w:r>
          </w:hyperlink>
        </w:p>
        <w:p w14:paraId="413B8F26" w14:textId="7F6586EB"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68" w:history="1">
            <w:r w:rsidR="00284BA0" w:rsidRPr="00284BA0">
              <w:rPr>
                <w:rStyle w:val="Hyperlink"/>
                <w:rFonts w:ascii="Calibri" w:hAnsi="Calibri" w:cs="Calibri"/>
                <w:i w:val="0"/>
                <w:noProof/>
                <w:sz w:val="24"/>
              </w:rPr>
              <w:t>3.2.2.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eastAsia="Times New Roman" w:hAnsi="Calibri" w:cs="Calibri"/>
                <w:i w:val="0"/>
                <w:noProof/>
                <w:sz w:val="24"/>
              </w:rPr>
              <w:t>[II] aggregation induces cell stress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_Toc120794168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67</w:t>
            </w:r>
            <w:r w:rsidR="00284BA0" w:rsidRPr="00284BA0">
              <w:rPr>
                <w:rFonts w:ascii="Calibri" w:hAnsi="Calibri"/>
                <w:i w:val="0"/>
                <w:noProof/>
                <w:webHidden/>
                <w:sz w:val="24"/>
              </w:rPr>
              <w:fldChar w:fldCharType="end"/>
            </w:r>
          </w:hyperlink>
        </w:p>
        <w:p w14:paraId="24EF75F4" w14:textId="1766D64F"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69" w:history="1">
            <w:r w:rsidR="00284BA0" w:rsidRPr="00284BA0">
              <w:rPr>
                <w:rStyle w:val="Hyperlink"/>
                <w:rFonts w:ascii="Calibri" w:hAnsi="Calibri" w:cs="Calibri"/>
                <w:i w:val="0"/>
                <w:noProof/>
                <w:sz w:val="24"/>
              </w:rPr>
              <w:t>3.2.3.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aggregation induced ICD can be modulated</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_Toc120794169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73</w:t>
            </w:r>
            <w:r w:rsidR="00284BA0" w:rsidRPr="00284BA0">
              <w:rPr>
                <w:rFonts w:ascii="Calibri" w:hAnsi="Calibri"/>
                <w:i w:val="0"/>
                <w:noProof/>
                <w:webHidden/>
                <w:sz w:val="24"/>
              </w:rPr>
              <w:fldChar w:fldCharType="end"/>
            </w:r>
          </w:hyperlink>
        </w:p>
        <w:p w14:paraId="118CE09E" w14:textId="0EC2662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0" w:history="1">
            <w:r w:rsidR="00284BA0" w:rsidRPr="00284BA0">
              <w:rPr>
                <w:rStyle w:val="Hyperlink"/>
                <w:rFonts w:ascii="Calibri" w:hAnsi="Calibri" w:cs="Calibri"/>
                <w:i w:val="0"/>
                <w:noProof/>
                <w:sz w:val="24"/>
              </w:rPr>
              <w:t>3.2.4.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aggregation induced ICD induces protective immunity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75</w:t>
            </w:r>
            <w:r w:rsidR="00284BA0" w:rsidRPr="00284BA0">
              <w:rPr>
                <w:rFonts w:ascii="Calibri" w:hAnsi="Calibri"/>
                <w:i w:val="0"/>
                <w:noProof/>
                <w:webHidden/>
                <w:sz w:val="24"/>
              </w:rPr>
              <w:fldChar w:fldCharType="end"/>
            </w:r>
          </w:hyperlink>
        </w:p>
        <w:p w14:paraId="6491D21B" w14:textId="0AE40877"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1" w:history="1">
            <w:r w:rsidR="00284BA0" w:rsidRPr="00284BA0">
              <w:rPr>
                <w:rStyle w:val="Hyperlink"/>
                <w:rFonts w:ascii="Calibri" w:hAnsi="Calibri" w:cs="Calibri"/>
                <w:i w:val="0"/>
                <w:noProof/>
                <w:sz w:val="24"/>
              </w:rPr>
              <w:t>3.3.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Conclusions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77</w:t>
            </w:r>
            <w:r w:rsidR="00284BA0" w:rsidRPr="00284BA0">
              <w:rPr>
                <w:rFonts w:ascii="Calibri" w:hAnsi="Calibri"/>
                <w:i w:val="0"/>
                <w:noProof/>
                <w:webHidden/>
                <w:sz w:val="24"/>
              </w:rPr>
              <w:fldChar w:fldCharType="end"/>
            </w:r>
          </w:hyperlink>
        </w:p>
        <w:p w14:paraId="4936454D" w14:textId="5C2DE3C1"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2" w:history="1">
            <w:r w:rsidR="00284BA0" w:rsidRPr="00284BA0">
              <w:rPr>
                <w:rStyle w:val="Hyperlink"/>
                <w:rFonts w:ascii="Calibri" w:hAnsi="Calibri" w:cs="Calibri"/>
                <w:i w:val="0"/>
                <w:noProof/>
                <w:sz w:val="24"/>
              </w:rPr>
              <w:t>3.4.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Experimental section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78</w:t>
            </w:r>
            <w:r w:rsidR="00284BA0" w:rsidRPr="00284BA0">
              <w:rPr>
                <w:rFonts w:ascii="Calibri" w:hAnsi="Calibri"/>
                <w:i w:val="0"/>
                <w:noProof/>
                <w:webHidden/>
                <w:sz w:val="24"/>
              </w:rPr>
              <w:fldChar w:fldCharType="end"/>
            </w:r>
          </w:hyperlink>
        </w:p>
        <w:p w14:paraId="420D7F9A" w14:textId="49C7337C"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3" w:history="1">
            <w:r w:rsidR="00284BA0" w:rsidRPr="00284BA0">
              <w:rPr>
                <w:rStyle w:val="Hyperlink"/>
                <w:rFonts w:ascii="Calibri" w:hAnsi="Calibri" w:cs="Calibri"/>
                <w:i w:val="0"/>
                <w:noProof/>
                <w:sz w:val="24"/>
              </w:rPr>
              <w:t>3.4.1.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Peptide Synthesis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78</w:t>
            </w:r>
            <w:r w:rsidR="00284BA0" w:rsidRPr="00284BA0">
              <w:rPr>
                <w:rFonts w:ascii="Calibri" w:hAnsi="Calibri"/>
                <w:i w:val="0"/>
                <w:noProof/>
                <w:webHidden/>
                <w:sz w:val="24"/>
              </w:rPr>
              <w:fldChar w:fldCharType="end"/>
            </w:r>
          </w:hyperlink>
        </w:p>
        <w:p w14:paraId="1AE50E9D" w14:textId="2C9F8442"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4" w:history="1">
            <w:r w:rsidR="00284BA0" w:rsidRPr="00284BA0">
              <w:rPr>
                <w:rStyle w:val="Hyperlink"/>
                <w:rFonts w:ascii="Calibri" w:hAnsi="Calibri" w:cs="Calibri"/>
                <w:i w:val="0"/>
                <w:noProof/>
                <w:sz w:val="24"/>
              </w:rPr>
              <w:t>3.4.2.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Atomic Force Microscopy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79</w:t>
            </w:r>
            <w:r w:rsidR="00284BA0" w:rsidRPr="00284BA0">
              <w:rPr>
                <w:rFonts w:ascii="Calibri" w:hAnsi="Calibri"/>
                <w:i w:val="0"/>
                <w:noProof/>
                <w:webHidden/>
                <w:sz w:val="24"/>
              </w:rPr>
              <w:fldChar w:fldCharType="end"/>
            </w:r>
          </w:hyperlink>
        </w:p>
        <w:p w14:paraId="606E6471" w14:textId="18301EA4"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5" w:history="1">
            <w:r w:rsidR="00284BA0" w:rsidRPr="00284BA0">
              <w:rPr>
                <w:rStyle w:val="Hyperlink"/>
                <w:rFonts w:ascii="Calibri" w:hAnsi="Calibri" w:cs="Calibri"/>
                <w:i w:val="0"/>
                <w:noProof/>
                <w:sz w:val="24"/>
              </w:rPr>
              <w:t>3.4.3.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Cell Culture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80</w:t>
            </w:r>
            <w:r w:rsidR="00284BA0" w:rsidRPr="00284BA0">
              <w:rPr>
                <w:rFonts w:ascii="Calibri" w:hAnsi="Calibri"/>
                <w:i w:val="0"/>
                <w:noProof/>
                <w:webHidden/>
                <w:sz w:val="24"/>
              </w:rPr>
              <w:fldChar w:fldCharType="end"/>
            </w:r>
          </w:hyperlink>
        </w:p>
        <w:p w14:paraId="061020DD" w14:textId="676A343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6" w:history="1">
            <w:r w:rsidR="00284BA0" w:rsidRPr="00284BA0">
              <w:rPr>
                <w:rStyle w:val="Hyperlink"/>
                <w:rFonts w:ascii="Calibri" w:hAnsi="Calibri" w:cs="Calibri"/>
                <w:i w:val="0"/>
                <w:noProof/>
                <w:sz w:val="24"/>
              </w:rPr>
              <w:t>3.4.4.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Peptide Preparation for in vitro Experiments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80</w:t>
            </w:r>
            <w:r w:rsidR="00284BA0" w:rsidRPr="00284BA0">
              <w:rPr>
                <w:rFonts w:ascii="Calibri" w:hAnsi="Calibri"/>
                <w:i w:val="0"/>
                <w:noProof/>
                <w:webHidden/>
                <w:sz w:val="24"/>
              </w:rPr>
              <w:fldChar w:fldCharType="end"/>
            </w:r>
          </w:hyperlink>
        </w:p>
        <w:p w14:paraId="33C981A6" w14:textId="1D14A535"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7" w:history="1">
            <w:r w:rsidR="00284BA0" w:rsidRPr="00284BA0">
              <w:rPr>
                <w:rStyle w:val="Hyperlink"/>
                <w:rFonts w:ascii="Calibri" w:hAnsi="Calibri" w:cs="Calibri"/>
                <w:i w:val="0"/>
                <w:noProof/>
                <w:sz w:val="24"/>
              </w:rPr>
              <w:t>3.4.5.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Immunoblotting, Reagents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80</w:t>
            </w:r>
            <w:r w:rsidR="00284BA0" w:rsidRPr="00284BA0">
              <w:rPr>
                <w:rFonts w:ascii="Calibri" w:hAnsi="Calibri"/>
                <w:i w:val="0"/>
                <w:noProof/>
                <w:webHidden/>
                <w:sz w:val="24"/>
              </w:rPr>
              <w:fldChar w:fldCharType="end"/>
            </w:r>
          </w:hyperlink>
        </w:p>
        <w:p w14:paraId="547F7C18" w14:textId="33934FB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8" w:history="1">
            <w:r w:rsidR="00284BA0" w:rsidRPr="00284BA0">
              <w:rPr>
                <w:rStyle w:val="Hyperlink"/>
                <w:rFonts w:ascii="Calibri" w:hAnsi="Calibri" w:cs="Calibri"/>
                <w:i w:val="0"/>
                <w:noProof/>
                <w:sz w:val="24"/>
              </w:rPr>
              <w:t>3.4.6.</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Procedure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81</w:t>
            </w:r>
            <w:r w:rsidR="00284BA0" w:rsidRPr="00284BA0">
              <w:rPr>
                <w:rFonts w:ascii="Calibri" w:hAnsi="Calibri"/>
                <w:i w:val="0"/>
                <w:noProof/>
                <w:webHidden/>
                <w:sz w:val="24"/>
              </w:rPr>
              <w:fldChar w:fldCharType="end"/>
            </w:r>
          </w:hyperlink>
        </w:p>
        <w:p w14:paraId="39C886CD" w14:textId="46D84054"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79" w:history="1">
            <w:r w:rsidR="00284BA0" w:rsidRPr="00284BA0">
              <w:rPr>
                <w:rStyle w:val="Hyperlink"/>
                <w:rFonts w:ascii="Calibri" w:hAnsi="Calibri" w:cs="Calibri"/>
                <w:i w:val="0"/>
                <w:noProof/>
                <w:sz w:val="24"/>
              </w:rPr>
              <w:t>3.4.7.</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Immunocytochemistry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_Toc120794179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81</w:t>
            </w:r>
            <w:r w:rsidR="00284BA0" w:rsidRPr="00284BA0">
              <w:rPr>
                <w:rFonts w:ascii="Calibri" w:hAnsi="Calibri"/>
                <w:i w:val="0"/>
                <w:noProof/>
                <w:webHidden/>
                <w:sz w:val="24"/>
              </w:rPr>
              <w:fldChar w:fldCharType="end"/>
            </w:r>
          </w:hyperlink>
        </w:p>
        <w:p w14:paraId="5CE83765" w14:textId="3EDA7D90"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80" w:history="1">
            <w:r w:rsidR="00284BA0" w:rsidRPr="00284BA0">
              <w:rPr>
                <w:rStyle w:val="Hyperlink"/>
                <w:rFonts w:ascii="Calibri" w:hAnsi="Calibri" w:cs="Calibri"/>
                <w:i w:val="0"/>
                <w:noProof/>
                <w:sz w:val="24"/>
              </w:rPr>
              <w:t>3.4.8.</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LDH Release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_Toc120794180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82</w:t>
            </w:r>
            <w:r w:rsidR="00284BA0" w:rsidRPr="00284BA0">
              <w:rPr>
                <w:rFonts w:ascii="Calibri" w:hAnsi="Calibri"/>
                <w:i w:val="0"/>
                <w:noProof/>
                <w:webHidden/>
                <w:sz w:val="24"/>
              </w:rPr>
              <w:fldChar w:fldCharType="end"/>
            </w:r>
          </w:hyperlink>
        </w:p>
        <w:p w14:paraId="53A1FE20" w14:textId="7B8A5E2F"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81" w:history="1">
            <w:r w:rsidR="00284BA0" w:rsidRPr="00284BA0">
              <w:rPr>
                <w:rStyle w:val="Hyperlink"/>
                <w:rFonts w:ascii="Calibri" w:hAnsi="Calibri" w:cs="Calibri"/>
                <w:i w:val="0"/>
                <w:noProof/>
                <w:sz w:val="24"/>
              </w:rPr>
              <w:t>3.4.9.</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Propidium Iodide Staining</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_Toc120794181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82</w:t>
            </w:r>
            <w:r w:rsidR="00284BA0" w:rsidRPr="00284BA0">
              <w:rPr>
                <w:rFonts w:ascii="Calibri" w:hAnsi="Calibri"/>
                <w:i w:val="0"/>
                <w:noProof/>
                <w:webHidden/>
                <w:sz w:val="24"/>
              </w:rPr>
              <w:fldChar w:fldCharType="end"/>
            </w:r>
          </w:hyperlink>
        </w:p>
        <w:p w14:paraId="089EE2B3" w14:textId="344A7FB2"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82" w:history="1">
            <w:r w:rsidR="00284BA0" w:rsidRPr="00284BA0">
              <w:rPr>
                <w:rStyle w:val="Hyperlink"/>
                <w:rFonts w:ascii="Calibri" w:hAnsi="Calibri" w:cs="Calibri"/>
                <w:i w:val="0"/>
                <w:noProof/>
                <w:sz w:val="24"/>
              </w:rPr>
              <w:t>3.4.10.</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Bone Marrow-derived Dendritic Cell Generation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_Toc120794182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83</w:t>
            </w:r>
            <w:r w:rsidR="00284BA0" w:rsidRPr="00284BA0">
              <w:rPr>
                <w:rFonts w:ascii="Calibri" w:hAnsi="Calibri"/>
                <w:i w:val="0"/>
                <w:noProof/>
                <w:webHidden/>
                <w:sz w:val="24"/>
              </w:rPr>
              <w:fldChar w:fldCharType="end"/>
            </w:r>
          </w:hyperlink>
        </w:p>
        <w:p w14:paraId="526BB508" w14:textId="2483F857"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83" w:history="1">
            <w:r w:rsidR="00284BA0" w:rsidRPr="00284BA0">
              <w:rPr>
                <w:rStyle w:val="Hyperlink"/>
                <w:rFonts w:ascii="Calibri" w:hAnsi="Calibri" w:cs="Calibri"/>
                <w:i w:val="0"/>
                <w:noProof/>
                <w:sz w:val="24"/>
              </w:rPr>
              <w:t>3.4.11.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Enzyme-Linked Immunosorbent Assay (ELISA)</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_Toc120794183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83</w:t>
            </w:r>
            <w:r w:rsidR="00284BA0" w:rsidRPr="00284BA0">
              <w:rPr>
                <w:rFonts w:ascii="Calibri" w:hAnsi="Calibri"/>
                <w:i w:val="0"/>
                <w:noProof/>
                <w:webHidden/>
                <w:sz w:val="24"/>
              </w:rPr>
              <w:fldChar w:fldCharType="end"/>
            </w:r>
          </w:hyperlink>
        </w:p>
        <w:p w14:paraId="090CE31A" w14:textId="6AC24F0B"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84" w:history="1">
            <w:r w:rsidR="00284BA0" w:rsidRPr="00284BA0">
              <w:rPr>
                <w:rStyle w:val="Hyperlink"/>
                <w:rFonts w:ascii="Calibri" w:hAnsi="Calibri" w:cs="Calibri"/>
                <w:i w:val="0"/>
                <w:noProof/>
                <w:sz w:val="24"/>
              </w:rPr>
              <w:t>3.4.12.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Ethics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_Toc120794184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83</w:t>
            </w:r>
            <w:r w:rsidR="00284BA0" w:rsidRPr="00284BA0">
              <w:rPr>
                <w:rFonts w:ascii="Calibri" w:hAnsi="Calibri"/>
                <w:i w:val="0"/>
                <w:noProof/>
                <w:webHidden/>
                <w:sz w:val="24"/>
              </w:rPr>
              <w:fldChar w:fldCharType="end"/>
            </w:r>
          </w:hyperlink>
        </w:p>
        <w:p w14:paraId="4E712533" w14:textId="52559D90"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85" w:history="1">
            <w:r w:rsidR="00284BA0" w:rsidRPr="00284BA0">
              <w:rPr>
                <w:rStyle w:val="Hyperlink"/>
                <w:rFonts w:ascii="Calibri" w:hAnsi="Calibri" w:cs="Calibri"/>
                <w:i w:val="0"/>
                <w:noProof/>
                <w:sz w:val="24"/>
              </w:rPr>
              <w:t>3.4.13.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Prophylactic Vaccination Model</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_Toc120794185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84</w:t>
            </w:r>
            <w:r w:rsidR="00284BA0" w:rsidRPr="00284BA0">
              <w:rPr>
                <w:rFonts w:ascii="Calibri" w:hAnsi="Calibri"/>
                <w:i w:val="0"/>
                <w:noProof/>
                <w:webHidden/>
                <w:sz w:val="24"/>
              </w:rPr>
              <w:fldChar w:fldCharType="end"/>
            </w:r>
          </w:hyperlink>
        </w:p>
        <w:p w14:paraId="65ACFDAD" w14:textId="116E54CE" w:rsidR="00284BA0" w:rsidRPr="00284BA0" w:rsidRDefault="00000000">
          <w:pPr>
            <w:pStyle w:val="TOC1"/>
            <w:tabs>
              <w:tab w:val="right" w:leader="dot" w:pos="9350"/>
            </w:tabs>
            <w:rPr>
              <w:rFonts w:ascii="Calibri" w:eastAsiaTheme="minorEastAsia" w:hAnsi="Calibri" w:cstheme="minorBidi"/>
              <w:b w:val="0"/>
              <w:bCs w:val="0"/>
              <w:noProof/>
              <w:sz w:val="24"/>
              <w:szCs w:val="24"/>
            </w:rPr>
          </w:pPr>
          <w:hyperlink w:anchor="_Toc120794186" w:history="1">
            <w:r w:rsidR="00284BA0" w:rsidRPr="00284BA0">
              <w:rPr>
                <w:rStyle w:val="Hyperlink"/>
                <w:rFonts w:ascii="Calibri" w:hAnsi="Calibri" w:cs="Calibri"/>
                <w:b w:val="0"/>
                <w:noProof/>
                <w:sz w:val="24"/>
              </w:rPr>
              <w:t>Chapter 4: Tumor Spheroid Model to Study Peptide Aggregation Induced Immunogenic Cell Death</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_Toc120794186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85</w:t>
            </w:r>
            <w:r w:rsidR="00284BA0" w:rsidRPr="00284BA0">
              <w:rPr>
                <w:rFonts w:ascii="Calibri" w:hAnsi="Calibri"/>
                <w:b w:val="0"/>
                <w:noProof/>
                <w:webHidden/>
                <w:sz w:val="24"/>
              </w:rPr>
              <w:fldChar w:fldCharType="end"/>
            </w:r>
          </w:hyperlink>
        </w:p>
        <w:p w14:paraId="388CC21F" w14:textId="4513E081"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87" w:history="1">
            <w:r w:rsidR="00284BA0" w:rsidRPr="00284BA0">
              <w:rPr>
                <w:rStyle w:val="Hyperlink"/>
                <w:rFonts w:ascii="Calibri" w:hAnsi="Calibri" w:cs="Calibri"/>
                <w:i w:val="0"/>
                <w:noProof/>
                <w:sz w:val="24"/>
              </w:rPr>
              <w:t>4.1.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Introduction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_Toc120794187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85</w:t>
            </w:r>
            <w:r w:rsidR="00284BA0" w:rsidRPr="00284BA0">
              <w:rPr>
                <w:rFonts w:ascii="Calibri" w:hAnsi="Calibri"/>
                <w:i w:val="0"/>
                <w:noProof/>
                <w:webHidden/>
                <w:sz w:val="24"/>
              </w:rPr>
              <w:fldChar w:fldCharType="end"/>
            </w:r>
          </w:hyperlink>
        </w:p>
        <w:p w14:paraId="0AFFE4CC" w14:textId="47175082"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88" w:history="1">
            <w:r w:rsidR="00284BA0" w:rsidRPr="00284BA0">
              <w:rPr>
                <w:rStyle w:val="Hyperlink"/>
                <w:rFonts w:ascii="Calibri" w:hAnsi="Calibri" w:cs="Calibri"/>
                <w:i w:val="0"/>
                <w:noProof/>
                <w:sz w:val="24"/>
              </w:rPr>
              <w:t>4.1.1.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Matrix-free MCTS Formation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_Toc120794188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89</w:t>
            </w:r>
            <w:r w:rsidR="00284BA0" w:rsidRPr="00284BA0">
              <w:rPr>
                <w:rFonts w:ascii="Calibri" w:hAnsi="Calibri"/>
                <w:i w:val="0"/>
                <w:noProof/>
                <w:webHidden/>
                <w:sz w:val="24"/>
              </w:rPr>
              <w:fldChar w:fldCharType="end"/>
            </w:r>
          </w:hyperlink>
        </w:p>
        <w:p w14:paraId="15F92F2B" w14:textId="7B28BF11"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89" w:history="1">
            <w:r w:rsidR="00284BA0" w:rsidRPr="00284BA0">
              <w:rPr>
                <w:rStyle w:val="Hyperlink"/>
                <w:rFonts w:ascii="Calibri" w:hAnsi="Calibri" w:cs="Calibri"/>
                <w:i w:val="0"/>
                <w:noProof/>
                <w:sz w:val="24"/>
              </w:rPr>
              <w:t>4.1.1.1.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Liquid Overlay Technique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_Toc120794189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89</w:t>
            </w:r>
            <w:r w:rsidR="00284BA0" w:rsidRPr="00284BA0">
              <w:rPr>
                <w:rFonts w:ascii="Calibri" w:hAnsi="Calibri"/>
                <w:i w:val="0"/>
                <w:noProof/>
                <w:webHidden/>
                <w:sz w:val="24"/>
              </w:rPr>
              <w:fldChar w:fldCharType="end"/>
            </w:r>
          </w:hyperlink>
        </w:p>
        <w:p w14:paraId="13933BEC" w14:textId="06DDB5C0"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90" w:history="1">
            <w:r w:rsidR="00284BA0" w:rsidRPr="00284BA0">
              <w:rPr>
                <w:rStyle w:val="Hyperlink"/>
                <w:rFonts w:ascii="Calibri" w:hAnsi="Calibri" w:cs="Calibri"/>
                <w:i w:val="0"/>
                <w:noProof/>
                <w:sz w:val="24"/>
              </w:rPr>
              <w:t>4.1.1.2.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Hanging Drop Technique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91</w:t>
            </w:r>
            <w:r w:rsidR="00284BA0" w:rsidRPr="00284BA0">
              <w:rPr>
                <w:rFonts w:ascii="Calibri" w:hAnsi="Calibri"/>
                <w:i w:val="0"/>
                <w:noProof/>
                <w:webHidden/>
                <w:sz w:val="24"/>
              </w:rPr>
              <w:fldChar w:fldCharType="end"/>
            </w:r>
          </w:hyperlink>
        </w:p>
        <w:p w14:paraId="126E8229" w14:textId="3C9A4E38"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91" w:history="1">
            <w:r w:rsidR="00284BA0" w:rsidRPr="00284BA0">
              <w:rPr>
                <w:rStyle w:val="Hyperlink"/>
                <w:rFonts w:ascii="Calibri" w:hAnsi="Calibri" w:cs="Calibri"/>
                <w:i w:val="0"/>
                <w:noProof/>
                <w:sz w:val="24"/>
              </w:rPr>
              <w:t>4.1.1.3.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Spinner Flask Technique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91</w:t>
            </w:r>
            <w:r w:rsidR="00284BA0" w:rsidRPr="00284BA0">
              <w:rPr>
                <w:rFonts w:ascii="Calibri" w:hAnsi="Calibri"/>
                <w:i w:val="0"/>
                <w:noProof/>
                <w:webHidden/>
                <w:sz w:val="24"/>
              </w:rPr>
              <w:fldChar w:fldCharType="end"/>
            </w:r>
          </w:hyperlink>
        </w:p>
        <w:p w14:paraId="348425ED" w14:textId="4C9A0DCA"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92" w:history="1">
            <w:r w:rsidR="00284BA0" w:rsidRPr="00284BA0">
              <w:rPr>
                <w:rStyle w:val="Hyperlink"/>
                <w:rFonts w:ascii="Calibri" w:hAnsi="Calibri" w:cs="Calibri"/>
                <w:i w:val="0"/>
                <w:noProof/>
                <w:sz w:val="24"/>
              </w:rPr>
              <w:t>4.1.1.4.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Magnetic Levitation Technique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92</w:t>
            </w:r>
            <w:r w:rsidR="00284BA0" w:rsidRPr="00284BA0">
              <w:rPr>
                <w:rFonts w:ascii="Calibri" w:hAnsi="Calibri"/>
                <w:i w:val="0"/>
                <w:noProof/>
                <w:webHidden/>
                <w:sz w:val="24"/>
              </w:rPr>
              <w:fldChar w:fldCharType="end"/>
            </w:r>
          </w:hyperlink>
        </w:p>
        <w:p w14:paraId="4CAFD66E" w14:textId="76A9F490"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93" w:history="1">
            <w:r w:rsidR="00284BA0" w:rsidRPr="00284BA0">
              <w:rPr>
                <w:rStyle w:val="Hyperlink"/>
                <w:rFonts w:ascii="Calibri" w:hAnsi="Calibri" w:cs="Calibri"/>
                <w:i w:val="0"/>
                <w:noProof/>
                <w:sz w:val="24"/>
              </w:rPr>
              <w:t>4.2.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eastAsia="Times New Roman" w:hAnsi="Calibri" w:cs="Calibri"/>
                <w:i w:val="0"/>
                <w:noProof/>
                <w:sz w:val="24"/>
                <w:shd w:val="clear" w:color="auto" w:fill="FFFFFF"/>
              </w:rPr>
              <w:t>The effects of size and shape of the ovarian cancer spheroids on the drug resistance and migration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93</w:t>
            </w:r>
            <w:r w:rsidR="00284BA0" w:rsidRPr="00284BA0">
              <w:rPr>
                <w:rFonts w:ascii="Calibri" w:hAnsi="Calibri"/>
                <w:i w:val="0"/>
                <w:noProof/>
                <w:webHidden/>
                <w:sz w:val="24"/>
              </w:rPr>
              <w:fldChar w:fldCharType="end"/>
            </w:r>
          </w:hyperlink>
        </w:p>
        <w:p w14:paraId="10C211EE" w14:textId="46B90EAB"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94" w:history="1">
            <w:r w:rsidR="00284BA0" w:rsidRPr="00284BA0">
              <w:rPr>
                <w:rStyle w:val="Hyperlink"/>
                <w:rFonts w:ascii="Calibri" w:hAnsi="Calibri" w:cs="Calibri"/>
                <w:i w:val="0"/>
                <w:noProof/>
                <w:sz w:val="24"/>
              </w:rPr>
              <w:t>4.2.1.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Abstract</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94</w:t>
            </w:r>
            <w:r w:rsidR="00284BA0" w:rsidRPr="00284BA0">
              <w:rPr>
                <w:rFonts w:ascii="Calibri" w:hAnsi="Calibri"/>
                <w:i w:val="0"/>
                <w:noProof/>
                <w:webHidden/>
                <w:sz w:val="24"/>
              </w:rPr>
              <w:fldChar w:fldCharType="end"/>
            </w:r>
          </w:hyperlink>
        </w:p>
        <w:p w14:paraId="00369462" w14:textId="481C9285"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95" w:history="1">
            <w:r w:rsidR="00284BA0" w:rsidRPr="00284BA0">
              <w:rPr>
                <w:rStyle w:val="Hyperlink"/>
                <w:rFonts w:ascii="Calibri" w:hAnsi="Calibri" w:cs="Calibri"/>
                <w:i w:val="0"/>
                <w:noProof/>
                <w:sz w:val="24"/>
              </w:rPr>
              <w:t>4.2.2.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Introduction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94</w:t>
            </w:r>
            <w:r w:rsidR="00284BA0" w:rsidRPr="00284BA0">
              <w:rPr>
                <w:rFonts w:ascii="Calibri" w:hAnsi="Calibri"/>
                <w:i w:val="0"/>
                <w:noProof/>
                <w:webHidden/>
                <w:sz w:val="24"/>
              </w:rPr>
              <w:fldChar w:fldCharType="end"/>
            </w:r>
          </w:hyperlink>
        </w:p>
        <w:p w14:paraId="48E71A90" w14:textId="7873D3BC"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196" w:history="1">
            <w:r w:rsidR="00284BA0" w:rsidRPr="00284BA0">
              <w:rPr>
                <w:rStyle w:val="Hyperlink"/>
                <w:rFonts w:ascii="Calibri" w:hAnsi="Calibri" w:cs="Calibri"/>
                <w:i w:val="0"/>
                <w:noProof/>
                <w:sz w:val="24"/>
              </w:rPr>
              <w:t>4.2.3.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Materials &amp; Methods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96</w:t>
            </w:r>
            <w:r w:rsidR="00284BA0" w:rsidRPr="00284BA0">
              <w:rPr>
                <w:rFonts w:ascii="Calibri" w:hAnsi="Calibri"/>
                <w:i w:val="0"/>
                <w:noProof/>
                <w:webHidden/>
                <w:sz w:val="24"/>
              </w:rPr>
              <w:fldChar w:fldCharType="end"/>
            </w:r>
          </w:hyperlink>
        </w:p>
        <w:p w14:paraId="64F2F189" w14:textId="16214099"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97" w:history="1">
            <w:r w:rsidR="00284BA0" w:rsidRPr="00284BA0">
              <w:rPr>
                <w:rStyle w:val="Hyperlink"/>
                <w:rFonts w:ascii="Calibri" w:hAnsi="Calibri" w:cs="Calibri"/>
                <w:i w:val="0"/>
                <w:noProof/>
                <w:sz w:val="24"/>
              </w:rPr>
              <w:t>4.2.3.1.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Cell Culture and Reagents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96</w:t>
            </w:r>
            <w:r w:rsidR="00284BA0" w:rsidRPr="00284BA0">
              <w:rPr>
                <w:rFonts w:ascii="Calibri" w:hAnsi="Calibri"/>
                <w:i w:val="0"/>
                <w:noProof/>
                <w:webHidden/>
                <w:sz w:val="24"/>
              </w:rPr>
              <w:fldChar w:fldCharType="end"/>
            </w:r>
          </w:hyperlink>
        </w:p>
        <w:p w14:paraId="5728FA39" w14:textId="6E8C5F3F"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98" w:history="1">
            <w:r w:rsidR="00284BA0" w:rsidRPr="00284BA0">
              <w:rPr>
                <w:rStyle w:val="Hyperlink"/>
                <w:rFonts w:ascii="Calibri" w:hAnsi="Calibri" w:cs="Calibri"/>
                <w:i w:val="0"/>
                <w:noProof/>
                <w:sz w:val="24"/>
              </w:rPr>
              <w:t>4.2.3.2.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Spheroid Formation and Characterization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97</w:t>
            </w:r>
            <w:r w:rsidR="00284BA0" w:rsidRPr="00284BA0">
              <w:rPr>
                <w:rFonts w:ascii="Calibri" w:hAnsi="Calibri"/>
                <w:i w:val="0"/>
                <w:noProof/>
                <w:webHidden/>
                <w:sz w:val="24"/>
              </w:rPr>
              <w:fldChar w:fldCharType="end"/>
            </w:r>
          </w:hyperlink>
        </w:p>
        <w:p w14:paraId="5A14344C" w14:textId="143D6037"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199" w:history="1">
            <w:r w:rsidR="00284BA0" w:rsidRPr="00284BA0">
              <w:rPr>
                <w:rStyle w:val="Hyperlink"/>
                <w:rFonts w:ascii="Calibri" w:hAnsi="Calibri" w:cs="Calibri"/>
                <w:i w:val="0"/>
                <w:noProof/>
                <w:sz w:val="24"/>
              </w:rPr>
              <w:t>4.2.3.3.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Characterization of Spheroids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_Toc120794199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98</w:t>
            </w:r>
            <w:r w:rsidR="00284BA0" w:rsidRPr="00284BA0">
              <w:rPr>
                <w:rFonts w:ascii="Calibri" w:hAnsi="Calibri"/>
                <w:i w:val="0"/>
                <w:noProof/>
                <w:webHidden/>
                <w:sz w:val="24"/>
              </w:rPr>
              <w:fldChar w:fldCharType="end"/>
            </w:r>
          </w:hyperlink>
        </w:p>
        <w:p w14:paraId="54272E69" w14:textId="62006221"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00" w:history="1">
            <w:r w:rsidR="00284BA0" w:rsidRPr="00284BA0">
              <w:rPr>
                <w:rStyle w:val="Hyperlink"/>
                <w:rFonts w:ascii="Calibri" w:hAnsi="Calibri" w:cs="Calibri"/>
                <w:i w:val="0"/>
                <w:noProof/>
                <w:sz w:val="24"/>
              </w:rPr>
              <w:t>4.2.3.4.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Drug Treatment and Viability Experiments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98</w:t>
            </w:r>
            <w:r w:rsidR="00284BA0" w:rsidRPr="00284BA0">
              <w:rPr>
                <w:rFonts w:ascii="Calibri" w:hAnsi="Calibri"/>
                <w:i w:val="0"/>
                <w:noProof/>
                <w:webHidden/>
                <w:sz w:val="24"/>
              </w:rPr>
              <w:fldChar w:fldCharType="end"/>
            </w:r>
          </w:hyperlink>
        </w:p>
        <w:p w14:paraId="7E2C5413" w14:textId="7203F2CA"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01" w:history="1">
            <w:r w:rsidR="00284BA0" w:rsidRPr="00284BA0">
              <w:rPr>
                <w:rStyle w:val="Hyperlink"/>
                <w:rFonts w:ascii="Calibri" w:hAnsi="Calibri" w:cs="Calibri"/>
                <w:i w:val="0"/>
                <w:noProof/>
                <w:sz w:val="24"/>
              </w:rPr>
              <w:t>4.2.3.5.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Immunocytochemistry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99</w:t>
            </w:r>
            <w:r w:rsidR="00284BA0" w:rsidRPr="00284BA0">
              <w:rPr>
                <w:rFonts w:ascii="Calibri" w:hAnsi="Calibri"/>
                <w:i w:val="0"/>
                <w:noProof/>
                <w:webHidden/>
                <w:sz w:val="24"/>
              </w:rPr>
              <w:fldChar w:fldCharType="end"/>
            </w:r>
          </w:hyperlink>
        </w:p>
        <w:p w14:paraId="05A24641" w14:textId="6329FBD2"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02" w:history="1">
            <w:r w:rsidR="00284BA0" w:rsidRPr="00284BA0">
              <w:rPr>
                <w:rStyle w:val="Hyperlink"/>
                <w:rFonts w:ascii="Calibri" w:hAnsi="Calibri" w:cs="Calibri"/>
                <w:i w:val="0"/>
                <w:noProof/>
                <w:sz w:val="24"/>
              </w:rPr>
              <w:t>4.2.3.6.</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Protein Extraction and Quantification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100</w:t>
            </w:r>
            <w:r w:rsidR="00284BA0" w:rsidRPr="00284BA0">
              <w:rPr>
                <w:rFonts w:ascii="Calibri" w:hAnsi="Calibri"/>
                <w:i w:val="0"/>
                <w:noProof/>
                <w:webHidden/>
                <w:sz w:val="24"/>
              </w:rPr>
              <w:fldChar w:fldCharType="end"/>
            </w:r>
          </w:hyperlink>
        </w:p>
        <w:p w14:paraId="3D6DEE13" w14:textId="3034A2CA"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03" w:history="1">
            <w:r w:rsidR="00284BA0" w:rsidRPr="00284BA0">
              <w:rPr>
                <w:rStyle w:val="Hyperlink"/>
                <w:rFonts w:ascii="Calibri" w:hAnsi="Calibri" w:cs="Calibri"/>
                <w:i w:val="0"/>
                <w:noProof/>
                <w:sz w:val="24"/>
              </w:rPr>
              <w:t>4.2.3.7.</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Immunoblotting</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100</w:t>
            </w:r>
            <w:r w:rsidR="00284BA0" w:rsidRPr="00284BA0">
              <w:rPr>
                <w:rFonts w:ascii="Calibri" w:hAnsi="Calibri"/>
                <w:i w:val="0"/>
                <w:noProof/>
                <w:webHidden/>
                <w:sz w:val="24"/>
              </w:rPr>
              <w:fldChar w:fldCharType="end"/>
            </w:r>
          </w:hyperlink>
        </w:p>
        <w:p w14:paraId="3D532D2A" w14:textId="6E86E815"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04" w:history="1">
            <w:r w:rsidR="00284BA0" w:rsidRPr="00284BA0">
              <w:rPr>
                <w:rStyle w:val="Hyperlink"/>
                <w:rFonts w:ascii="Calibri" w:hAnsi="Calibri" w:cs="Calibri"/>
                <w:i w:val="0"/>
                <w:noProof/>
                <w:sz w:val="24"/>
              </w:rPr>
              <w:t>4.2.3.8.</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Migration Assay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101</w:t>
            </w:r>
            <w:r w:rsidR="00284BA0" w:rsidRPr="00284BA0">
              <w:rPr>
                <w:rFonts w:ascii="Calibri" w:hAnsi="Calibri"/>
                <w:i w:val="0"/>
                <w:noProof/>
                <w:webHidden/>
                <w:sz w:val="24"/>
              </w:rPr>
              <w:fldChar w:fldCharType="end"/>
            </w:r>
          </w:hyperlink>
        </w:p>
        <w:p w14:paraId="3AF86B11" w14:textId="4B74FBE3"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05" w:history="1">
            <w:r w:rsidR="00284BA0" w:rsidRPr="00284BA0">
              <w:rPr>
                <w:rStyle w:val="Hyperlink"/>
                <w:rFonts w:ascii="Calibri" w:hAnsi="Calibri" w:cs="Calibri"/>
                <w:i w:val="0"/>
                <w:noProof/>
                <w:sz w:val="24"/>
              </w:rPr>
              <w:t>4.2.3.9.</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Statistical Analysis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102</w:t>
            </w:r>
            <w:r w:rsidR="00284BA0" w:rsidRPr="00284BA0">
              <w:rPr>
                <w:rFonts w:ascii="Calibri" w:hAnsi="Calibri"/>
                <w:i w:val="0"/>
                <w:noProof/>
                <w:webHidden/>
                <w:sz w:val="24"/>
              </w:rPr>
              <w:fldChar w:fldCharType="end"/>
            </w:r>
          </w:hyperlink>
        </w:p>
        <w:p w14:paraId="6730379A" w14:textId="5451B771"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206" w:history="1">
            <w:r w:rsidR="00284BA0" w:rsidRPr="00284BA0">
              <w:rPr>
                <w:rStyle w:val="Hyperlink"/>
                <w:rFonts w:ascii="Calibri" w:hAnsi="Calibri" w:cs="Calibri"/>
                <w:i w:val="0"/>
                <w:noProof/>
                <w:sz w:val="24"/>
              </w:rPr>
              <w:t>4.2.4.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Results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102</w:t>
            </w:r>
            <w:r w:rsidR="00284BA0" w:rsidRPr="00284BA0">
              <w:rPr>
                <w:rFonts w:ascii="Calibri" w:hAnsi="Calibri"/>
                <w:i w:val="0"/>
                <w:noProof/>
                <w:webHidden/>
                <w:sz w:val="24"/>
              </w:rPr>
              <w:fldChar w:fldCharType="end"/>
            </w:r>
          </w:hyperlink>
        </w:p>
        <w:p w14:paraId="3FD1F346" w14:textId="748695E2"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07" w:history="1">
            <w:r w:rsidR="00284BA0" w:rsidRPr="00284BA0">
              <w:rPr>
                <w:rStyle w:val="Hyperlink"/>
                <w:rFonts w:ascii="Calibri" w:hAnsi="Calibri" w:cs="Calibri"/>
                <w:i w:val="0"/>
                <w:noProof/>
                <w:sz w:val="24"/>
              </w:rPr>
              <w:t>4.2.4.1.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Expression of Epithelial-to-Mesenchymal Markers in Monolayers of EOC Cells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102</w:t>
            </w:r>
            <w:r w:rsidR="00284BA0" w:rsidRPr="00284BA0">
              <w:rPr>
                <w:rFonts w:ascii="Calibri" w:hAnsi="Calibri"/>
                <w:i w:val="0"/>
                <w:noProof/>
                <w:webHidden/>
                <w:sz w:val="24"/>
              </w:rPr>
              <w:fldChar w:fldCharType="end"/>
            </w:r>
          </w:hyperlink>
        </w:p>
        <w:p w14:paraId="746EA695" w14:textId="713B6DA2"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08" w:history="1">
            <w:r w:rsidR="00284BA0" w:rsidRPr="00284BA0">
              <w:rPr>
                <w:rStyle w:val="Hyperlink"/>
                <w:rFonts w:ascii="Calibri" w:hAnsi="Calibri"/>
                <w:i w:val="0"/>
                <w:noProof/>
                <w:sz w:val="24"/>
              </w:rPr>
              <w:t>4.2.4.2.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i w:val="0"/>
                <w:noProof/>
                <w:sz w:val="24"/>
              </w:rPr>
              <w:t>Spheroid Formation and Characterization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104</w:t>
            </w:r>
            <w:r w:rsidR="00284BA0" w:rsidRPr="00284BA0">
              <w:rPr>
                <w:rFonts w:ascii="Calibri" w:hAnsi="Calibri"/>
                <w:i w:val="0"/>
                <w:noProof/>
                <w:webHidden/>
                <w:sz w:val="24"/>
              </w:rPr>
              <w:fldChar w:fldCharType="end"/>
            </w:r>
          </w:hyperlink>
        </w:p>
        <w:p w14:paraId="53F9A062" w14:textId="1A1FEC97"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09" w:history="1">
            <w:r w:rsidR="00284BA0" w:rsidRPr="00284BA0">
              <w:rPr>
                <w:rStyle w:val="Hyperlink"/>
                <w:rFonts w:ascii="Calibri" w:hAnsi="Calibri" w:cs="Calibri"/>
                <w:i w:val="0"/>
                <w:noProof/>
                <w:sz w:val="24"/>
              </w:rPr>
              <w:t>4.2.4.3.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Expression of Epithelial-to-Mesenchymal Markers in EOC Spheroids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_Toc120794209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107</w:t>
            </w:r>
            <w:r w:rsidR="00284BA0" w:rsidRPr="00284BA0">
              <w:rPr>
                <w:rFonts w:ascii="Calibri" w:hAnsi="Calibri"/>
                <w:i w:val="0"/>
                <w:noProof/>
                <w:webHidden/>
                <w:sz w:val="24"/>
              </w:rPr>
              <w:fldChar w:fldCharType="end"/>
            </w:r>
          </w:hyperlink>
        </w:p>
        <w:p w14:paraId="2A8AABFD" w14:textId="62004D04"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10" w:history="1">
            <w:r w:rsidR="00284BA0" w:rsidRPr="00284BA0">
              <w:rPr>
                <w:rStyle w:val="Hyperlink"/>
                <w:rFonts w:ascii="Calibri" w:hAnsi="Calibri" w:cs="Calibri"/>
                <w:i w:val="0"/>
                <w:noProof/>
                <w:sz w:val="24"/>
              </w:rPr>
              <w:t>4.2.4.4.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Size and Shape Dependent Cytotoxicity in EOC spheroids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110</w:t>
            </w:r>
            <w:r w:rsidR="00284BA0" w:rsidRPr="00284BA0">
              <w:rPr>
                <w:rFonts w:ascii="Calibri" w:hAnsi="Calibri"/>
                <w:i w:val="0"/>
                <w:noProof/>
                <w:webHidden/>
                <w:sz w:val="24"/>
              </w:rPr>
              <w:fldChar w:fldCharType="end"/>
            </w:r>
          </w:hyperlink>
        </w:p>
        <w:p w14:paraId="24F4E154" w14:textId="10FEF2EC"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11" w:history="1">
            <w:r w:rsidR="00284BA0" w:rsidRPr="00284BA0">
              <w:rPr>
                <w:rStyle w:val="Hyperlink"/>
                <w:rFonts w:ascii="Calibri" w:hAnsi="Calibri" w:cs="Calibri"/>
                <w:i w:val="0"/>
                <w:noProof/>
                <w:sz w:val="24"/>
              </w:rPr>
              <w:t>4.2.4.5.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Migration Profiles of EOC Spheroids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115</w:t>
            </w:r>
            <w:r w:rsidR="00284BA0" w:rsidRPr="00284BA0">
              <w:rPr>
                <w:rFonts w:ascii="Calibri" w:hAnsi="Calibri"/>
                <w:i w:val="0"/>
                <w:noProof/>
                <w:webHidden/>
                <w:sz w:val="24"/>
              </w:rPr>
              <w:fldChar w:fldCharType="end"/>
            </w:r>
          </w:hyperlink>
        </w:p>
        <w:p w14:paraId="617513E1" w14:textId="3FA198D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212" w:history="1">
            <w:r w:rsidR="00284BA0" w:rsidRPr="00284BA0">
              <w:rPr>
                <w:rStyle w:val="Hyperlink"/>
                <w:rFonts w:ascii="Calibri" w:hAnsi="Calibri" w:cs="Calibri"/>
                <w:i w:val="0"/>
                <w:noProof/>
                <w:sz w:val="24"/>
              </w:rPr>
              <w:t>4.2.5.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Discussion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117</w:t>
            </w:r>
            <w:r w:rsidR="00284BA0" w:rsidRPr="00284BA0">
              <w:rPr>
                <w:rFonts w:ascii="Calibri" w:hAnsi="Calibri"/>
                <w:i w:val="0"/>
                <w:noProof/>
                <w:webHidden/>
                <w:sz w:val="24"/>
              </w:rPr>
              <w:fldChar w:fldCharType="end"/>
            </w:r>
          </w:hyperlink>
        </w:p>
        <w:p w14:paraId="638879B3" w14:textId="780374ED"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213" w:history="1">
            <w:r w:rsidR="00284BA0" w:rsidRPr="00284BA0">
              <w:rPr>
                <w:rStyle w:val="Hyperlink"/>
                <w:rFonts w:ascii="Calibri" w:hAnsi="Calibri" w:cs="Calibri"/>
                <w:i w:val="0"/>
                <w:noProof/>
                <w:sz w:val="24"/>
              </w:rPr>
              <w:t>4.3.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aggregation-induced ICD in breast cancer spheroid model</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121</w:t>
            </w:r>
            <w:r w:rsidR="00284BA0" w:rsidRPr="00284BA0">
              <w:rPr>
                <w:rFonts w:ascii="Calibri" w:hAnsi="Calibri"/>
                <w:i w:val="0"/>
                <w:noProof/>
                <w:webHidden/>
                <w:sz w:val="24"/>
              </w:rPr>
              <w:fldChar w:fldCharType="end"/>
            </w:r>
          </w:hyperlink>
        </w:p>
        <w:p w14:paraId="05B1B580" w14:textId="7ECAB069"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214" w:history="1">
            <w:r w:rsidR="00284BA0" w:rsidRPr="00284BA0">
              <w:rPr>
                <w:rStyle w:val="Hyperlink"/>
                <w:rFonts w:ascii="Calibri" w:hAnsi="Calibri" w:cs="Calibri"/>
                <w:i w:val="0"/>
                <w:noProof/>
                <w:sz w:val="24"/>
              </w:rPr>
              <w:t>4.3.1.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Introduction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121</w:t>
            </w:r>
            <w:r w:rsidR="00284BA0" w:rsidRPr="00284BA0">
              <w:rPr>
                <w:rFonts w:ascii="Calibri" w:hAnsi="Calibri"/>
                <w:i w:val="0"/>
                <w:noProof/>
                <w:webHidden/>
                <w:sz w:val="24"/>
              </w:rPr>
              <w:fldChar w:fldCharType="end"/>
            </w:r>
          </w:hyperlink>
        </w:p>
        <w:p w14:paraId="0D8CB171" w14:textId="36256B15"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215" w:history="1">
            <w:r w:rsidR="00284BA0" w:rsidRPr="00284BA0">
              <w:rPr>
                <w:rStyle w:val="Hyperlink"/>
                <w:rFonts w:ascii="Calibri" w:hAnsi="Calibri" w:cs="Calibri"/>
                <w:i w:val="0"/>
                <w:noProof/>
                <w:sz w:val="24"/>
              </w:rPr>
              <w:t>4.3.2.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Results and Discussion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123</w:t>
            </w:r>
            <w:r w:rsidR="00284BA0" w:rsidRPr="00284BA0">
              <w:rPr>
                <w:rFonts w:ascii="Calibri" w:hAnsi="Calibri"/>
                <w:i w:val="0"/>
                <w:noProof/>
                <w:webHidden/>
                <w:sz w:val="24"/>
              </w:rPr>
              <w:fldChar w:fldCharType="end"/>
            </w:r>
          </w:hyperlink>
        </w:p>
        <w:p w14:paraId="697FE988" w14:textId="4659A816"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16" w:history="1">
            <w:r w:rsidR="00284BA0" w:rsidRPr="00284BA0">
              <w:rPr>
                <w:rStyle w:val="Hyperlink"/>
                <w:rFonts w:ascii="Calibri" w:hAnsi="Calibri" w:cs="Calibri"/>
                <w:i w:val="0"/>
                <w:noProof/>
                <w:sz w:val="24"/>
              </w:rPr>
              <w:t>4.3.2.1.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Spheroid formation of EMT6 cells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123</w:t>
            </w:r>
            <w:r w:rsidR="00284BA0" w:rsidRPr="00284BA0">
              <w:rPr>
                <w:rFonts w:ascii="Calibri" w:hAnsi="Calibri"/>
                <w:i w:val="0"/>
                <w:noProof/>
                <w:webHidden/>
                <w:sz w:val="24"/>
              </w:rPr>
              <w:fldChar w:fldCharType="end"/>
            </w:r>
          </w:hyperlink>
        </w:p>
        <w:p w14:paraId="6B2EEA0F" w14:textId="1C95E34D"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17" w:history="1">
            <w:r w:rsidR="00284BA0" w:rsidRPr="00284BA0">
              <w:rPr>
                <w:rStyle w:val="Hyperlink"/>
                <w:rFonts w:ascii="Calibri" w:hAnsi="Calibri" w:cs="Calibri"/>
                <w:i w:val="0"/>
                <w:noProof/>
                <w:sz w:val="24"/>
              </w:rPr>
              <w:t>4.3.2.2.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peptide aggregation induces cell membrane damage in spheroids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125</w:t>
            </w:r>
            <w:r w:rsidR="00284BA0" w:rsidRPr="00284BA0">
              <w:rPr>
                <w:rFonts w:ascii="Calibri" w:hAnsi="Calibri"/>
                <w:i w:val="0"/>
                <w:noProof/>
                <w:webHidden/>
                <w:sz w:val="24"/>
              </w:rPr>
              <w:fldChar w:fldCharType="end"/>
            </w:r>
          </w:hyperlink>
        </w:p>
        <w:p w14:paraId="01D6319F" w14:textId="05A1D609"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18" w:history="1">
            <w:r w:rsidR="00284BA0" w:rsidRPr="00284BA0">
              <w:rPr>
                <w:rStyle w:val="Hyperlink"/>
                <w:rFonts w:ascii="Calibri" w:hAnsi="Calibri" w:cs="Calibri"/>
                <w:i w:val="0"/>
                <w:noProof/>
                <w:sz w:val="24"/>
              </w:rPr>
              <w:t>4.3.2.3.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EMT6 spheroids are resistant to chemotherapeutics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129</w:t>
            </w:r>
            <w:r w:rsidR="00284BA0" w:rsidRPr="00284BA0">
              <w:rPr>
                <w:rFonts w:ascii="Calibri" w:hAnsi="Calibri"/>
                <w:i w:val="0"/>
                <w:noProof/>
                <w:webHidden/>
                <w:sz w:val="24"/>
              </w:rPr>
              <w:fldChar w:fldCharType="end"/>
            </w:r>
          </w:hyperlink>
        </w:p>
        <w:p w14:paraId="113A5118" w14:textId="175704D6"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19" w:history="1">
            <w:r w:rsidR="00284BA0" w:rsidRPr="00284BA0">
              <w:rPr>
                <w:rStyle w:val="Hyperlink"/>
                <w:rFonts w:ascii="Calibri" w:hAnsi="Calibri" w:cs="Calibri"/>
                <w:i w:val="0"/>
                <w:noProof/>
                <w:sz w:val="24"/>
              </w:rPr>
              <w:t>4.3.2.4.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aggregation-induced DAMP release is superior to chemotherapeutics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_Toc120794219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131</w:t>
            </w:r>
            <w:r w:rsidR="00284BA0" w:rsidRPr="00284BA0">
              <w:rPr>
                <w:rFonts w:ascii="Calibri" w:hAnsi="Calibri"/>
                <w:i w:val="0"/>
                <w:noProof/>
                <w:webHidden/>
                <w:sz w:val="24"/>
              </w:rPr>
              <w:fldChar w:fldCharType="end"/>
            </w:r>
          </w:hyperlink>
        </w:p>
        <w:p w14:paraId="0545BF45" w14:textId="2DD9DFA3"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20" w:history="1">
            <w:r w:rsidR="00284BA0" w:rsidRPr="00284BA0">
              <w:rPr>
                <w:rStyle w:val="Hyperlink"/>
                <w:rFonts w:ascii="Calibri" w:hAnsi="Calibri" w:cs="Calibri"/>
                <w:i w:val="0"/>
                <w:noProof/>
                <w:sz w:val="24"/>
              </w:rPr>
              <w:t>4.3.2.5.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peptide aggregation-induced DAMP release activates BMDCs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133</w:t>
            </w:r>
            <w:r w:rsidR="00284BA0" w:rsidRPr="00284BA0">
              <w:rPr>
                <w:rFonts w:ascii="Calibri" w:hAnsi="Calibri"/>
                <w:i w:val="0"/>
                <w:noProof/>
                <w:webHidden/>
                <w:sz w:val="24"/>
              </w:rPr>
              <w:fldChar w:fldCharType="end"/>
            </w:r>
          </w:hyperlink>
        </w:p>
        <w:p w14:paraId="5FC7715D" w14:textId="382AB9ED"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21" w:history="1">
            <w:r w:rsidR="00284BA0" w:rsidRPr="00284BA0">
              <w:rPr>
                <w:rStyle w:val="Hyperlink"/>
                <w:rFonts w:ascii="Calibri" w:hAnsi="Calibri" w:cs="Calibri"/>
                <w:i w:val="0"/>
                <w:noProof/>
                <w:sz w:val="24"/>
              </w:rPr>
              <w:t>4.3.2.6.</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[II] treated spheroid conditioned medium is non-toxic to BMDCs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135</w:t>
            </w:r>
            <w:r w:rsidR="00284BA0" w:rsidRPr="00284BA0">
              <w:rPr>
                <w:rFonts w:ascii="Calibri" w:hAnsi="Calibri"/>
                <w:i w:val="0"/>
                <w:noProof/>
                <w:webHidden/>
                <w:sz w:val="24"/>
              </w:rPr>
              <w:fldChar w:fldCharType="end"/>
            </w:r>
          </w:hyperlink>
        </w:p>
        <w:p w14:paraId="0154D894" w14:textId="5169789F"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222" w:history="1">
            <w:r w:rsidR="00284BA0" w:rsidRPr="00284BA0">
              <w:rPr>
                <w:rStyle w:val="Hyperlink"/>
                <w:rFonts w:ascii="Calibri" w:hAnsi="Calibri" w:cs="Calibri"/>
                <w:i w:val="0"/>
                <w:noProof/>
                <w:sz w:val="24"/>
              </w:rPr>
              <w:t>4.3.3.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Conclusions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137</w:t>
            </w:r>
            <w:r w:rsidR="00284BA0" w:rsidRPr="00284BA0">
              <w:rPr>
                <w:rFonts w:ascii="Calibri" w:hAnsi="Calibri"/>
                <w:i w:val="0"/>
                <w:noProof/>
                <w:webHidden/>
                <w:sz w:val="24"/>
              </w:rPr>
              <w:fldChar w:fldCharType="end"/>
            </w:r>
          </w:hyperlink>
        </w:p>
        <w:p w14:paraId="2F054670" w14:textId="3C971F15" w:rsidR="00284BA0" w:rsidRPr="00284BA0" w:rsidRDefault="00000000">
          <w:pPr>
            <w:pStyle w:val="TOC2"/>
            <w:tabs>
              <w:tab w:val="left" w:pos="960"/>
              <w:tab w:val="right" w:leader="dot" w:pos="9350"/>
            </w:tabs>
            <w:rPr>
              <w:rFonts w:ascii="Calibri" w:eastAsiaTheme="minorEastAsia" w:hAnsi="Calibri" w:cstheme="minorBidi"/>
              <w:i w:val="0"/>
              <w:iCs w:val="0"/>
              <w:noProof/>
              <w:sz w:val="24"/>
              <w:szCs w:val="24"/>
            </w:rPr>
          </w:pPr>
          <w:hyperlink w:anchor="_Toc120794223" w:history="1">
            <w:r w:rsidR="00284BA0" w:rsidRPr="00284BA0">
              <w:rPr>
                <w:rStyle w:val="Hyperlink"/>
                <w:rFonts w:ascii="Calibri" w:hAnsi="Calibri" w:cs="Calibri"/>
                <w:i w:val="0"/>
                <w:noProof/>
                <w:sz w:val="24"/>
              </w:rPr>
              <w:t>4.3.4.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Experimental Section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138</w:t>
            </w:r>
            <w:r w:rsidR="00284BA0" w:rsidRPr="00284BA0">
              <w:rPr>
                <w:rFonts w:ascii="Calibri" w:hAnsi="Calibri"/>
                <w:i w:val="0"/>
                <w:noProof/>
                <w:webHidden/>
                <w:sz w:val="24"/>
              </w:rPr>
              <w:fldChar w:fldCharType="end"/>
            </w:r>
          </w:hyperlink>
        </w:p>
        <w:p w14:paraId="786BF1A7" w14:textId="1216EC84"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24" w:history="1">
            <w:r w:rsidR="00284BA0" w:rsidRPr="00284BA0">
              <w:rPr>
                <w:rStyle w:val="Hyperlink"/>
                <w:rFonts w:ascii="Calibri" w:hAnsi="Calibri" w:cs="Calibri"/>
                <w:i w:val="0"/>
                <w:noProof/>
                <w:sz w:val="24"/>
              </w:rPr>
              <w:t>4.3.4.1.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Materials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138</w:t>
            </w:r>
            <w:r w:rsidR="00284BA0" w:rsidRPr="00284BA0">
              <w:rPr>
                <w:rFonts w:ascii="Calibri" w:hAnsi="Calibri"/>
                <w:i w:val="0"/>
                <w:noProof/>
                <w:webHidden/>
                <w:sz w:val="24"/>
              </w:rPr>
              <w:fldChar w:fldCharType="end"/>
            </w:r>
          </w:hyperlink>
        </w:p>
        <w:p w14:paraId="60229D7F" w14:textId="7BFA0D8B"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25" w:history="1">
            <w:r w:rsidR="00284BA0" w:rsidRPr="00284BA0">
              <w:rPr>
                <w:rStyle w:val="Hyperlink"/>
                <w:rFonts w:ascii="Calibri" w:hAnsi="Calibri" w:cs="Calibri"/>
                <w:i w:val="0"/>
                <w:noProof/>
                <w:sz w:val="24"/>
              </w:rPr>
              <w:t>4.3.4.2.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Peptide synthesis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138</w:t>
            </w:r>
            <w:r w:rsidR="00284BA0" w:rsidRPr="00284BA0">
              <w:rPr>
                <w:rFonts w:ascii="Calibri" w:hAnsi="Calibri"/>
                <w:i w:val="0"/>
                <w:noProof/>
                <w:webHidden/>
                <w:sz w:val="24"/>
              </w:rPr>
              <w:fldChar w:fldCharType="end"/>
            </w:r>
          </w:hyperlink>
        </w:p>
        <w:p w14:paraId="2B01031B" w14:textId="223E591F"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26" w:history="1">
            <w:r w:rsidR="00284BA0" w:rsidRPr="00284BA0">
              <w:rPr>
                <w:rStyle w:val="Hyperlink"/>
                <w:rFonts w:ascii="Calibri" w:hAnsi="Calibri" w:cs="Calibri"/>
                <w:i w:val="0"/>
                <w:noProof/>
                <w:sz w:val="24"/>
              </w:rPr>
              <w:t>4.3.4.3.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Thioflavin T (ThT) Assay</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140</w:t>
            </w:r>
            <w:r w:rsidR="00284BA0" w:rsidRPr="00284BA0">
              <w:rPr>
                <w:rFonts w:ascii="Calibri" w:hAnsi="Calibri"/>
                <w:i w:val="0"/>
                <w:noProof/>
                <w:webHidden/>
                <w:sz w:val="24"/>
              </w:rPr>
              <w:fldChar w:fldCharType="end"/>
            </w:r>
          </w:hyperlink>
        </w:p>
        <w:p w14:paraId="60E0E0D9" w14:textId="56EC8949"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27" w:history="1">
            <w:r w:rsidR="00284BA0" w:rsidRPr="00284BA0">
              <w:rPr>
                <w:rStyle w:val="Hyperlink"/>
                <w:rFonts w:ascii="Calibri" w:hAnsi="Calibri" w:cs="Calibri"/>
                <w:i w:val="0"/>
                <w:noProof/>
                <w:sz w:val="24"/>
              </w:rPr>
              <w:t>4.3.4.4.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Cell Culture and Reagents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140</w:t>
            </w:r>
            <w:r w:rsidR="00284BA0" w:rsidRPr="00284BA0">
              <w:rPr>
                <w:rFonts w:ascii="Calibri" w:hAnsi="Calibri"/>
                <w:i w:val="0"/>
                <w:noProof/>
                <w:webHidden/>
                <w:sz w:val="24"/>
              </w:rPr>
              <w:fldChar w:fldCharType="end"/>
            </w:r>
          </w:hyperlink>
        </w:p>
        <w:p w14:paraId="2E1ECDF5" w14:textId="1488D7B9"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28" w:history="1">
            <w:r w:rsidR="00284BA0" w:rsidRPr="00284BA0">
              <w:rPr>
                <w:rStyle w:val="Hyperlink"/>
                <w:rFonts w:ascii="Calibri" w:hAnsi="Calibri" w:cs="Calibri"/>
                <w:i w:val="0"/>
                <w:noProof/>
                <w:sz w:val="24"/>
              </w:rPr>
              <w:t>4.3.4.5.</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Spheroid Formation and Characterization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_Toc120794228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140</w:t>
            </w:r>
            <w:r w:rsidR="00284BA0" w:rsidRPr="00284BA0">
              <w:rPr>
                <w:rFonts w:ascii="Calibri" w:hAnsi="Calibri"/>
                <w:i w:val="0"/>
                <w:noProof/>
                <w:webHidden/>
                <w:sz w:val="24"/>
              </w:rPr>
              <w:fldChar w:fldCharType="end"/>
            </w:r>
          </w:hyperlink>
        </w:p>
        <w:p w14:paraId="6ED003C5" w14:textId="0A5D1B7B"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29" w:history="1">
            <w:r w:rsidR="00284BA0" w:rsidRPr="00284BA0">
              <w:rPr>
                <w:rStyle w:val="Hyperlink"/>
                <w:rFonts w:ascii="Calibri" w:hAnsi="Calibri" w:cs="Calibri"/>
                <w:i w:val="0"/>
                <w:noProof/>
                <w:sz w:val="24"/>
              </w:rPr>
              <w:t>4.3.4.6.</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Peptide and chemotherapeutics preparation and treatment</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_Toc120794229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141</w:t>
            </w:r>
            <w:r w:rsidR="00284BA0" w:rsidRPr="00284BA0">
              <w:rPr>
                <w:rFonts w:ascii="Calibri" w:hAnsi="Calibri"/>
                <w:i w:val="0"/>
                <w:noProof/>
                <w:webHidden/>
                <w:sz w:val="24"/>
              </w:rPr>
              <w:fldChar w:fldCharType="end"/>
            </w:r>
          </w:hyperlink>
        </w:p>
        <w:p w14:paraId="3D2D9F9E" w14:textId="180A73FE"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30" w:history="1">
            <w:r w:rsidR="00284BA0" w:rsidRPr="00284BA0">
              <w:rPr>
                <w:rStyle w:val="Hyperlink"/>
                <w:rFonts w:ascii="Calibri" w:hAnsi="Calibri" w:cs="Calibri"/>
                <w:i w:val="0"/>
                <w:noProof/>
                <w:sz w:val="24"/>
              </w:rPr>
              <w:t>4.3.4.7.</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LDH measurement</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_Toc120794230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141</w:t>
            </w:r>
            <w:r w:rsidR="00284BA0" w:rsidRPr="00284BA0">
              <w:rPr>
                <w:rFonts w:ascii="Calibri" w:hAnsi="Calibri"/>
                <w:i w:val="0"/>
                <w:noProof/>
                <w:webHidden/>
                <w:sz w:val="24"/>
              </w:rPr>
              <w:fldChar w:fldCharType="end"/>
            </w:r>
          </w:hyperlink>
        </w:p>
        <w:p w14:paraId="1A513E67" w14:textId="6D482FA6"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31" w:history="1">
            <w:r w:rsidR="00284BA0" w:rsidRPr="00284BA0">
              <w:rPr>
                <w:rStyle w:val="Hyperlink"/>
                <w:rFonts w:ascii="Calibri" w:hAnsi="Calibri" w:cs="Calibri"/>
                <w:i w:val="0"/>
                <w:noProof/>
                <w:sz w:val="24"/>
              </w:rPr>
              <w:t>4.3.4.8.</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Extracellular ATP measurement</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_Toc120794231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142</w:t>
            </w:r>
            <w:r w:rsidR="00284BA0" w:rsidRPr="00284BA0">
              <w:rPr>
                <w:rFonts w:ascii="Calibri" w:hAnsi="Calibri"/>
                <w:i w:val="0"/>
                <w:noProof/>
                <w:webHidden/>
                <w:sz w:val="24"/>
              </w:rPr>
              <w:fldChar w:fldCharType="end"/>
            </w:r>
          </w:hyperlink>
        </w:p>
        <w:p w14:paraId="39D3AC44" w14:textId="3C6F22D8"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32" w:history="1">
            <w:r w:rsidR="00284BA0" w:rsidRPr="00284BA0">
              <w:rPr>
                <w:rStyle w:val="Hyperlink"/>
                <w:rFonts w:ascii="Calibri" w:hAnsi="Calibri" w:cs="Calibri"/>
                <w:i w:val="0"/>
                <w:noProof/>
                <w:sz w:val="24"/>
              </w:rPr>
              <w:t>4.3.4.9.</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Extracellular dsDNA measurement</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_Toc120794232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142</w:t>
            </w:r>
            <w:r w:rsidR="00284BA0" w:rsidRPr="00284BA0">
              <w:rPr>
                <w:rFonts w:ascii="Calibri" w:hAnsi="Calibri"/>
                <w:i w:val="0"/>
                <w:noProof/>
                <w:webHidden/>
                <w:sz w:val="24"/>
              </w:rPr>
              <w:fldChar w:fldCharType="end"/>
            </w:r>
          </w:hyperlink>
        </w:p>
        <w:p w14:paraId="0884850C" w14:textId="0E17D38A"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33" w:history="1">
            <w:r w:rsidR="00284BA0" w:rsidRPr="00284BA0">
              <w:rPr>
                <w:rStyle w:val="Hyperlink"/>
                <w:rFonts w:ascii="Calibri" w:hAnsi="Calibri" w:cs="Calibri"/>
                <w:i w:val="0"/>
                <w:noProof/>
                <w:sz w:val="24"/>
              </w:rPr>
              <w:t>4.3.4.10.</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Immunoblotting reagents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_Toc120794233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142</w:t>
            </w:r>
            <w:r w:rsidR="00284BA0" w:rsidRPr="00284BA0">
              <w:rPr>
                <w:rFonts w:ascii="Calibri" w:hAnsi="Calibri"/>
                <w:i w:val="0"/>
                <w:noProof/>
                <w:webHidden/>
                <w:sz w:val="24"/>
              </w:rPr>
              <w:fldChar w:fldCharType="end"/>
            </w:r>
          </w:hyperlink>
        </w:p>
        <w:p w14:paraId="5EF0D6C1" w14:textId="7EE3FD51"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34" w:history="1">
            <w:r w:rsidR="00284BA0" w:rsidRPr="00284BA0">
              <w:rPr>
                <w:rStyle w:val="Hyperlink"/>
                <w:rFonts w:ascii="Calibri" w:hAnsi="Calibri" w:cs="Calibri"/>
                <w:i w:val="0"/>
                <w:noProof/>
                <w:sz w:val="24"/>
              </w:rPr>
              <w:t>4.3.4.11.</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Procedure</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_Toc120794234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143</w:t>
            </w:r>
            <w:r w:rsidR="00284BA0" w:rsidRPr="00284BA0">
              <w:rPr>
                <w:rFonts w:ascii="Calibri" w:hAnsi="Calibri"/>
                <w:i w:val="0"/>
                <w:noProof/>
                <w:webHidden/>
                <w:sz w:val="24"/>
              </w:rPr>
              <w:fldChar w:fldCharType="end"/>
            </w:r>
          </w:hyperlink>
        </w:p>
        <w:p w14:paraId="586B8932" w14:textId="61271222"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35" w:history="1">
            <w:r w:rsidR="00284BA0" w:rsidRPr="00284BA0">
              <w:rPr>
                <w:rStyle w:val="Hyperlink"/>
                <w:rFonts w:ascii="Calibri" w:hAnsi="Calibri" w:cs="Calibri"/>
                <w:i w:val="0"/>
                <w:noProof/>
                <w:sz w:val="24"/>
              </w:rPr>
              <w:t>4.3.4.12.</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BMDC generation</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_Toc120794235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143</w:t>
            </w:r>
            <w:r w:rsidR="00284BA0" w:rsidRPr="00284BA0">
              <w:rPr>
                <w:rFonts w:ascii="Calibri" w:hAnsi="Calibri"/>
                <w:i w:val="0"/>
                <w:noProof/>
                <w:webHidden/>
                <w:sz w:val="24"/>
              </w:rPr>
              <w:fldChar w:fldCharType="end"/>
            </w:r>
          </w:hyperlink>
        </w:p>
        <w:p w14:paraId="307B3043" w14:textId="291A4E5D"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36" w:history="1">
            <w:r w:rsidR="00284BA0" w:rsidRPr="00284BA0">
              <w:rPr>
                <w:rStyle w:val="Hyperlink"/>
                <w:rFonts w:ascii="Calibri" w:hAnsi="Calibri" w:cs="Calibri"/>
                <w:i w:val="0"/>
                <w:noProof/>
                <w:sz w:val="24"/>
              </w:rPr>
              <w:t>4.3.4.13.</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Co-culture of spheroid conditioned medium with BMDCs</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_Toc120794236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143</w:t>
            </w:r>
            <w:r w:rsidR="00284BA0" w:rsidRPr="00284BA0">
              <w:rPr>
                <w:rFonts w:ascii="Calibri" w:hAnsi="Calibri"/>
                <w:i w:val="0"/>
                <w:noProof/>
                <w:webHidden/>
                <w:sz w:val="24"/>
              </w:rPr>
              <w:fldChar w:fldCharType="end"/>
            </w:r>
          </w:hyperlink>
        </w:p>
        <w:p w14:paraId="00F73FCD" w14:textId="4BA92BB5" w:rsidR="00284BA0" w:rsidRPr="00284BA0" w:rsidRDefault="00000000">
          <w:pPr>
            <w:pStyle w:val="TOC2"/>
            <w:tabs>
              <w:tab w:val="left" w:pos="1200"/>
              <w:tab w:val="right" w:leader="dot" w:pos="9350"/>
            </w:tabs>
            <w:rPr>
              <w:rFonts w:ascii="Calibri" w:eastAsiaTheme="minorEastAsia" w:hAnsi="Calibri" w:cstheme="minorBidi"/>
              <w:i w:val="0"/>
              <w:iCs w:val="0"/>
              <w:noProof/>
              <w:sz w:val="24"/>
              <w:szCs w:val="24"/>
            </w:rPr>
          </w:pPr>
          <w:hyperlink w:anchor="_Toc120794237" w:history="1">
            <w:r w:rsidR="00284BA0" w:rsidRPr="00284BA0">
              <w:rPr>
                <w:rStyle w:val="Hyperlink"/>
                <w:rFonts w:ascii="Calibri" w:hAnsi="Calibri" w:cs="Calibri"/>
                <w:i w:val="0"/>
                <w:noProof/>
                <w:sz w:val="24"/>
              </w:rPr>
              <w:t>4.3.4.14.</w:t>
            </w:r>
            <w:r w:rsidR="00284BA0" w:rsidRPr="00284BA0">
              <w:rPr>
                <w:rFonts w:ascii="Calibri" w:eastAsiaTheme="minorEastAsia" w:hAnsi="Calibri" w:cstheme="minorBidi"/>
                <w:i w:val="0"/>
                <w:iCs w:val="0"/>
                <w:noProof/>
                <w:sz w:val="24"/>
                <w:szCs w:val="24"/>
              </w:rPr>
              <w:tab/>
            </w:r>
            <w:r w:rsidR="00284BA0" w:rsidRPr="00284BA0">
              <w:rPr>
                <w:rStyle w:val="Hyperlink"/>
                <w:rFonts w:ascii="Calibri" w:hAnsi="Calibri" w:cs="Calibri"/>
                <w:i w:val="0"/>
                <w:noProof/>
                <w:sz w:val="24"/>
              </w:rPr>
              <w:t>Enzyme-Linked Immunosorbent Assay (ELISA)</w:t>
            </w:r>
            <w:r w:rsidR="00284BA0" w:rsidRPr="00284BA0">
              <w:rPr>
                <w:rFonts w:ascii="Calibri" w:hAnsi="Calibri"/>
                <w:i w:val="0"/>
                <w:noProof/>
                <w:webHidden/>
                <w:sz w:val="24"/>
              </w:rPr>
              <w:tab/>
            </w:r>
            <w:r w:rsidR="00284BA0" w:rsidRPr="00284BA0">
              <w:rPr>
                <w:rFonts w:ascii="Calibri" w:hAnsi="Calibri"/>
                <w:i w:val="0"/>
                <w:noProof/>
                <w:webHidden/>
                <w:sz w:val="24"/>
              </w:rPr>
              <w:fldChar w:fldCharType="begin"/>
            </w:r>
            <w:r w:rsidR="00284BA0" w:rsidRPr="00284BA0">
              <w:rPr>
                <w:rFonts w:ascii="Calibri" w:hAnsi="Calibri"/>
                <w:i w:val="0"/>
                <w:noProof/>
                <w:webHidden/>
                <w:sz w:val="24"/>
              </w:rPr>
              <w:instrText xml:space="preserve"> PAGEREF _Toc120794237 \h </w:instrText>
            </w:r>
            <w:r w:rsidR="00284BA0" w:rsidRPr="00284BA0">
              <w:rPr>
                <w:rFonts w:ascii="Calibri" w:hAnsi="Calibri"/>
                <w:i w:val="0"/>
                <w:noProof/>
                <w:webHidden/>
                <w:sz w:val="24"/>
              </w:rPr>
            </w:r>
            <w:r w:rsidR="00284BA0" w:rsidRPr="00284BA0">
              <w:rPr>
                <w:rFonts w:ascii="Calibri" w:hAnsi="Calibri"/>
                <w:i w:val="0"/>
                <w:noProof/>
                <w:webHidden/>
                <w:sz w:val="24"/>
              </w:rPr>
              <w:fldChar w:fldCharType="separate"/>
            </w:r>
            <w:r w:rsidR="00284BA0">
              <w:rPr>
                <w:rFonts w:ascii="Calibri" w:hAnsi="Calibri"/>
                <w:i w:val="0"/>
                <w:noProof/>
                <w:webHidden/>
                <w:sz w:val="24"/>
              </w:rPr>
              <w:t>144</w:t>
            </w:r>
            <w:r w:rsidR="00284BA0" w:rsidRPr="00284BA0">
              <w:rPr>
                <w:rFonts w:ascii="Calibri" w:hAnsi="Calibri"/>
                <w:i w:val="0"/>
                <w:noProof/>
                <w:webHidden/>
                <w:sz w:val="24"/>
              </w:rPr>
              <w:fldChar w:fldCharType="end"/>
            </w:r>
          </w:hyperlink>
        </w:p>
        <w:p w14:paraId="28575D90" w14:textId="4C8F2A18" w:rsidR="00284BA0" w:rsidRPr="00284BA0" w:rsidRDefault="00000000">
          <w:pPr>
            <w:pStyle w:val="TOC1"/>
            <w:tabs>
              <w:tab w:val="right" w:leader="dot" w:pos="9350"/>
            </w:tabs>
            <w:rPr>
              <w:rFonts w:ascii="Calibri" w:eastAsiaTheme="minorEastAsia" w:hAnsi="Calibri" w:cstheme="minorBidi"/>
              <w:b w:val="0"/>
              <w:bCs w:val="0"/>
              <w:noProof/>
              <w:sz w:val="24"/>
              <w:szCs w:val="24"/>
            </w:rPr>
          </w:pPr>
          <w:hyperlink w:anchor="_Toc120794238" w:history="1">
            <w:r w:rsidR="00284BA0" w:rsidRPr="00284BA0">
              <w:rPr>
                <w:rStyle w:val="Hyperlink"/>
                <w:rFonts w:ascii="Calibri" w:hAnsi="Calibri" w:cs="Calibri"/>
                <w:b w:val="0"/>
                <w:noProof/>
                <w:sz w:val="24"/>
              </w:rPr>
              <w:t>Chapter 5: Conclusions and Future Perspectives</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_Toc120794238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145</w:t>
            </w:r>
            <w:r w:rsidR="00284BA0" w:rsidRPr="00284BA0">
              <w:rPr>
                <w:rFonts w:ascii="Calibri" w:hAnsi="Calibri"/>
                <w:b w:val="0"/>
                <w:noProof/>
                <w:webHidden/>
                <w:sz w:val="24"/>
              </w:rPr>
              <w:fldChar w:fldCharType="end"/>
            </w:r>
          </w:hyperlink>
        </w:p>
        <w:p w14:paraId="3AAD18BC" w14:textId="0412F367" w:rsidR="00284BA0" w:rsidRPr="00284BA0" w:rsidRDefault="00000000">
          <w:pPr>
            <w:pStyle w:val="TOC1"/>
            <w:tabs>
              <w:tab w:val="right" w:leader="dot" w:pos="9350"/>
            </w:tabs>
            <w:rPr>
              <w:rFonts w:ascii="Calibri" w:eastAsiaTheme="minorEastAsia" w:hAnsi="Calibri" w:cstheme="minorBidi"/>
              <w:b w:val="0"/>
              <w:bCs w:val="0"/>
              <w:noProof/>
              <w:sz w:val="24"/>
              <w:szCs w:val="24"/>
            </w:rPr>
          </w:pPr>
          <w:hyperlink w:anchor="_Toc120794239" w:history="1">
            <w:r w:rsidR="00284BA0" w:rsidRPr="00284BA0">
              <w:rPr>
                <w:rStyle w:val="Hyperlink"/>
                <w:rFonts w:ascii="Calibri" w:hAnsi="Calibri"/>
                <w:b w:val="0"/>
                <w:noProof/>
                <w:sz w:val="24"/>
              </w:rPr>
              <w:t>References</w:t>
            </w:r>
            <w:r w:rsidR="00284BA0" w:rsidRPr="00284BA0">
              <w:rPr>
                <w:rFonts w:ascii="Calibri" w:hAnsi="Calibri"/>
                <w:b w:val="0"/>
                <w:noProof/>
                <w:webHidden/>
                <w:sz w:val="24"/>
              </w:rPr>
              <w:tab/>
            </w:r>
            <w:r w:rsidR="00284BA0" w:rsidRPr="00284BA0">
              <w:rPr>
                <w:rFonts w:ascii="Calibri" w:hAnsi="Calibri"/>
                <w:b w:val="0"/>
                <w:noProof/>
                <w:webHidden/>
                <w:sz w:val="24"/>
              </w:rPr>
              <w:fldChar w:fldCharType="begin"/>
            </w:r>
            <w:r w:rsidR="00284BA0" w:rsidRPr="00284BA0">
              <w:rPr>
                <w:rFonts w:ascii="Calibri" w:hAnsi="Calibri"/>
                <w:b w:val="0"/>
                <w:noProof/>
                <w:webHidden/>
                <w:sz w:val="24"/>
              </w:rPr>
              <w:instrText xml:space="preserve"> PAGEREF _Toc120794239 \h </w:instrText>
            </w:r>
            <w:r w:rsidR="00284BA0" w:rsidRPr="00284BA0">
              <w:rPr>
                <w:rFonts w:ascii="Calibri" w:hAnsi="Calibri"/>
                <w:b w:val="0"/>
                <w:noProof/>
                <w:webHidden/>
                <w:sz w:val="24"/>
              </w:rPr>
            </w:r>
            <w:r w:rsidR="00284BA0" w:rsidRPr="00284BA0">
              <w:rPr>
                <w:rFonts w:ascii="Calibri" w:hAnsi="Calibri"/>
                <w:b w:val="0"/>
                <w:noProof/>
                <w:webHidden/>
                <w:sz w:val="24"/>
              </w:rPr>
              <w:fldChar w:fldCharType="separate"/>
            </w:r>
            <w:r w:rsidR="00284BA0">
              <w:rPr>
                <w:rFonts w:ascii="Calibri" w:hAnsi="Calibri"/>
                <w:b w:val="0"/>
                <w:noProof/>
                <w:webHidden/>
                <w:sz w:val="24"/>
              </w:rPr>
              <w:t>152</w:t>
            </w:r>
            <w:r w:rsidR="00284BA0" w:rsidRPr="00284BA0">
              <w:rPr>
                <w:rFonts w:ascii="Calibri" w:hAnsi="Calibri"/>
                <w:b w:val="0"/>
                <w:noProof/>
                <w:webHidden/>
                <w:sz w:val="24"/>
              </w:rPr>
              <w:fldChar w:fldCharType="end"/>
            </w:r>
          </w:hyperlink>
        </w:p>
        <w:p w14:paraId="3B8399AD" w14:textId="1D9AA4DA" w:rsidR="00424C77" w:rsidRPr="003C6BDE" w:rsidRDefault="00424C77" w:rsidP="00243AED">
          <w:pPr>
            <w:spacing w:line="480" w:lineRule="auto"/>
            <w:rPr>
              <w:rFonts w:ascii="Calibri" w:hAnsi="Calibri" w:cs="Calibri"/>
            </w:rPr>
          </w:pPr>
          <w:r w:rsidRPr="00284BA0">
            <w:rPr>
              <w:rFonts w:ascii="Calibri" w:hAnsi="Calibri" w:cs="Calibri"/>
              <w:bCs/>
              <w:noProof/>
            </w:rPr>
            <w:fldChar w:fldCharType="end"/>
          </w:r>
        </w:p>
      </w:sdtContent>
    </w:sdt>
    <w:p w14:paraId="21909CA3" w14:textId="77777777" w:rsidR="0067493A" w:rsidRPr="002A7128" w:rsidRDefault="0067493A" w:rsidP="00243AED">
      <w:pPr>
        <w:pStyle w:val="Heading1"/>
        <w:spacing w:line="480" w:lineRule="auto"/>
        <w:rPr>
          <w:rFonts w:ascii="Calibri" w:hAnsi="Calibri" w:cs="Calibri"/>
          <w:szCs w:val="24"/>
        </w:rPr>
      </w:pPr>
      <w:bookmarkStart w:id="1" w:name="_List_of_Figures"/>
      <w:bookmarkEnd w:id="1"/>
    </w:p>
    <w:p w14:paraId="121B0844" w14:textId="195D28A7" w:rsidR="0067493A" w:rsidRDefault="0067493A" w:rsidP="00243AED">
      <w:pPr>
        <w:pStyle w:val="Heading1"/>
        <w:spacing w:line="480" w:lineRule="auto"/>
        <w:rPr>
          <w:rFonts w:ascii="Calibri" w:hAnsi="Calibri" w:cs="Calibri"/>
        </w:rPr>
      </w:pPr>
    </w:p>
    <w:p w14:paraId="25ED5C4C" w14:textId="1DFA957B" w:rsidR="003C6BDE" w:rsidRDefault="003C6BDE" w:rsidP="003C6BDE"/>
    <w:p w14:paraId="314564EA" w14:textId="4E3D434E" w:rsidR="003C6BDE" w:rsidRDefault="003C6BDE" w:rsidP="003C6BDE"/>
    <w:p w14:paraId="1F4BE4D0" w14:textId="3D95B6B6" w:rsidR="003C6BDE" w:rsidRDefault="003C6BDE" w:rsidP="003C6BDE"/>
    <w:p w14:paraId="338F31F8" w14:textId="177CC65F" w:rsidR="003C6BDE" w:rsidRDefault="003C6BDE" w:rsidP="003C6BDE"/>
    <w:p w14:paraId="28D2E4BC" w14:textId="3D9DB8F1" w:rsidR="003C6BDE" w:rsidRDefault="003C6BDE" w:rsidP="003C6BDE"/>
    <w:p w14:paraId="66CCDBAD" w14:textId="5C146BCA" w:rsidR="003C6BDE" w:rsidRDefault="003C6BDE" w:rsidP="003C6BDE"/>
    <w:p w14:paraId="16780C76" w14:textId="1682C9CF" w:rsidR="003C6BDE" w:rsidRDefault="003C6BDE" w:rsidP="003C6BDE"/>
    <w:p w14:paraId="3284D3DB" w14:textId="2CC0413E" w:rsidR="003C6BDE" w:rsidRDefault="003C6BDE" w:rsidP="003C6BDE"/>
    <w:p w14:paraId="6693A257" w14:textId="48C7D3FF" w:rsidR="003C6BDE" w:rsidRDefault="003C6BDE" w:rsidP="003C6BDE"/>
    <w:p w14:paraId="351CC929" w14:textId="2C5DF679" w:rsidR="003C6BDE" w:rsidRDefault="003C6BDE" w:rsidP="003C6BDE"/>
    <w:p w14:paraId="2BC54BDC" w14:textId="4AFC10D6" w:rsidR="003C6BDE" w:rsidRDefault="003C6BDE" w:rsidP="003C6BDE"/>
    <w:p w14:paraId="431EBA62" w14:textId="0CE116E0" w:rsidR="003C6BDE" w:rsidRDefault="003C6BDE" w:rsidP="003C6BDE"/>
    <w:p w14:paraId="3237379D" w14:textId="0B5D4A45" w:rsidR="003C6BDE" w:rsidRDefault="003C6BDE" w:rsidP="003C6BDE"/>
    <w:p w14:paraId="14F6F071" w14:textId="6072DB71" w:rsidR="003C6BDE" w:rsidRDefault="003C6BDE" w:rsidP="003C6BDE"/>
    <w:p w14:paraId="31596754" w14:textId="4DDDBCDC" w:rsidR="003C6BDE" w:rsidRDefault="003C6BDE" w:rsidP="003C6BDE"/>
    <w:p w14:paraId="4EA3185E" w14:textId="61EA9CD2" w:rsidR="003C6BDE" w:rsidRDefault="003C6BDE" w:rsidP="003C6BDE"/>
    <w:p w14:paraId="008F19DB" w14:textId="77777777" w:rsidR="003C6BDE" w:rsidRPr="003C6BDE" w:rsidRDefault="003C6BDE" w:rsidP="003C6BDE"/>
    <w:p w14:paraId="461B5706" w14:textId="13109396" w:rsidR="00727BBB" w:rsidRDefault="00727BBB" w:rsidP="00727BBB"/>
    <w:p w14:paraId="7DFAA500" w14:textId="77777777" w:rsidR="00284BA0" w:rsidRPr="00727BBB" w:rsidRDefault="00284BA0" w:rsidP="00727BBB"/>
    <w:p w14:paraId="02AC8D6C" w14:textId="7208DC8D" w:rsidR="0067493A" w:rsidRPr="002A7128" w:rsidRDefault="0067493A" w:rsidP="0067493A">
      <w:pPr>
        <w:rPr>
          <w:rFonts w:ascii="Calibri" w:hAnsi="Calibri" w:cs="Calibri"/>
        </w:rPr>
      </w:pPr>
    </w:p>
    <w:p w14:paraId="4874EA43" w14:textId="67571059" w:rsidR="000711C0" w:rsidRPr="0008050E" w:rsidRDefault="000711C0" w:rsidP="00727BBB">
      <w:pPr>
        <w:pStyle w:val="Heading1"/>
        <w:spacing w:line="480" w:lineRule="auto"/>
        <w:jc w:val="both"/>
        <w:rPr>
          <w:rFonts w:ascii="Calibri" w:hAnsi="Calibri" w:cs="Calibri"/>
          <w:b w:val="0"/>
          <w:bCs/>
        </w:rPr>
      </w:pPr>
      <w:bookmarkStart w:id="2" w:name="_Toc120794115"/>
      <w:r w:rsidRPr="0008050E">
        <w:rPr>
          <w:rFonts w:ascii="Calibri" w:hAnsi="Calibri" w:cs="Calibri"/>
          <w:b w:val="0"/>
          <w:bCs/>
        </w:rPr>
        <w:lastRenderedPageBreak/>
        <w:t>List of Figures</w:t>
      </w:r>
      <w:bookmarkEnd w:id="2"/>
    </w:p>
    <w:p w14:paraId="0912DE46" w14:textId="4BC7E2EE" w:rsidR="00727BBB" w:rsidRDefault="00AC547B" w:rsidP="00727BBB">
      <w:pPr>
        <w:pStyle w:val="TableofFigures"/>
        <w:tabs>
          <w:tab w:val="right" w:leader="dot" w:pos="9350"/>
        </w:tabs>
        <w:spacing w:line="480" w:lineRule="auto"/>
        <w:jc w:val="both"/>
        <w:rPr>
          <w:rFonts w:eastAsiaTheme="minorEastAsia"/>
          <w:noProof/>
        </w:rPr>
      </w:pPr>
      <w:r w:rsidRPr="00727BBB">
        <w:rPr>
          <w:rFonts w:ascii="Calibri" w:hAnsi="Calibri" w:cs="Calibri"/>
        </w:rPr>
        <w:fldChar w:fldCharType="begin"/>
      </w:r>
      <w:r w:rsidRPr="00727BBB">
        <w:rPr>
          <w:rFonts w:ascii="Calibri" w:hAnsi="Calibri" w:cs="Calibri"/>
        </w:rPr>
        <w:instrText xml:space="preserve"> TOC \h \z \c "Figure" </w:instrText>
      </w:r>
      <w:r w:rsidRPr="00727BBB">
        <w:rPr>
          <w:rFonts w:ascii="Calibri" w:hAnsi="Calibri" w:cs="Calibri"/>
        </w:rPr>
        <w:fldChar w:fldCharType="separate"/>
      </w:r>
      <w:hyperlink w:anchor="_Toc120789419" w:history="1">
        <w:r w:rsidR="00727BBB" w:rsidRPr="00D569D4">
          <w:rPr>
            <w:rStyle w:val="Hyperlink"/>
            <w:rFonts w:ascii="Calibri" w:hAnsi="Calibri" w:cs="Calibri"/>
            <w:b/>
            <w:bCs/>
            <w:noProof/>
          </w:rPr>
          <w:t>Figure 1</w:t>
        </w:r>
        <w:r w:rsidR="00727BBB" w:rsidRPr="00D569D4">
          <w:rPr>
            <w:rStyle w:val="Hyperlink"/>
            <w:rFonts w:ascii="Calibri" w:hAnsi="Calibri" w:cs="Calibri"/>
            <w:noProof/>
          </w:rPr>
          <w:t xml:space="preserve"> </w:t>
        </w:r>
        <w:r w:rsidR="00727BBB" w:rsidRPr="00D569D4">
          <w:rPr>
            <w:rStyle w:val="Hyperlink"/>
            <w:rFonts w:ascii="Calibri" w:hAnsi="Calibri" w:cs="Calibri"/>
            <w:b/>
            <w:bCs/>
            <w:noProof/>
          </w:rPr>
          <w:t xml:space="preserve">Cellular immunity. </w:t>
        </w:r>
        <w:r w:rsidR="00727BBB" w:rsidRPr="00D569D4">
          <w:rPr>
            <w:rStyle w:val="Hyperlink"/>
            <w:rFonts w:ascii="Calibri" w:hAnsi="Calibri" w:cs="Calibri"/>
            <w:noProof/>
          </w:rPr>
          <w:t>Cellular immunity involves direct destruction of tumor or infected cell by cytotoxic T cells and natural killer cells. This figure is prepared using BioRender.</w:t>
        </w:r>
        <w:r w:rsidR="00727BBB">
          <w:rPr>
            <w:noProof/>
            <w:webHidden/>
          </w:rPr>
          <w:tab/>
        </w:r>
        <w:r w:rsidR="00727BBB">
          <w:rPr>
            <w:noProof/>
            <w:webHidden/>
          </w:rPr>
          <w:fldChar w:fldCharType="begin"/>
        </w:r>
        <w:r w:rsidR="00727BBB">
          <w:rPr>
            <w:noProof/>
            <w:webHidden/>
          </w:rPr>
          <w:instrText xml:space="preserve"> PAGEREF _Toc120789419 \h </w:instrText>
        </w:r>
        <w:r w:rsidR="00727BBB">
          <w:rPr>
            <w:noProof/>
            <w:webHidden/>
          </w:rPr>
        </w:r>
        <w:r w:rsidR="00727BBB">
          <w:rPr>
            <w:noProof/>
            <w:webHidden/>
          </w:rPr>
          <w:fldChar w:fldCharType="separate"/>
        </w:r>
        <w:r w:rsidR="00727BBB">
          <w:rPr>
            <w:noProof/>
            <w:webHidden/>
          </w:rPr>
          <w:t>3</w:t>
        </w:r>
        <w:r w:rsidR="00727BBB">
          <w:rPr>
            <w:noProof/>
            <w:webHidden/>
          </w:rPr>
          <w:fldChar w:fldCharType="end"/>
        </w:r>
      </w:hyperlink>
    </w:p>
    <w:p w14:paraId="33E5E0B9" w14:textId="33A7B614" w:rsidR="00727BBB" w:rsidRDefault="00000000" w:rsidP="00727BBB">
      <w:pPr>
        <w:pStyle w:val="TableofFigures"/>
        <w:tabs>
          <w:tab w:val="right" w:leader="dot" w:pos="9350"/>
        </w:tabs>
        <w:spacing w:line="480" w:lineRule="auto"/>
        <w:jc w:val="both"/>
        <w:rPr>
          <w:rFonts w:eastAsiaTheme="minorEastAsia"/>
          <w:noProof/>
        </w:rPr>
      </w:pPr>
      <w:hyperlink w:anchor="_Toc120789420" w:history="1">
        <w:r w:rsidR="00727BBB" w:rsidRPr="00D569D4">
          <w:rPr>
            <w:rStyle w:val="Hyperlink"/>
            <w:rFonts w:ascii="Calibri" w:hAnsi="Calibri" w:cs="Calibri"/>
            <w:b/>
            <w:bCs/>
            <w:noProof/>
          </w:rPr>
          <w:t>Figure 2 Functionality of antibodies.</w:t>
        </w:r>
        <w:r w:rsidR="00727BBB" w:rsidRPr="00D569D4">
          <w:rPr>
            <w:rStyle w:val="Hyperlink"/>
            <w:rFonts w:ascii="Calibri" w:hAnsi="Calibri" w:cs="Calibri"/>
            <w:noProof/>
          </w:rPr>
          <w:t xml:space="preserve"> Antibodies are responsible for the following functionalities: neutralization of microbes and toxins, opsonization and phagocytosis of microbes and antibody-dependent cellular cytotoxicity (ADCC). This figure is prepared using BioRender.</w:t>
        </w:r>
        <w:r w:rsidR="00727BBB">
          <w:rPr>
            <w:noProof/>
            <w:webHidden/>
          </w:rPr>
          <w:tab/>
        </w:r>
        <w:r w:rsidR="00727BBB">
          <w:rPr>
            <w:noProof/>
            <w:webHidden/>
          </w:rPr>
          <w:fldChar w:fldCharType="begin"/>
        </w:r>
        <w:r w:rsidR="00727BBB">
          <w:rPr>
            <w:noProof/>
            <w:webHidden/>
          </w:rPr>
          <w:instrText xml:space="preserve"> PAGEREF _Toc120789420 \h </w:instrText>
        </w:r>
        <w:r w:rsidR="00727BBB">
          <w:rPr>
            <w:noProof/>
            <w:webHidden/>
          </w:rPr>
        </w:r>
        <w:r w:rsidR="00727BBB">
          <w:rPr>
            <w:noProof/>
            <w:webHidden/>
          </w:rPr>
          <w:fldChar w:fldCharType="separate"/>
        </w:r>
        <w:r w:rsidR="00727BBB">
          <w:rPr>
            <w:noProof/>
            <w:webHidden/>
          </w:rPr>
          <w:t>4</w:t>
        </w:r>
        <w:r w:rsidR="00727BBB">
          <w:rPr>
            <w:noProof/>
            <w:webHidden/>
          </w:rPr>
          <w:fldChar w:fldCharType="end"/>
        </w:r>
      </w:hyperlink>
    </w:p>
    <w:p w14:paraId="14EAE304" w14:textId="49C127B1" w:rsidR="00727BBB" w:rsidRDefault="00000000" w:rsidP="00727BBB">
      <w:pPr>
        <w:pStyle w:val="TableofFigures"/>
        <w:tabs>
          <w:tab w:val="right" w:leader="dot" w:pos="9350"/>
        </w:tabs>
        <w:spacing w:line="480" w:lineRule="auto"/>
        <w:jc w:val="both"/>
        <w:rPr>
          <w:rFonts w:eastAsiaTheme="minorEastAsia"/>
          <w:noProof/>
        </w:rPr>
      </w:pPr>
      <w:hyperlink w:anchor="_Toc120789421" w:history="1">
        <w:r w:rsidR="00727BBB" w:rsidRPr="00D569D4">
          <w:rPr>
            <w:rStyle w:val="Hyperlink"/>
            <w:rFonts w:ascii="Calibri" w:hAnsi="Calibri" w:cs="Calibri"/>
            <w:b/>
            <w:bCs/>
            <w:noProof/>
          </w:rPr>
          <w:t xml:space="preserve">Figure 3 DAMPs activate immune cells. </w:t>
        </w:r>
        <w:r w:rsidR="00727BBB" w:rsidRPr="00D569D4">
          <w:rPr>
            <w:rStyle w:val="Hyperlink"/>
            <w:rFonts w:ascii="Calibri" w:hAnsi="Calibri" w:cs="Calibri"/>
            <w:noProof/>
          </w:rPr>
          <w:t>This figure is prepared using BioRender.</w:t>
        </w:r>
        <w:r w:rsidR="00727BBB">
          <w:rPr>
            <w:noProof/>
            <w:webHidden/>
          </w:rPr>
          <w:tab/>
        </w:r>
        <w:r w:rsidR="00727BBB">
          <w:rPr>
            <w:noProof/>
            <w:webHidden/>
          </w:rPr>
          <w:fldChar w:fldCharType="begin"/>
        </w:r>
        <w:r w:rsidR="00727BBB">
          <w:rPr>
            <w:noProof/>
            <w:webHidden/>
          </w:rPr>
          <w:instrText xml:space="preserve"> PAGEREF _Toc120789421 \h </w:instrText>
        </w:r>
        <w:r w:rsidR="00727BBB">
          <w:rPr>
            <w:noProof/>
            <w:webHidden/>
          </w:rPr>
        </w:r>
        <w:r w:rsidR="00727BBB">
          <w:rPr>
            <w:noProof/>
            <w:webHidden/>
          </w:rPr>
          <w:fldChar w:fldCharType="separate"/>
        </w:r>
        <w:r w:rsidR="00727BBB">
          <w:rPr>
            <w:noProof/>
            <w:webHidden/>
          </w:rPr>
          <w:t>13</w:t>
        </w:r>
        <w:r w:rsidR="00727BBB">
          <w:rPr>
            <w:noProof/>
            <w:webHidden/>
          </w:rPr>
          <w:fldChar w:fldCharType="end"/>
        </w:r>
      </w:hyperlink>
    </w:p>
    <w:p w14:paraId="1213C0B6" w14:textId="2F10831A" w:rsidR="00727BBB" w:rsidRDefault="00000000" w:rsidP="00727BBB">
      <w:pPr>
        <w:pStyle w:val="TableofFigures"/>
        <w:tabs>
          <w:tab w:val="right" w:leader="dot" w:pos="9350"/>
        </w:tabs>
        <w:spacing w:line="480" w:lineRule="auto"/>
        <w:jc w:val="both"/>
        <w:rPr>
          <w:rFonts w:eastAsiaTheme="minorEastAsia"/>
          <w:noProof/>
        </w:rPr>
      </w:pPr>
      <w:hyperlink w:anchor="_Toc120789422" w:history="1">
        <w:r w:rsidR="00727BBB" w:rsidRPr="00D569D4">
          <w:rPr>
            <w:rStyle w:val="Hyperlink"/>
            <w:rFonts w:ascii="Calibri" w:hAnsi="Calibri" w:cs="Calibri"/>
            <w:b/>
            <w:bCs/>
            <w:noProof/>
          </w:rPr>
          <w:t>Figure 4 Cell membrane damage leads to the release of DAMPs.</w:t>
        </w:r>
        <w:r w:rsidR="00727BBB" w:rsidRPr="00D569D4">
          <w:rPr>
            <w:rStyle w:val="Hyperlink"/>
            <w:rFonts w:ascii="Calibri" w:hAnsi="Calibri" w:cs="Calibri"/>
            <w:noProof/>
          </w:rPr>
          <w:t xml:space="preserve"> These local DAMPs activate antigen-presenting cells for the uptake, processing, and presentation of antigens.</w:t>
        </w:r>
        <w:r w:rsidR="00727BBB">
          <w:rPr>
            <w:noProof/>
            <w:webHidden/>
          </w:rPr>
          <w:tab/>
        </w:r>
        <w:r w:rsidR="00727BBB">
          <w:rPr>
            <w:noProof/>
            <w:webHidden/>
          </w:rPr>
          <w:fldChar w:fldCharType="begin"/>
        </w:r>
        <w:r w:rsidR="00727BBB">
          <w:rPr>
            <w:noProof/>
            <w:webHidden/>
          </w:rPr>
          <w:instrText xml:space="preserve"> PAGEREF _Toc120789422 \h </w:instrText>
        </w:r>
        <w:r w:rsidR="00727BBB">
          <w:rPr>
            <w:noProof/>
            <w:webHidden/>
          </w:rPr>
        </w:r>
        <w:r w:rsidR="00727BBB">
          <w:rPr>
            <w:noProof/>
            <w:webHidden/>
          </w:rPr>
          <w:fldChar w:fldCharType="separate"/>
        </w:r>
        <w:r w:rsidR="00727BBB">
          <w:rPr>
            <w:noProof/>
            <w:webHidden/>
          </w:rPr>
          <w:t>30</w:t>
        </w:r>
        <w:r w:rsidR="00727BBB">
          <w:rPr>
            <w:noProof/>
            <w:webHidden/>
          </w:rPr>
          <w:fldChar w:fldCharType="end"/>
        </w:r>
      </w:hyperlink>
    </w:p>
    <w:p w14:paraId="1AD4B8B2" w14:textId="6A8C52FA" w:rsidR="00727BBB" w:rsidRDefault="00000000" w:rsidP="00727BBB">
      <w:pPr>
        <w:pStyle w:val="TableofFigures"/>
        <w:tabs>
          <w:tab w:val="right" w:leader="dot" w:pos="9350"/>
        </w:tabs>
        <w:spacing w:line="480" w:lineRule="auto"/>
        <w:jc w:val="both"/>
        <w:rPr>
          <w:rFonts w:eastAsiaTheme="minorEastAsia"/>
          <w:noProof/>
        </w:rPr>
      </w:pPr>
      <w:hyperlink w:anchor="_Toc120789423" w:history="1">
        <w:r w:rsidR="00727BBB" w:rsidRPr="00D569D4">
          <w:rPr>
            <w:rStyle w:val="Hyperlink"/>
            <w:rFonts w:ascii="Calibri" w:hAnsi="Calibri" w:cs="Calibri"/>
            <w:b/>
            <w:bCs/>
            <w:noProof/>
          </w:rPr>
          <w:t xml:space="preserve">Figure 5 Peptide groups and aggregation kinetics. </w:t>
        </w:r>
        <w:r w:rsidR="00727BBB" w:rsidRPr="00D569D4">
          <w:rPr>
            <w:rStyle w:val="Hyperlink"/>
            <w:rFonts w:ascii="Calibri" w:hAnsi="Calibri" w:cs="Calibri"/>
            <w:noProof/>
          </w:rPr>
          <w:t>(A) CoOP groups and individual counterparts were used in this study. (B) CAC of co-assembled peptides with DPH. (C) Macroscopic CoOP aggregates incubated with Congo Red. (D) Determination of aggregation kinetics of CoOPs and (E) individual counterparts by ThT assay. Data are representative of three experiments.</w:t>
        </w:r>
        <w:r w:rsidR="00727BBB">
          <w:rPr>
            <w:noProof/>
            <w:webHidden/>
          </w:rPr>
          <w:tab/>
        </w:r>
        <w:r w:rsidR="00727BBB">
          <w:rPr>
            <w:noProof/>
            <w:webHidden/>
          </w:rPr>
          <w:fldChar w:fldCharType="begin"/>
        </w:r>
        <w:r w:rsidR="00727BBB">
          <w:rPr>
            <w:noProof/>
            <w:webHidden/>
          </w:rPr>
          <w:instrText xml:space="preserve"> PAGEREF _Toc120789423 \h </w:instrText>
        </w:r>
        <w:r w:rsidR="00727BBB">
          <w:rPr>
            <w:noProof/>
            <w:webHidden/>
          </w:rPr>
        </w:r>
        <w:r w:rsidR="00727BBB">
          <w:rPr>
            <w:noProof/>
            <w:webHidden/>
          </w:rPr>
          <w:fldChar w:fldCharType="separate"/>
        </w:r>
        <w:r w:rsidR="00727BBB">
          <w:rPr>
            <w:noProof/>
            <w:webHidden/>
          </w:rPr>
          <w:t>32</w:t>
        </w:r>
        <w:r w:rsidR="00727BBB">
          <w:rPr>
            <w:noProof/>
            <w:webHidden/>
          </w:rPr>
          <w:fldChar w:fldCharType="end"/>
        </w:r>
      </w:hyperlink>
    </w:p>
    <w:p w14:paraId="6DBE4F71" w14:textId="26B42486" w:rsidR="00727BBB" w:rsidRDefault="00000000" w:rsidP="00727BBB">
      <w:pPr>
        <w:pStyle w:val="TableofFigures"/>
        <w:tabs>
          <w:tab w:val="right" w:leader="dot" w:pos="9350"/>
        </w:tabs>
        <w:spacing w:line="480" w:lineRule="auto"/>
        <w:jc w:val="both"/>
        <w:rPr>
          <w:rFonts w:eastAsiaTheme="minorEastAsia"/>
          <w:noProof/>
        </w:rPr>
      </w:pPr>
      <w:hyperlink w:anchor="_Toc120789424" w:history="1">
        <w:r w:rsidR="00727BBB" w:rsidRPr="00D569D4">
          <w:rPr>
            <w:rStyle w:val="Hyperlink"/>
            <w:rFonts w:ascii="Calibri" w:hAnsi="Calibri" w:cs="Calibri"/>
            <w:b/>
            <w:bCs/>
            <w:noProof/>
          </w:rPr>
          <w:t>Figure 6</w:t>
        </w:r>
        <w:r w:rsidR="00727BBB" w:rsidRPr="00D569D4">
          <w:rPr>
            <w:rStyle w:val="Hyperlink"/>
            <w:rFonts w:ascii="Calibri" w:hAnsi="Calibri" w:cs="Calibri"/>
            <w:noProof/>
          </w:rPr>
          <w:t xml:space="preserve"> TEM images of [VV], [WW], [LL] and [II] peptides. Scale bar: 500 nm.</w:t>
        </w:r>
        <w:r w:rsidR="00727BBB">
          <w:rPr>
            <w:noProof/>
            <w:webHidden/>
          </w:rPr>
          <w:tab/>
        </w:r>
        <w:r w:rsidR="00727BBB">
          <w:rPr>
            <w:noProof/>
            <w:webHidden/>
          </w:rPr>
          <w:fldChar w:fldCharType="begin"/>
        </w:r>
        <w:r w:rsidR="00727BBB">
          <w:rPr>
            <w:noProof/>
            <w:webHidden/>
          </w:rPr>
          <w:instrText xml:space="preserve"> PAGEREF _Toc120789424 \h </w:instrText>
        </w:r>
        <w:r w:rsidR="00727BBB">
          <w:rPr>
            <w:noProof/>
            <w:webHidden/>
          </w:rPr>
        </w:r>
        <w:r w:rsidR="00727BBB">
          <w:rPr>
            <w:noProof/>
            <w:webHidden/>
          </w:rPr>
          <w:fldChar w:fldCharType="separate"/>
        </w:r>
        <w:r w:rsidR="00727BBB">
          <w:rPr>
            <w:noProof/>
            <w:webHidden/>
          </w:rPr>
          <w:t>34</w:t>
        </w:r>
        <w:r w:rsidR="00727BBB">
          <w:rPr>
            <w:noProof/>
            <w:webHidden/>
          </w:rPr>
          <w:fldChar w:fldCharType="end"/>
        </w:r>
      </w:hyperlink>
    </w:p>
    <w:p w14:paraId="38FA8688" w14:textId="5C8326ED" w:rsidR="00727BBB" w:rsidRDefault="00000000" w:rsidP="00727BBB">
      <w:pPr>
        <w:pStyle w:val="TableofFigures"/>
        <w:tabs>
          <w:tab w:val="right" w:leader="dot" w:pos="9350"/>
        </w:tabs>
        <w:spacing w:line="480" w:lineRule="auto"/>
        <w:jc w:val="both"/>
        <w:rPr>
          <w:rFonts w:eastAsiaTheme="minorEastAsia"/>
          <w:noProof/>
        </w:rPr>
      </w:pPr>
      <w:hyperlink w:anchor="_Toc120789425" w:history="1">
        <w:r w:rsidR="00727BBB" w:rsidRPr="00D569D4">
          <w:rPr>
            <w:rStyle w:val="Hyperlink"/>
            <w:rFonts w:ascii="Calibri" w:hAnsi="Calibri" w:cs="Calibri"/>
            <w:b/>
            <w:bCs/>
            <w:noProof/>
          </w:rPr>
          <w:t>Figure 7 Cytotoxicity of peptides to OVCAR-8 cells.</w:t>
        </w:r>
        <w:r w:rsidR="00727BBB" w:rsidRPr="00D569D4">
          <w:rPr>
            <w:rStyle w:val="Hyperlink"/>
            <w:rFonts w:ascii="Calibri" w:hAnsi="Calibri" w:cs="Calibri"/>
            <w:noProof/>
          </w:rPr>
          <w:t xml:space="preserve"> Negative peptides were added to the cells, followed by corresponding positive peptides. (A) Live-dead images of OVCAR-8 cells treated with peptide combinations and corresponding individual counterparts at 6h (peptide concentration is 0.5 mM) (B) Zeta potential of individual and combined peptides. (C) Illustration of peptide preparation for [WW] and [II]. The effect of peptide preparation on cell viability for [WW] (D) and [II] (E). The scale bar is 200 </w:t>
        </w:r>
        <w:r w:rsidR="00727BBB" w:rsidRPr="00D569D4">
          <w:rPr>
            <w:rStyle w:val="Hyperlink"/>
            <w:rFonts w:ascii="Symbol" w:hAnsi="Symbol" w:cs="Calibri"/>
            <w:noProof/>
          </w:rPr>
          <w:t></w:t>
        </w:r>
        <w:r w:rsidR="00727BBB" w:rsidRPr="00D569D4">
          <w:rPr>
            <w:rStyle w:val="Hyperlink"/>
            <w:rFonts w:ascii="Calibri" w:hAnsi="Calibri" w:cs="Calibri"/>
            <w:noProof/>
          </w:rPr>
          <w:t>m. Data are representative of at least three experiments. Statistical analysis via one-way ANOVA test, data are mean ± SD, ****p&lt;0.0001.</w:t>
        </w:r>
        <w:r w:rsidR="00727BBB">
          <w:rPr>
            <w:noProof/>
            <w:webHidden/>
          </w:rPr>
          <w:tab/>
        </w:r>
        <w:r w:rsidR="00727BBB">
          <w:rPr>
            <w:noProof/>
            <w:webHidden/>
          </w:rPr>
          <w:fldChar w:fldCharType="begin"/>
        </w:r>
        <w:r w:rsidR="00727BBB">
          <w:rPr>
            <w:noProof/>
            <w:webHidden/>
          </w:rPr>
          <w:instrText xml:space="preserve"> PAGEREF _Toc120789425 \h </w:instrText>
        </w:r>
        <w:r w:rsidR="00727BBB">
          <w:rPr>
            <w:noProof/>
            <w:webHidden/>
          </w:rPr>
        </w:r>
        <w:r w:rsidR="00727BBB">
          <w:rPr>
            <w:noProof/>
            <w:webHidden/>
          </w:rPr>
          <w:fldChar w:fldCharType="separate"/>
        </w:r>
        <w:r w:rsidR="00727BBB">
          <w:rPr>
            <w:noProof/>
            <w:webHidden/>
          </w:rPr>
          <w:t>36</w:t>
        </w:r>
        <w:r w:rsidR="00727BBB">
          <w:rPr>
            <w:noProof/>
            <w:webHidden/>
          </w:rPr>
          <w:fldChar w:fldCharType="end"/>
        </w:r>
      </w:hyperlink>
    </w:p>
    <w:p w14:paraId="7E07D935" w14:textId="286E687A" w:rsidR="00727BBB" w:rsidRDefault="00000000" w:rsidP="00727BBB">
      <w:pPr>
        <w:pStyle w:val="TableofFigures"/>
        <w:tabs>
          <w:tab w:val="right" w:leader="dot" w:pos="9350"/>
        </w:tabs>
        <w:spacing w:line="480" w:lineRule="auto"/>
        <w:jc w:val="both"/>
        <w:rPr>
          <w:rFonts w:eastAsiaTheme="minorEastAsia"/>
          <w:noProof/>
        </w:rPr>
      </w:pPr>
      <w:hyperlink w:anchor="_Toc120789426" w:history="1">
        <w:r w:rsidR="00727BBB" w:rsidRPr="00D569D4">
          <w:rPr>
            <w:rStyle w:val="Hyperlink"/>
            <w:rFonts w:ascii="Calibri" w:hAnsi="Calibri" w:cs="Calibri"/>
            <w:b/>
            <w:bCs/>
            <w:noProof/>
          </w:rPr>
          <w:t>Figure 8 [II] induces membrane rupture.</w:t>
        </w:r>
        <w:r w:rsidR="00727BBB" w:rsidRPr="00D569D4">
          <w:rPr>
            <w:rStyle w:val="Hyperlink"/>
            <w:rFonts w:ascii="Calibri" w:hAnsi="Calibri" w:cs="Calibri"/>
            <w:noProof/>
          </w:rPr>
          <w:t xml:space="preserve"> (A) Time and concentration-dependent cell membrane damage of [II] were analyzed through PI uptake (scale bar is 100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(B) Time-dependent viability measurement and (C) time-dependent nuclear size analysis. (D) Actin cytoskeleton staining of [II] treated OVCAR-8 cells at 1,3 and 6h, scale bar is 20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(E) Internalization of FITC-KFFIIK and (F) FITC-[II] for 1, 3 and 6h, scale bar is 100 </w:t>
        </w:r>
        <w:r w:rsidR="00727BBB" w:rsidRPr="00D569D4">
          <w:rPr>
            <w:rStyle w:val="Hyperlink"/>
            <w:rFonts w:ascii="Symbol" w:hAnsi="Symbol" w:cs="Calibri"/>
            <w:noProof/>
          </w:rPr>
          <w:t></w:t>
        </w:r>
        <w:r w:rsidR="00727BBB" w:rsidRPr="00D569D4">
          <w:rPr>
            <w:rStyle w:val="Hyperlink"/>
            <w:rFonts w:ascii="Calibri" w:hAnsi="Calibri" w:cs="Calibri"/>
            <w:noProof/>
          </w:rPr>
          <w:t>m. (G) Experimental plan of [II] transfer and viability experiment. (H) Effect of [II] transfer on cell viability at 6h. Data are representative of at least three experiments. Statistical analysis was done with one-way ANOVA test. Data are mean ± SD, ****p&lt;0.0001.</w:t>
        </w:r>
        <w:r w:rsidR="00727BBB">
          <w:rPr>
            <w:noProof/>
            <w:webHidden/>
          </w:rPr>
          <w:tab/>
        </w:r>
        <w:r w:rsidR="00727BBB">
          <w:rPr>
            <w:noProof/>
            <w:webHidden/>
          </w:rPr>
          <w:fldChar w:fldCharType="begin"/>
        </w:r>
        <w:r w:rsidR="00727BBB">
          <w:rPr>
            <w:noProof/>
            <w:webHidden/>
          </w:rPr>
          <w:instrText xml:space="preserve"> PAGEREF _Toc120789426 \h </w:instrText>
        </w:r>
        <w:r w:rsidR="00727BBB">
          <w:rPr>
            <w:noProof/>
            <w:webHidden/>
          </w:rPr>
        </w:r>
        <w:r w:rsidR="00727BBB">
          <w:rPr>
            <w:noProof/>
            <w:webHidden/>
          </w:rPr>
          <w:fldChar w:fldCharType="separate"/>
        </w:r>
        <w:r w:rsidR="00727BBB">
          <w:rPr>
            <w:noProof/>
            <w:webHidden/>
          </w:rPr>
          <w:t>41</w:t>
        </w:r>
        <w:r w:rsidR="00727BBB">
          <w:rPr>
            <w:noProof/>
            <w:webHidden/>
          </w:rPr>
          <w:fldChar w:fldCharType="end"/>
        </w:r>
      </w:hyperlink>
    </w:p>
    <w:p w14:paraId="0E24C33D" w14:textId="424945B0" w:rsidR="00727BBB" w:rsidRDefault="00000000" w:rsidP="00727BBB">
      <w:pPr>
        <w:pStyle w:val="TableofFigures"/>
        <w:tabs>
          <w:tab w:val="right" w:leader="dot" w:pos="9350"/>
        </w:tabs>
        <w:spacing w:line="480" w:lineRule="auto"/>
        <w:jc w:val="both"/>
        <w:rPr>
          <w:rFonts w:eastAsiaTheme="minorEastAsia"/>
          <w:noProof/>
        </w:rPr>
      </w:pPr>
      <w:hyperlink w:anchor="_Toc120789427" w:history="1">
        <w:r w:rsidR="00727BBB" w:rsidRPr="00D569D4">
          <w:rPr>
            <w:rStyle w:val="Hyperlink"/>
            <w:rFonts w:ascii="Calibri" w:hAnsi="Calibri" w:cs="Calibri"/>
            <w:b/>
            <w:bCs/>
            <w:noProof/>
          </w:rPr>
          <w:t>Figure 9 Propidium iodide (PI) uptake analysis by using flow cytometry.</w:t>
        </w:r>
        <w:r w:rsidR="00727BBB" w:rsidRPr="00D569D4">
          <w:rPr>
            <w:rStyle w:val="Hyperlink"/>
            <w:rFonts w:ascii="Calibri" w:hAnsi="Calibri" w:cs="Calibri"/>
            <w:noProof/>
          </w:rPr>
          <w:t xml:space="preserve"> Representative histograms of untreated cells and cells treated with 0.25-0.5 and 1 mM [II] peptide for 6h (A). Percent (PI) positive cells at 6h.</w:t>
        </w:r>
        <w:r w:rsidR="00727BBB">
          <w:rPr>
            <w:noProof/>
            <w:webHidden/>
          </w:rPr>
          <w:tab/>
        </w:r>
        <w:r w:rsidR="00727BBB">
          <w:rPr>
            <w:noProof/>
            <w:webHidden/>
          </w:rPr>
          <w:fldChar w:fldCharType="begin"/>
        </w:r>
        <w:r w:rsidR="00727BBB">
          <w:rPr>
            <w:noProof/>
            <w:webHidden/>
          </w:rPr>
          <w:instrText xml:space="preserve"> PAGEREF _Toc120789427 \h </w:instrText>
        </w:r>
        <w:r w:rsidR="00727BBB">
          <w:rPr>
            <w:noProof/>
            <w:webHidden/>
          </w:rPr>
        </w:r>
        <w:r w:rsidR="00727BBB">
          <w:rPr>
            <w:noProof/>
            <w:webHidden/>
          </w:rPr>
          <w:fldChar w:fldCharType="separate"/>
        </w:r>
        <w:r w:rsidR="00727BBB">
          <w:rPr>
            <w:noProof/>
            <w:webHidden/>
          </w:rPr>
          <w:t>42</w:t>
        </w:r>
        <w:r w:rsidR="00727BBB">
          <w:rPr>
            <w:noProof/>
            <w:webHidden/>
          </w:rPr>
          <w:fldChar w:fldCharType="end"/>
        </w:r>
      </w:hyperlink>
    </w:p>
    <w:p w14:paraId="3362ADBD" w14:textId="318A4316" w:rsidR="00727BBB" w:rsidRDefault="00000000" w:rsidP="00727BBB">
      <w:pPr>
        <w:pStyle w:val="TableofFigures"/>
        <w:tabs>
          <w:tab w:val="right" w:leader="dot" w:pos="9350"/>
        </w:tabs>
        <w:spacing w:line="480" w:lineRule="auto"/>
        <w:jc w:val="both"/>
        <w:rPr>
          <w:rFonts w:eastAsiaTheme="minorEastAsia"/>
          <w:noProof/>
        </w:rPr>
      </w:pPr>
      <w:hyperlink w:anchor="_Toc120789428" w:history="1">
        <w:r w:rsidR="00727BBB" w:rsidRPr="00D569D4">
          <w:rPr>
            <w:rStyle w:val="Hyperlink"/>
            <w:rFonts w:ascii="Calibri" w:hAnsi="Calibri" w:cs="Calibri"/>
            <w:b/>
            <w:bCs/>
            <w:noProof/>
          </w:rPr>
          <w:t xml:space="preserve">Figure 10 </w:t>
        </w:r>
        <w:r w:rsidR="00727BBB" w:rsidRPr="00D569D4">
          <w:rPr>
            <w:rStyle w:val="Hyperlink"/>
            <w:rFonts w:ascii="Calibri" w:eastAsia="Times New Roman" w:hAnsi="Calibri" w:cs="Calibri"/>
            <w:noProof/>
          </w:rPr>
          <w:t xml:space="preserve">6h and 24h cell viability measurements of OVCAR-8 cells treated with 0.1, 0.2, 0.3, 0.4 and 0.5 mM [II] peptide. Statistical analysis was done by one-way analysis of variance (ANOVA) with Tukey’s multiple-comparison test. Data shown are mean </w:t>
        </w:r>
        <m:oMath>
          <m:r>
            <m:rPr>
              <m:sty m:val="p"/>
            </m:rPr>
            <w:rPr>
              <w:rStyle w:val="Hyperlink"/>
              <w:rFonts w:ascii="Cambria Math" w:hAnsi="Cambria Math" w:cs="Calibri"/>
              <w:noProof/>
            </w:rPr>
            <m:t>±</m:t>
          </m:r>
        </m:oMath>
        <w:r w:rsidR="00727BBB" w:rsidRPr="00D569D4">
          <w:rPr>
            <w:rStyle w:val="Hyperlink"/>
            <w:rFonts w:ascii="Calibri" w:hAnsi="Calibri" w:cs="Calibri"/>
            <w:noProof/>
          </w:rPr>
          <w:t xml:space="preserve"> SD, ****p&lt;0.0001. n=3 replicates.</w:t>
        </w:r>
        <w:r w:rsidR="00727BBB">
          <w:rPr>
            <w:noProof/>
            <w:webHidden/>
          </w:rPr>
          <w:tab/>
        </w:r>
        <w:r w:rsidR="00727BBB">
          <w:rPr>
            <w:noProof/>
            <w:webHidden/>
          </w:rPr>
          <w:fldChar w:fldCharType="begin"/>
        </w:r>
        <w:r w:rsidR="00727BBB">
          <w:rPr>
            <w:noProof/>
            <w:webHidden/>
          </w:rPr>
          <w:instrText xml:space="preserve"> PAGEREF _Toc120789428 \h </w:instrText>
        </w:r>
        <w:r w:rsidR="00727BBB">
          <w:rPr>
            <w:noProof/>
            <w:webHidden/>
          </w:rPr>
        </w:r>
        <w:r w:rsidR="00727BBB">
          <w:rPr>
            <w:noProof/>
            <w:webHidden/>
          </w:rPr>
          <w:fldChar w:fldCharType="separate"/>
        </w:r>
        <w:r w:rsidR="00727BBB">
          <w:rPr>
            <w:noProof/>
            <w:webHidden/>
          </w:rPr>
          <w:t>43</w:t>
        </w:r>
        <w:r w:rsidR="00727BBB">
          <w:rPr>
            <w:noProof/>
            <w:webHidden/>
          </w:rPr>
          <w:fldChar w:fldCharType="end"/>
        </w:r>
      </w:hyperlink>
    </w:p>
    <w:p w14:paraId="6BAFF670" w14:textId="44D2E4E8" w:rsidR="00727BBB" w:rsidRDefault="00000000" w:rsidP="00727BBB">
      <w:pPr>
        <w:pStyle w:val="TableofFigures"/>
        <w:tabs>
          <w:tab w:val="right" w:leader="dot" w:pos="9350"/>
        </w:tabs>
        <w:spacing w:line="480" w:lineRule="auto"/>
        <w:jc w:val="both"/>
        <w:rPr>
          <w:rFonts w:eastAsiaTheme="minorEastAsia"/>
          <w:noProof/>
        </w:rPr>
      </w:pPr>
      <w:hyperlink w:anchor="_Toc120789429" w:history="1">
        <w:r w:rsidR="00727BBB" w:rsidRPr="00D569D4">
          <w:rPr>
            <w:rStyle w:val="Hyperlink"/>
            <w:rFonts w:ascii="Calibri" w:hAnsi="Calibri" w:cs="Calibri"/>
            <w:b/>
            <w:bCs/>
            <w:noProof/>
          </w:rPr>
          <w:t>Figure 11 [II] induces DAMP release and secondary pyroptosis.</w:t>
        </w:r>
        <w:r w:rsidR="00727BBB" w:rsidRPr="00D569D4">
          <w:rPr>
            <w:rStyle w:val="Hyperlink"/>
            <w:rFonts w:ascii="Calibri" w:hAnsi="Calibri" w:cs="Calibri"/>
            <w:noProof/>
          </w:rPr>
          <w:t xml:space="preserve"> (A) Time-dependent LDH release. (B) Time-dependent extracellular ATP release. (C) Western blot analysis of HMGB-1 and HSP90 release at 6h. (D) Caspase-3 cleavage after treatment with Cisplatin, F/T, heat treatment and 1-2-3 and 6h of [II] treatment. (E) Phase-contrast images of control and [II] treated OVCAR-8 cells at 6h, yellow arrows indicate bubbles emerging from pyroptotic cells. (F) Caspase-3 and GSDME cleavage of OVCAR-8 cells with and without treatment with [II]. (G) Time-dependent cytochrome c release into the cytoplasm from OVCAR-8 cells. The scale bar is 100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(H) Schematic </w:t>
        </w:r>
        <w:r w:rsidR="00727BBB" w:rsidRPr="00D569D4">
          <w:rPr>
            <w:rStyle w:val="Hyperlink"/>
            <w:rFonts w:ascii="Calibri" w:hAnsi="Calibri" w:cs="Calibri"/>
            <w:noProof/>
          </w:rPr>
          <w:lastRenderedPageBreak/>
          <w:t>illustration of the phagocytosis assay. (I) Phagocytosis of OVCAR-8 cells by THP-1 differentiated macrophages after 6h of [II] and control treatment. Data are representative of at least three experiments. Statistical analysis via one-way ANOVA test, data are mean ± SD, ****p&lt;0.0001.</w:t>
        </w:r>
        <w:r w:rsidR="00727BBB">
          <w:rPr>
            <w:noProof/>
            <w:webHidden/>
          </w:rPr>
          <w:tab/>
        </w:r>
        <w:r w:rsidR="00727BBB">
          <w:rPr>
            <w:noProof/>
            <w:webHidden/>
          </w:rPr>
          <w:fldChar w:fldCharType="begin"/>
        </w:r>
        <w:r w:rsidR="00727BBB">
          <w:rPr>
            <w:noProof/>
            <w:webHidden/>
          </w:rPr>
          <w:instrText xml:space="preserve"> PAGEREF _Toc120789429 \h </w:instrText>
        </w:r>
        <w:r w:rsidR="00727BBB">
          <w:rPr>
            <w:noProof/>
            <w:webHidden/>
          </w:rPr>
        </w:r>
        <w:r w:rsidR="00727BBB">
          <w:rPr>
            <w:noProof/>
            <w:webHidden/>
          </w:rPr>
          <w:fldChar w:fldCharType="separate"/>
        </w:r>
        <w:r w:rsidR="00727BBB">
          <w:rPr>
            <w:noProof/>
            <w:webHidden/>
          </w:rPr>
          <w:t>46</w:t>
        </w:r>
        <w:r w:rsidR="00727BBB">
          <w:rPr>
            <w:noProof/>
            <w:webHidden/>
          </w:rPr>
          <w:fldChar w:fldCharType="end"/>
        </w:r>
      </w:hyperlink>
    </w:p>
    <w:p w14:paraId="588E0B2A" w14:textId="11A21828" w:rsidR="00727BBB" w:rsidRDefault="00000000" w:rsidP="00727BBB">
      <w:pPr>
        <w:pStyle w:val="TableofFigures"/>
        <w:tabs>
          <w:tab w:val="right" w:leader="dot" w:pos="9350"/>
        </w:tabs>
        <w:spacing w:line="480" w:lineRule="auto"/>
        <w:jc w:val="both"/>
        <w:rPr>
          <w:rFonts w:eastAsiaTheme="minorEastAsia"/>
          <w:noProof/>
        </w:rPr>
      </w:pPr>
      <w:hyperlink w:anchor="_Toc120789430" w:history="1">
        <w:r w:rsidR="00727BBB" w:rsidRPr="00D569D4">
          <w:rPr>
            <w:rStyle w:val="Hyperlink"/>
            <w:rFonts w:ascii="Calibri" w:hAnsi="Calibri" w:cs="Calibri"/>
            <w:b/>
            <w:bCs/>
            <w:noProof/>
          </w:rPr>
          <w:t>Figure 12 [II] induced membrane rupture and DAMP release is not cell type specific.</w:t>
        </w:r>
        <w:r w:rsidR="00727BBB" w:rsidRPr="00D569D4">
          <w:rPr>
            <w:rStyle w:val="Hyperlink"/>
            <w:rFonts w:ascii="Calibri" w:hAnsi="Calibri" w:cs="Calibri"/>
            <w:noProof/>
          </w:rPr>
          <w:t xml:space="preserve"> (A) GSDME analysis of OVCAR-8, B16F10, Panc02 and 3T3 cells. (B) PI uptake at 6h of [II] treatment on cells. (C) HMGB-1 and HSP90 release to the supernatant (SN) at 6h. (D) Time dependent viability measurement. (E) Time-dependent LDH release. (F) Phase-contrast images of [II] treated fibroblasts at 1, 3 and 6h. Data are representative of at least three experiments. Statistical analysis was done by one-way ANOVA test, data shown are mean ± SD, ****p&lt;0.0001, ***p&lt;0.001.</w:t>
        </w:r>
        <w:r w:rsidR="00727BBB">
          <w:rPr>
            <w:noProof/>
            <w:webHidden/>
          </w:rPr>
          <w:tab/>
        </w:r>
        <w:r w:rsidR="00727BBB">
          <w:rPr>
            <w:noProof/>
            <w:webHidden/>
          </w:rPr>
          <w:fldChar w:fldCharType="begin"/>
        </w:r>
        <w:r w:rsidR="00727BBB">
          <w:rPr>
            <w:noProof/>
            <w:webHidden/>
          </w:rPr>
          <w:instrText xml:space="preserve"> PAGEREF _Toc120789430 \h </w:instrText>
        </w:r>
        <w:r w:rsidR="00727BBB">
          <w:rPr>
            <w:noProof/>
            <w:webHidden/>
          </w:rPr>
        </w:r>
        <w:r w:rsidR="00727BBB">
          <w:rPr>
            <w:noProof/>
            <w:webHidden/>
          </w:rPr>
          <w:fldChar w:fldCharType="separate"/>
        </w:r>
        <w:r w:rsidR="00727BBB">
          <w:rPr>
            <w:noProof/>
            <w:webHidden/>
          </w:rPr>
          <w:t>49</w:t>
        </w:r>
        <w:r w:rsidR="00727BBB">
          <w:rPr>
            <w:noProof/>
            <w:webHidden/>
          </w:rPr>
          <w:fldChar w:fldCharType="end"/>
        </w:r>
      </w:hyperlink>
    </w:p>
    <w:p w14:paraId="5C4F3A6D" w14:textId="633A6B18" w:rsidR="00727BBB" w:rsidRDefault="00000000" w:rsidP="00727BBB">
      <w:pPr>
        <w:pStyle w:val="TableofFigures"/>
        <w:tabs>
          <w:tab w:val="right" w:leader="dot" w:pos="9350"/>
        </w:tabs>
        <w:spacing w:line="480" w:lineRule="auto"/>
        <w:jc w:val="both"/>
        <w:rPr>
          <w:rFonts w:eastAsiaTheme="minorEastAsia"/>
          <w:noProof/>
        </w:rPr>
      </w:pPr>
      <w:hyperlink w:anchor="_Toc120789431" w:history="1">
        <w:r w:rsidR="00727BBB" w:rsidRPr="00D569D4">
          <w:rPr>
            <w:rStyle w:val="Hyperlink"/>
            <w:rFonts w:ascii="Calibri" w:hAnsi="Calibri" w:cs="Calibri"/>
            <w:b/>
            <w:bCs/>
            <w:noProof/>
          </w:rPr>
          <w:t>Figure 13 PAIIR induces influenza-antigen specific antibody formation.</w:t>
        </w:r>
        <w:r w:rsidR="00727BBB" w:rsidRPr="00D569D4">
          <w:rPr>
            <w:rStyle w:val="Hyperlink"/>
            <w:rFonts w:ascii="Calibri" w:hAnsi="Calibri" w:cs="Calibri"/>
            <w:noProof/>
          </w:rPr>
          <w:t xml:space="preserve"> (A) Timeline and the plan of the vaccination study: BALB/c mice were vaccinated at D0 followed by a booster at D60, serum was collected at D14, 28 and 75. (B) Antigen-specific serum IgG1 titers at D14, 28 and 75. (C) Serum IgG2a titers at D14, 28 and 75. (D) Serum IgG1 and IgG2a titers against [II] peptide at D14, D28 and D75. Statistical analysis was done by one-way analysis of variance (ANOVA) with Tukey’s multiple-comparison test, data shown are mean ± SD ****p&lt;0.0001, **p&lt;0.01, *p&lt;0.1 n=6 mice.</w:t>
        </w:r>
        <w:r w:rsidR="00727BBB">
          <w:rPr>
            <w:noProof/>
            <w:webHidden/>
          </w:rPr>
          <w:tab/>
        </w:r>
        <w:r w:rsidR="00727BBB">
          <w:rPr>
            <w:noProof/>
            <w:webHidden/>
          </w:rPr>
          <w:fldChar w:fldCharType="begin"/>
        </w:r>
        <w:r w:rsidR="00727BBB">
          <w:rPr>
            <w:noProof/>
            <w:webHidden/>
          </w:rPr>
          <w:instrText xml:space="preserve"> PAGEREF _Toc120789431 \h </w:instrText>
        </w:r>
        <w:r w:rsidR="00727BBB">
          <w:rPr>
            <w:noProof/>
            <w:webHidden/>
          </w:rPr>
        </w:r>
        <w:r w:rsidR="00727BBB">
          <w:rPr>
            <w:noProof/>
            <w:webHidden/>
          </w:rPr>
          <w:fldChar w:fldCharType="separate"/>
        </w:r>
        <w:r w:rsidR="00727BBB">
          <w:rPr>
            <w:noProof/>
            <w:webHidden/>
          </w:rPr>
          <w:t>52</w:t>
        </w:r>
        <w:r w:rsidR="00727BBB">
          <w:rPr>
            <w:noProof/>
            <w:webHidden/>
          </w:rPr>
          <w:fldChar w:fldCharType="end"/>
        </w:r>
      </w:hyperlink>
    </w:p>
    <w:p w14:paraId="66813E36" w14:textId="4DEA4752" w:rsidR="00727BBB" w:rsidRDefault="00000000" w:rsidP="00727BBB">
      <w:pPr>
        <w:pStyle w:val="TableofFigures"/>
        <w:tabs>
          <w:tab w:val="right" w:leader="dot" w:pos="9350"/>
        </w:tabs>
        <w:spacing w:line="480" w:lineRule="auto"/>
        <w:jc w:val="both"/>
        <w:rPr>
          <w:rFonts w:eastAsiaTheme="minorEastAsia"/>
          <w:noProof/>
        </w:rPr>
      </w:pPr>
      <w:hyperlink w:anchor="_Toc120789432" w:history="1">
        <w:r w:rsidR="00727BBB" w:rsidRPr="00D569D4">
          <w:rPr>
            <w:rStyle w:val="Hyperlink"/>
            <w:rFonts w:ascii="Calibri" w:hAnsi="Calibri" w:cs="Calibri"/>
            <w:b/>
            <w:bCs/>
            <w:noProof/>
          </w:rPr>
          <w:t>Figure 14 Effect of [II] peptide injection on skin.</w:t>
        </w:r>
        <w:r w:rsidR="00727BBB" w:rsidRPr="00D569D4">
          <w:rPr>
            <w:rStyle w:val="Hyperlink"/>
            <w:rFonts w:ascii="Calibri" w:hAnsi="Calibri" w:cs="Calibri"/>
            <w:noProof/>
          </w:rPr>
          <w:t xml:space="preserve"> [II] peptide and PBS control were injected, and skin was monitored immediately after injection followed by 6 and 24h.</w:t>
        </w:r>
        <w:r w:rsidR="00727BBB">
          <w:rPr>
            <w:noProof/>
            <w:webHidden/>
          </w:rPr>
          <w:tab/>
        </w:r>
        <w:r w:rsidR="00727BBB">
          <w:rPr>
            <w:noProof/>
            <w:webHidden/>
          </w:rPr>
          <w:fldChar w:fldCharType="begin"/>
        </w:r>
        <w:r w:rsidR="00727BBB">
          <w:rPr>
            <w:noProof/>
            <w:webHidden/>
          </w:rPr>
          <w:instrText xml:space="preserve"> PAGEREF _Toc120789432 \h </w:instrText>
        </w:r>
        <w:r w:rsidR="00727BBB">
          <w:rPr>
            <w:noProof/>
            <w:webHidden/>
          </w:rPr>
        </w:r>
        <w:r w:rsidR="00727BBB">
          <w:rPr>
            <w:noProof/>
            <w:webHidden/>
          </w:rPr>
          <w:fldChar w:fldCharType="separate"/>
        </w:r>
        <w:r w:rsidR="00727BBB">
          <w:rPr>
            <w:noProof/>
            <w:webHidden/>
          </w:rPr>
          <w:t>53</w:t>
        </w:r>
        <w:r w:rsidR="00727BBB">
          <w:rPr>
            <w:noProof/>
            <w:webHidden/>
          </w:rPr>
          <w:fldChar w:fldCharType="end"/>
        </w:r>
      </w:hyperlink>
    </w:p>
    <w:p w14:paraId="073C9CED" w14:textId="44C3E805" w:rsidR="00727BBB" w:rsidRDefault="00000000" w:rsidP="00727BBB">
      <w:pPr>
        <w:pStyle w:val="TableofFigures"/>
        <w:tabs>
          <w:tab w:val="right" w:leader="dot" w:pos="9350"/>
        </w:tabs>
        <w:spacing w:line="480" w:lineRule="auto"/>
        <w:jc w:val="both"/>
        <w:rPr>
          <w:rFonts w:eastAsiaTheme="minorEastAsia"/>
          <w:noProof/>
        </w:rPr>
      </w:pPr>
      <w:hyperlink w:anchor="_Toc120789433" w:history="1">
        <w:r w:rsidR="00727BBB" w:rsidRPr="00D569D4">
          <w:rPr>
            <w:rStyle w:val="Hyperlink"/>
            <w:rFonts w:ascii="Calibri" w:hAnsi="Calibri" w:cs="Calibri"/>
            <w:b/>
            <w:bCs/>
            <w:noProof/>
          </w:rPr>
          <w:t xml:space="preserve">Figure 15 Aggregation kinetics depend on albumin concentration. </w:t>
        </w:r>
        <w:r w:rsidR="00727BBB" w:rsidRPr="00D569D4">
          <w:rPr>
            <w:rStyle w:val="Hyperlink"/>
            <w:rFonts w:ascii="Calibri" w:hAnsi="Calibri" w:cs="Calibri"/>
            <w:noProof/>
          </w:rPr>
          <w:t>AFM images of [II]-albumin structures (Scale bar = 100 nm).</w:t>
        </w:r>
        <w:r w:rsidR="00727BBB">
          <w:rPr>
            <w:noProof/>
            <w:webHidden/>
          </w:rPr>
          <w:tab/>
        </w:r>
        <w:r w:rsidR="00727BBB">
          <w:rPr>
            <w:noProof/>
            <w:webHidden/>
          </w:rPr>
          <w:fldChar w:fldCharType="begin"/>
        </w:r>
        <w:r w:rsidR="00727BBB">
          <w:rPr>
            <w:noProof/>
            <w:webHidden/>
          </w:rPr>
          <w:instrText xml:space="preserve"> PAGEREF _Toc120789433 \h </w:instrText>
        </w:r>
        <w:r w:rsidR="00727BBB">
          <w:rPr>
            <w:noProof/>
            <w:webHidden/>
          </w:rPr>
        </w:r>
        <w:r w:rsidR="00727BBB">
          <w:rPr>
            <w:noProof/>
            <w:webHidden/>
          </w:rPr>
          <w:fldChar w:fldCharType="separate"/>
        </w:r>
        <w:r w:rsidR="00727BBB">
          <w:rPr>
            <w:noProof/>
            <w:webHidden/>
          </w:rPr>
          <w:t>67</w:t>
        </w:r>
        <w:r w:rsidR="00727BBB">
          <w:rPr>
            <w:noProof/>
            <w:webHidden/>
          </w:rPr>
          <w:fldChar w:fldCharType="end"/>
        </w:r>
      </w:hyperlink>
    </w:p>
    <w:p w14:paraId="3B5CD483" w14:textId="098D34A6" w:rsidR="00727BBB" w:rsidRDefault="00000000" w:rsidP="00727BBB">
      <w:pPr>
        <w:pStyle w:val="TableofFigures"/>
        <w:tabs>
          <w:tab w:val="right" w:leader="dot" w:pos="9350"/>
        </w:tabs>
        <w:spacing w:line="480" w:lineRule="auto"/>
        <w:jc w:val="both"/>
        <w:rPr>
          <w:rFonts w:eastAsiaTheme="minorEastAsia"/>
          <w:noProof/>
        </w:rPr>
      </w:pPr>
      <w:hyperlink w:anchor="_Toc120789434" w:history="1">
        <w:r w:rsidR="00727BBB" w:rsidRPr="00D569D4">
          <w:rPr>
            <w:rStyle w:val="Hyperlink"/>
            <w:rFonts w:ascii="Calibri" w:hAnsi="Calibri" w:cs="Calibri"/>
            <w:b/>
            <w:bCs/>
            <w:noProof/>
          </w:rPr>
          <w:t>Figure 16 [II] aggregation on the cell membrane induces cell stress</w:t>
        </w:r>
        <w:r w:rsidR="00727BBB" w:rsidRPr="00D569D4">
          <w:rPr>
            <w:rStyle w:val="Hyperlink"/>
            <w:rFonts w:ascii="Calibri" w:hAnsi="Calibri" w:cs="Calibri"/>
            <w:noProof/>
          </w:rPr>
          <w:t xml:space="preserve"> (A) Immunocytochemistry of YAP localization (YAP = green, Actin = red, Nuclei = blue) (B) and phosphorylation based on aggregation (YAP-P = green). (C) Western blot analysis of YAP, YAP phosphorylation, eIF2α, and eIF2α phosphorylation in diﬀerent time points, β -actin was used as an internal loading control. (D) Immunocytochemistry of </w:t>
        </w:r>
        <w:r w:rsidR="00AD6EF4">
          <w:rPr>
            <w:rStyle w:val="Hyperlink"/>
            <w:rFonts w:ascii="Calibri" w:hAnsi="Calibri" w:cs="Calibri"/>
            <w:noProof/>
          </w:rPr>
          <w:t>CRT</w:t>
        </w:r>
        <w:r w:rsidR="00727BBB" w:rsidRPr="00D569D4">
          <w:rPr>
            <w:rStyle w:val="Hyperlink"/>
            <w:rFonts w:ascii="Calibri" w:hAnsi="Calibri" w:cs="Calibri"/>
            <w:noProof/>
          </w:rPr>
          <w:t xml:space="preserve"> cell surface localization (</w:t>
        </w:r>
        <w:r w:rsidR="00AD6EF4">
          <w:rPr>
            <w:rStyle w:val="Hyperlink"/>
            <w:rFonts w:ascii="Calibri" w:hAnsi="Calibri" w:cs="Calibri"/>
            <w:noProof/>
          </w:rPr>
          <w:t>CRT</w:t>
        </w:r>
        <w:r w:rsidR="00727BBB" w:rsidRPr="00D569D4">
          <w:rPr>
            <w:rStyle w:val="Hyperlink"/>
            <w:rFonts w:ascii="Calibri" w:hAnsi="Calibri" w:cs="Calibri"/>
            <w:noProof/>
          </w:rPr>
          <w:t xml:space="preserve"> = green, Actin = red, Nuclei = blue). (Scale bars = 20 µm)</w:t>
        </w:r>
        <w:r w:rsidR="00727BBB">
          <w:rPr>
            <w:noProof/>
            <w:webHidden/>
          </w:rPr>
          <w:tab/>
        </w:r>
        <w:r w:rsidR="00727BBB">
          <w:rPr>
            <w:noProof/>
            <w:webHidden/>
          </w:rPr>
          <w:fldChar w:fldCharType="begin"/>
        </w:r>
        <w:r w:rsidR="00727BBB">
          <w:rPr>
            <w:noProof/>
            <w:webHidden/>
          </w:rPr>
          <w:instrText xml:space="preserve"> PAGEREF _Toc120789434 \h </w:instrText>
        </w:r>
        <w:r w:rsidR="00727BBB">
          <w:rPr>
            <w:noProof/>
            <w:webHidden/>
          </w:rPr>
        </w:r>
        <w:r w:rsidR="00727BBB">
          <w:rPr>
            <w:noProof/>
            <w:webHidden/>
          </w:rPr>
          <w:fldChar w:fldCharType="separate"/>
        </w:r>
        <w:r w:rsidR="00727BBB">
          <w:rPr>
            <w:noProof/>
            <w:webHidden/>
          </w:rPr>
          <w:t>70</w:t>
        </w:r>
        <w:r w:rsidR="00727BBB">
          <w:rPr>
            <w:noProof/>
            <w:webHidden/>
          </w:rPr>
          <w:fldChar w:fldCharType="end"/>
        </w:r>
      </w:hyperlink>
    </w:p>
    <w:p w14:paraId="73518A11" w14:textId="1963289F" w:rsidR="00727BBB" w:rsidRDefault="00000000" w:rsidP="00727BBB">
      <w:pPr>
        <w:pStyle w:val="TableofFigures"/>
        <w:tabs>
          <w:tab w:val="right" w:leader="dot" w:pos="9350"/>
        </w:tabs>
        <w:spacing w:line="480" w:lineRule="auto"/>
        <w:jc w:val="both"/>
        <w:rPr>
          <w:rFonts w:eastAsiaTheme="minorEastAsia"/>
          <w:noProof/>
        </w:rPr>
      </w:pPr>
      <w:hyperlink w:anchor="_Toc120789435" w:history="1">
        <w:r w:rsidR="00727BBB" w:rsidRPr="00D569D4">
          <w:rPr>
            <w:rStyle w:val="Hyperlink"/>
            <w:rFonts w:ascii="Calibri" w:hAnsi="Calibri" w:cs="Calibri"/>
            <w:b/>
            <w:bCs/>
            <w:noProof/>
          </w:rPr>
          <w:t>Figure 17 [II] aggregation on YAP phosphorylation localization</w:t>
        </w:r>
        <w:r w:rsidR="00727BBB" w:rsidRPr="00D569D4">
          <w:rPr>
            <w:rStyle w:val="Hyperlink"/>
            <w:rFonts w:ascii="Calibri" w:hAnsi="Calibri" w:cs="Calibri"/>
            <w:noProof/>
          </w:rPr>
          <w:t xml:space="preserve">. Immunocytochemistry of </w:t>
        </w:r>
        <w:r w:rsidR="00AD6EF4">
          <w:rPr>
            <w:rStyle w:val="Hyperlink"/>
            <w:rFonts w:ascii="Calibri" w:hAnsi="Calibri" w:cs="Calibri"/>
            <w:noProof/>
          </w:rPr>
          <w:t>CRT</w:t>
        </w:r>
        <w:r w:rsidR="00727BBB" w:rsidRPr="00D569D4">
          <w:rPr>
            <w:rStyle w:val="Hyperlink"/>
            <w:rFonts w:ascii="Calibri" w:hAnsi="Calibri" w:cs="Calibri"/>
            <w:noProof/>
          </w:rPr>
          <w:t xml:space="preserve"> cell surface localization (YAP phosphorylation = green, Actin = red, Nuclei = blue). (Scale bars = 20 µm)</w:t>
        </w:r>
        <w:r w:rsidR="00727BBB">
          <w:rPr>
            <w:noProof/>
            <w:webHidden/>
          </w:rPr>
          <w:tab/>
        </w:r>
        <w:r w:rsidR="00727BBB">
          <w:rPr>
            <w:noProof/>
            <w:webHidden/>
          </w:rPr>
          <w:fldChar w:fldCharType="begin"/>
        </w:r>
        <w:r w:rsidR="00727BBB">
          <w:rPr>
            <w:noProof/>
            <w:webHidden/>
          </w:rPr>
          <w:instrText xml:space="preserve"> PAGEREF _Toc120789435 \h </w:instrText>
        </w:r>
        <w:r w:rsidR="00727BBB">
          <w:rPr>
            <w:noProof/>
            <w:webHidden/>
          </w:rPr>
        </w:r>
        <w:r w:rsidR="00727BBB">
          <w:rPr>
            <w:noProof/>
            <w:webHidden/>
          </w:rPr>
          <w:fldChar w:fldCharType="separate"/>
        </w:r>
        <w:r w:rsidR="00727BBB">
          <w:rPr>
            <w:noProof/>
            <w:webHidden/>
          </w:rPr>
          <w:t>71</w:t>
        </w:r>
        <w:r w:rsidR="00727BBB">
          <w:rPr>
            <w:noProof/>
            <w:webHidden/>
          </w:rPr>
          <w:fldChar w:fldCharType="end"/>
        </w:r>
      </w:hyperlink>
    </w:p>
    <w:p w14:paraId="1A2A9E45" w14:textId="69E5ADBD" w:rsidR="00727BBB" w:rsidRDefault="00000000" w:rsidP="00727BBB">
      <w:pPr>
        <w:pStyle w:val="TableofFigures"/>
        <w:tabs>
          <w:tab w:val="right" w:leader="dot" w:pos="9350"/>
        </w:tabs>
        <w:spacing w:line="480" w:lineRule="auto"/>
        <w:jc w:val="both"/>
        <w:rPr>
          <w:rFonts w:eastAsiaTheme="minorEastAsia"/>
          <w:noProof/>
        </w:rPr>
      </w:pPr>
      <w:hyperlink w:anchor="_Toc120789436" w:history="1">
        <w:r w:rsidR="00727BBB" w:rsidRPr="00D569D4">
          <w:rPr>
            <w:rStyle w:val="Hyperlink"/>
            <w:rFonts w:ascii="Calibri" w:hAnsi="Calibri" w:cs="Calibri"/>
            <w:b/>
            <w:bCs/>
            <w:noProof/>
          </w:rPr>
          <w:t xml:space="preserve">Figure 18 [II] aggregation on </w:t>
        </w:r>
        <w:r w:rsidR="00AD6EF4">
          <w:rPr>
            <w:rStyle w:val="Hyperlink"/>
            <w:rFonts w:ascii="Calibri" w:hAnsi="Calibri" w:cs="Calibri"/>
            <w:b/>
            <w:bCs/>
            <w:noProof/>
          </w:rPr>
          <w:t>CRT</w:t>
        </w:r>
        <w:r w:rsidR="00727BBB" w:rsidRPr="00D569D4">
          <w:rPr>
            <w:rStyle w:val="Hyperlink"/>
            <w:rFonts w:ascii="Calibri" w:hAnsi="Calibri" w:cs="Calibri"/>
            <w:b/>
            <w:bCs/>
            <w:noProof/>
          </w:rPr>
          <w:t xml:space="preserve"> localization.</w:t>
        </w:r>
        <w:r w:rsidR="00727BBB" w:rsidRPr="00D569D4">
          <w:rPr>
            <w:rStyle w:val="Hyperlink"/>
            <w:rFonts w:ascii="Calibri" w:hAnsi="Calibri" w:cs="Calibri"/>
            <w:noProof/>
          </w:rPr>
          <w:t xml:space="preserve"> Immunocytochemistry of </w:t>
        </w:r>
        <w:r w:rsidR="00AD6EF4">
          <w:rPr>
            <w:rStyle w:val="Hyperlink"/>
            <w:rFonts w:ascii="Calibri" w:hAnsi="Calibri" w:cs="Calibri"/>
            <w:noProof/>
          </w:rPr>
          <w:t>CRT</w:t>
        </w:r>
        <w:r w:rsidR="00727BBB" w:rsidRPr="00D569D4">
          <w:rPr>
            <w:rStyle w:val="Hyperlink"/>
            <w:rFonts w:ascii="Calibri" w:hAnsi="Calibri" w:cs="Calibri"/>
            <w:noProof/>
          </w:rPr>
          <w:t xml:space="preserve"> cell surface localization (</w:t>
        </w:r>
        <w:r w:rsidR="00AD6EF4">
          <w:rPr>
            <w:rStyle w:val="Hyperlink"/>
            <w:rFonts w:ascii="Calibri" w:hAnsi="Calibri" w:cs="Calibri"/>
            <w:noProof/>
          </w:rPr>
          <w:t>CRT</w:t>
        </w:r>
        <w:r w:rsidR="00727BBB" w:rsidRPr="00D569D4">
          <w:rPr>
            <w:rStyle w:val="Hyperlink"/>
            <w:rFonts w:ascii="Calibri" w:hAnsi="Calibri" w:cs="Calibri"/>
            <w:noProof/>
          </w:rPr>
          <w:t xml:space="preserve"> = green, Actin = red, Nuclei = blue). (Scale bars = 20 µm)</w:t>
        </w:r>
        <w:r w:rsidR="00727BBB">
          <w:rPr>
            <w:noProof/>
            <w:webHidden/>
          </w:rPr>
          <w:tab/>
        </w:r>
        <w:r w:rsidR="00727BBB">
          <w:rPr>
            <w:noProof/>
            <w:webHidden/>
          </w:rPr>
          <w:fldChar w:fldCharType="begin"/>
        </w:r>
        <w:r w:rsidR="00727BBB">
          <w:rPr>
            <w:noProof/>
            <w:webHidden/>
          </w:rPr>
          <w:instrText xml:space="preserve"> PAGEREF _Toc120789436 \h </w:instrText>
        </w:r>
        <w:r w:rsidR="00727BBB">
          <w:rPr>
            <w:noProof/>
            <w:webHidden/>
          </w:rPr>
        </w:r>
        <w:r w:rsidR="00727BBB">
          <w:rPr>
            <w:noProof/>
            <w:webHidden/>
          </w:rPr>
          <w:fldChar w:fldCharType="separate"/>
        </w:r>
        <w:r w:rsidR="00727BBB">
          <w:rPr>
            <w:noProof/>
            <w:webHidden/>
          </w:rPr>
          <w:t>72</w:t>
        </w:r>
        <w:r w:rsidR="00727BBB">
          <w:rPr>
            <w:noProof/>
            <w:webHidden/>
          </w:rPr>
          <w:fldChar w:fldCharType="end"/>
        </w:r>
      </w:hyperlink>
    </w:p>
    <w:p w14:paraId="70068CB6" w14:textId="62AFE2DF" w:rsidR="00727BBB" w:rsidRDefault="00000000" w:rsidP="00727BBB">
      <w:pPr>
        <w:pStyle w:val="TableofFigures"/>
        <w:tabs>
          <w:tab w:val="right" w:leader="dot" w:pos="9350"/>
        </w:tabs>
        <w:spacing w:line="480" w:lineRule="auto"/>
        <w:jc w:val="both"/>
        <w:rPr>
          <w:rFonts w:eastAsiaTheme="minorEastAsia"/>
          <w:noProof/>
        </w:rPr>
      </w:pPr>
      <w:hyperlink w:anchor="_Toc120789437" w:history="1">
        <w:r w:rsidR="00727BBB" w:rsidRPr="00D569D4">
          <w:rPr>
            <w:rStyle w:val="Hyperlink"/>
            <w:rFonts w:ascii="Calibri" w:hAnsi="Calibri" w:cs="Calibri"/>
            <w:b/>
            <w:bCs/>
            <w:noProof/>
          </w:rPr>
          <w:t xml:space="preserve">Figure 19 Quantification on </w:t>
        </w:r>
        <w:r w:rsidR="00AD6EF4">
          <w:rPr>
            <w:rStyle w:val="Hyperlink"/>
            <w:rFonts w:ascii="Calibri" w:hAnsi="Calibri" w:cs="Calibri"/>
            <w:b/>
            <w:bCs/>
            <w:noProof/>
          </w:rPr>
          <w:t>CRT</w:t>
        </w:r>
        <w:r w:rsidR="00727BBB" w:rsidRPr="00D569D4">
          <w:rPr>
            <w:rStyle w:val="Hyperlink"/>
            <w:rFonts w:ascii="Calibri" w:hAnsi="Calibri" w:cs="Calibri"/>
            <w:b/>
            <w:bCs/>
            <w:noProof/>
          </w:rPr>
          <w:t xml:space="preserve"> intensity on the cell membrane.</w:t>
        </w:r>
        <w:r w:rsidR="00727BBB" w:rsidRPr="00D569D4">
          <w:rPr>
            <w:rStyle w:val="Hyperlink"/>
            <w:rFonts w:ascii="Calibri" w:hAnsi="Calibri" w:cs="Calibri"/>
            <w:noProof/>
          </w:rPr>
          <w:t xml:space="preserve"> Five random cells were selected and analyzed through ImageJ by measuring mean fluorescence intensity.</w:t>
        </w:r>
        <w:r w:rsidR="00727BBB">
          <w:rPr>
            <w:noProof/>
            <w:webHidden/>
          </w:rPr>
          <w:tab/>
        </w:r>
        <w:r w:rsidR="00727BBB">
          <w:rPr>
            <w:noProof/>
            <w:webHidden/>
          </w:rPr>
          <w:fldChar w:fldCharType="begin"/>
        </w:r>
        <w:r w:rsidR="00727BBB">
          <w:rPr>
            <w:noProof/>
            <w:webHidden/>
          </w:rPr>
          <w:instrText xml:space="preserve"> PAGEREF _Toc120789437 \h </w:instrText>
        </w:r>
        <w:r w:rsidR="00727BBB">
          <w:rPr>
            <w:noProof/>
            <w:webHidden/>
          </w:rPr>
        </w:r>
        <w:r w:rsidR="00727BBB">
          <w:rPr>
            <w:noProof/>
            <w:webHidden/>
          </w:rPr>
          <w:fldChar w:fldCharType="separate"/>
        </w:r>
        <w:r w:rsidR="00727BBB">
          <w:rPr>
            <w:noProof/>
            <w:webHidden/>
          </w:rPr>
          <w:t>72</w:t>
        </w:r>
        <w:r w:rsidR="00727BBB">
          <w:rPr>
            <w:noProof/>
            <w:webHidden/>
          </w:rPr>
          <w:fldChar w:fldCharType="end"/>
        </w:r>
      </w:hyperlink>
    </w:p>
    <w:p w14:paraId="4651258B" w14:textId="220D2716" w:rsidR="00727BBB" w:rsidRDefault="00000000" w:rsidP="00727BBB">
      <w:pPr>
        <w:pStyle w:val="TableofFigures"/>
        <w:tabs>
          <w:tab w:val="right" w:leader="dot" w:pos="9350"/>
        </w:tabs>
        <w:spacing w:line="480" w:lineRule="auto"/>
        <w:jc w:val="both"/>
        <w:rPr>
          <w:rFonts w:eastAsiaTheme="minorEastAsia"/>
          <w:noProof/>
        </w:rPr>
      </w:pPr>
      <w:hyperlink w:anchor="_Toc120789438" w:history="1">
        <w:r w:rsidR="00727BBB" w:rsidRPr="00D569D4">
          <w:rPr>
            <w:rStyle w:val="Hyperlink"/>
            <w:rFonts w:ascii="Calibri" w:hAnsi="Calibri" w:cs="Calibri"/>
            <w:b/>
            <w:bCs/>
            <w:noProof/>
          </w:rPr>
          <w:t xml:space="preserve">Figure 20 Cell membrane damage can be modulated through control of [II] peptide aggregation. </w:t>
        </w:r>
        <w:r w:rsidR="00727BBB" w:rsidRPr="00D569D4">
          <w:rPr>
            <w:rStyle w:val="Hyperlink"/>
            <w:rFonts w:ascii="Calibri" w:hAnsi="Calibri" w:cs="Calibri"/>
            <w:noProof/>
          </w:rPr>
          <w:t xml:space="preserve">(A) LDH release of cells treated with 0.5 mM [II] peptide prepared in indicated albumin %s for 3, 6 and 24h. (B) Schematic illustration showing the effect of fibrillar and oligomer-like structures on the membrane damage. (C) Propidium iodide uptake of cells treated with 0.5 mM [II] peptide prepared in indicated albumin %s for 3, 6 and 24h. The scale bar is 50 </w:t>
        </w:r>
        <w:r w:rsidR="00727BBB" w:rsidRPr="00D569D4">
          <w:rPr>
            <w:rStyle w:val="Hyperlink"/>
            <w:rFonts w:ascii="Symbol" w:hAnsi="Symbol" w:cs="Calibri"/>
            <w:noProof/>
          </w:rPr>
          <w:t></w:t>
        </w:r>
        <w:r w:rsidR="00727BBB" w:rsidRPr="00D569D4">
          <w:rPr>
            <w:rStyle w:val="Hyperlink"/>
            <w:rFonts w:ascii="Calibri" w:hAnsi="Calibri" w:cs="Calibri"/>
            <w:noProof/>
          </w:rPr>
          <w:t>m.</w:t>
        </w:r>
        <w:r w:rsidR="00727BBB">
          <w:rPr>
            <w:noProof/>
            <w:webHidden/>
          </w:rPr>
          <w:tab/>
        </w:r>
        <w:r w:rsidR="00727BBB">
          <w:rPr>
            <w:noProof/>
            <w:webHidden/>
          </w:rPr>
          <w:fldChar w:fldCharType="begin"/>
        </w:r>
        <w:r w:rsidR="00727BBB">
          <w:rPr>
            <w:noProof/>
            <w:webHidden/>
          </w:rPr>
          <w:instrText xml:space="preserve"> PAGEREF _Toc120789438 \h </w:instrText>
        </w:r>
        <w:r w:rsidR="00727BBB">
          <w:rPr>
            <w:noProof/>
            <w:webHidden/>
          </w:rPr>
        </w:r>
        <w:r w:rsidR="00727BBB">
          <w:rPr>
            <w:noProof/>
            <w:webHidden/>
          </w:rPr>
          <w:fldChar w:fldCharType="separate"/>
        </w:r>
        <w:r w:rsidR="00727BBB">
          <w:rPr>
            <w:noProof/>
            <w:webHidden/>
          </w:rPr>
          <w:t>74</w:t>
        </w:r>
        <w:r w:rsidR="00727BBB">
          <w:rPr>
            <w:noProof/>
            <w:webHidden/>
          </w:rPr>
          <w:fldChar w:fldCharType="end"/>
        </w:r>
      </w:hyperlink>
    </w:p>
    <w:p w14:paraId="321A100D" w14:textId="63045A21" w:rsidR="00727BBB" w:rsidRDefault="00000000" w:rsidP="00727BBB">
      <w:pPr>
        <w:pStyle w:val="TableofFigures"/>
        <w:tabs>
          <w:tab w:val="right" w:leader="dot" w:pos="9350"/>
        </w:tabs>
        <w:spacing w:line="480" w:lineRule="auto"/>
        <w:jc w:val="both"/>
        <w:rPr>
          <w:rFonts w:eastAsiaTheme="minorEastAsia"/>
          <w:noProof/>
        </w:rPr>
      </w:pPr>
      <w:hyperlink w:anchor="_Toc120789439" w:history="1">
        <w:r w:rsidR="00727BBB" w:rsidRPr="00D569D4">
          <w:rPr>
            <w:rStyle w:val="Hyperlink"/>
            <w:rFonts w:ascii="Calibri" w:hAnsi="Calibri" w:cs="Calibri"/>
            <w:b/>
            <w:bCs/>
            <w:noProof/>
          </w:rPr>
          <w:t xml:space="preserve">Figure 21 [II] peptide aggregation induced cell death stages effect immunogenicity. </w:t>
        </w:r>
        <w:r w:rsidR="00727BBB" w:rsidRPr="00D569D4">
          <w:rPr>
            <w:rStyle w:val="Hyperlink"/>
            <w:rFonts w:ascii="Calibri" w:hAnsi="Calibri" w:cs="Calibri"/>
            <w:noProof/>
          </w:rPr>
          <w:t>Experimental design involving the treatment of EMT6 cells for 1.5 and 3h with 0.5 mM [II] peptide prepared in 0.02%, 0.2% and 2% albumin, transfer of supernatant onto BMDCs and analysis of IL-1</w:t>
        </w:r>
        <w:r w:rsidR="00727BBB" w:rsidRPr="00D569D4">
          <w:rPr>
            <w:rStyle w:val="Hyperlink"/>
            <w:rFonts w:ascii="Symbol" w:hAnsi="Symbol" w:cs="Calibri"/>
            <w:noProof/>
          </w:rPr>
          <w:t></w:t>
        </w:r>
        <w:r w:rsidR="00727BBB" w:rsidRPr="00D569D4">
          <w:rPr>
            <w:rStyle w:val="Hyperlink"/>
            <w:rFonts w:ascii="Calibri" w:hAnsi="Calibri" w:cs="Calibri"/>
            <w:noProof/>
          </w:rPr>
          <w:t xml:space="preserve"> release 24h later (A). Release of IL-1</w:t>
        </w:r>
        <w:r w:rsidR="00727BBB" w:rsidRPr="00D569D4">
          <w:rPr>
            <w:rStyle w:val="Hyperlink"/>
            <w:rFonts w:ascii="Symbol" w:hAnsi="Symbol" w:cs="Calibri"/>
            <w:noProof/>
          </w:rPr>
          <w:t></w:t>
        </w:r>
        <w:r w:rsidR="00727BBB" w:rsidRPr="00D569D4">
          <w:rPr>
            <w:rStyle w:val="Hyperlink"/>
            <w:rFonts w:ascii="Calibri" w:hAnsi="Calibri" w:cs="Calibri"/>
            <w:noProof/>
          </w:rPr>
          <w:t xml:space="preserve"> from BMDCs at 24h (B). Propidium iodide (C) and ATP </w:t>
        </w:r>
        <w:r w:rsidR="00727BBB" w:rsidRPr="00D569D4">
          <w:rPr>
            <w:rStyle w:val="Hyperlink"/>
            <w:rFonts w:ascii="Calibri" w:hAnsi="Calibri" w:cs="Calibri"/>
            <w:noProof/>
          </w:rPr>
          <w:lastRenderedPageBreak/>
          <w:t>analysis (D) of dying cells prior to injection. Experimental design for prophylactic vaccination (E). Tumor-free mice survival graph (F) This figure is prepared using BioRender.</w:t>
        </w:r>
        <w:r w:rsidR="00727BBB">
          <w:rPr>
            <w:noProof/>
            <w:webHidden/>
          </w:rPr>
          <w:tab/>
        </w:r>
        <w:r w:rsidR="00727BBB">
          <w:rPr>
            <w:noProof/>
            <w:webHidden/>
          </w:rPr>
          <w:fldChar w:fldCharType="begin"/>
        </w:r>
        <w:r w:rsidR="00727BBB">
          <w:rPr>
            <w:noProof/>
            <w:webHidden/>
          </w:rPr>
          <w:instrText xml:space="preserve"> PAGEREF _Toc120789439 \h </w:instrText>
        </w:r>
        <w:r w:rsidR="00727BBB">
          <w:rPr>
            <w:noProof/>
            <w:webHidden/>
          </w:rPr>
        </w:r>
        <w:r w:rsidR="00727BBB">
          <w:rPr>
            <w:noProof/>
            <w:webHidden/>
          </w:rPr>
          <w:fldChar w:fldCharType="separate"/>
        </w:r>
        <w:r w:rsidR="00727BBB">
          <w:rPr>
            <w:noProof/>
            <w:webHidden/>
          </w:rPr>
          <w:t>76</w:t>
        </w:r>
        <w:r w:rsidR="00727BBB">
          <w:rPr>
            <w:noProof/>
            <w:webHidden/>
          </w:rPr>
          <w:fldChar w:fldCharType="end"/>
        </w:r>
      </w:hyperlink>
    </w:p>
    <w:p w14:paraId="2CE6924C" w14:textId="70334873" w:rsidR="00727BBB" w:rsidRDefault="00000000" w:rsidP="00727BBB">
      <w:pPr>
        <w:pStyle w:val="TableofFigures"/>
        <w:tabs>
          <w:tab w:val="right" w:leader="dot" w:pos="9350"/>
        </w:tabs>
        <w:spacing w:line="480" w:lineRule="auto"/>
        <w:jc w:val="both"/>
        <w:rPr>
          <w:rFonts w:eastAsiaTheme="minorEastAsia"/>
          <w:noProof/>
        </w:rPr>
      </w:pPr>
      <w:hyperlink w:anchor="_Toc120789440" w:history="1">
        <w:r w:rsidR="00727BBB" w:rsidRPr="00D569D4">
          <w:rPr>
            <w:rStyle w:val="Hyperlink"/>
            <w:rFonts w:ascii="Calibri" w:hAnsi="Calibri" w:cs="Calibri"/>
            <w:b/>
            <w:bCs/>
            <w:noProof/>
          </w:rPr>
          <w:t xml:space="preserve">Figure 22 </w:t>
        </w:r>
        <w:r w:rsidR="00727BBB" w:rsidRPr="00D569D4">
          <w:rPr>
            <w:rStyle w:val="Hyperlink"/>
            <w:rFonts w:ascii="Calibri" w:hAnsi="Calibri" w:cs="Calibri"/>
            <w:b/>
            <w:bCs/>
            <w:noProof/>
            <w:snapToGrid w:val="0"/>
          </w:rPr>
          <w:t>MCTS Biology.</w:t>
        </w:r>
        <w:r w:rsidR="00727BBB" w:rsidRPr="00D569D4">
          <w:rPr>
            <w:rStyle w:val="Hyperlink"/>
            <w:rFonts w:ascii="Calibri" w:hAnsi="Calibri" w:cs="Calibri"/>
            <w:noProof/>
            <w:snapToGrid w:val="0"/>
          </w:rPr>
          <w:t xml:space="preserve"> MCTS provide an in vitro platform for the investigation of cell-cell and cell-ECM interactions. Additionally, MCTS mimic in vivo solid tumors in terms of nutrient, oxygen and pH gradients and zone formation.</w:t>
        </w:r>
        <w:r w:rsidR="00727BBB">
          <w:rPr>
            <w:noProof/>
            <w:webHidden/>
          </w:rPr>
          <w:tab/>
        </w:r>
        <w:r w:rsidR="00727BBB">
          <w:rPr>
            <w:noProof/>
            <w:webHidden/>
          </w:rPr>
          <w:fldChar w:fldCharType="begin"/>
        </w:r>
        <w:r w:rsidR="00727BBB">
          <w:rPr>
            <w:noProof/>
            <w:webHidden/>
          </w:rPr>
          <w:instrText xml:space="preserve"> PAGEREF _Toc120789440 \h </w:instrText>
        </w:r>
        <w:r w:rsidR="00727BBB">
          <w:rPr>
            <w:noProof/>
            <w:webHidden/>
          </w:rPr>
        </w:r>
        <w:r w:rsidR="00727BBB">
          <w:rPr>
            <w:noProof/>
            <w:webHidden/>
          </w:rPr>
          <w:fldChar w:fldCharType="separate"/>
        </w:r>
        <w:r w:rsidR="00727BBB">
          <w:rPr>
            <w:noProof/>
            <w:webHidden/>
          </w:rPr>
          <w:t>88</w:t>
        </w:r>
        <w:r w:rsidR="00727BBB">
          <w:rPr>
            <w:noProof/>
            <w:webHidden/>
          </w:rPr>
          <w:fldChar w:fldCharType="end"/>
        </w:r>
      </w:hyperlink>
    </w:p>
    <w:p w14:paraId="248743B4" w14:textId="242B1B62" w:rsidR="00727BBB" w:rsidRDefault="00000000" w:rsidP="00727BBB">
      <w:pPr>
        <w:pStyle w:val="TableofFigures"/>
        <w:tabs>
          <w:tab w:val="right" w:leader="dot" w:pos="9350"/>
        </w:tabs>
        <w:spacing w:line="480" w:lineRule="auto"/>
        <w:jc w:val="both"/>
        <w:rPr>
          <w:rFonts w:eastAsiaTheme="minorEastAsia"/>
          <w:noProof/>
        </w:rPr>
      </w:pPr>
      <w:hyperlink w:anchor="_Toc120789441" w:history="1">
        <w:r w:rsidR="00727BBB" w:rsidRPr="00D569D4">
          <w:rPr>
            <w:rStyle w:val="Hyperlink"/>
            <w:rFonts w:ascii="Calibri" w:hAnsi="Calibri" w:cs="Calibri"/>
            <w:b/>
            <w:bCs/>
            <w:noProof/>
          </w:rPr>
          <w:t xml:space="preserve">Figure 23 </w:t>
        </w:r>
        <w:r w:rsidR="00727BBB" w:rsidRPr="00D569D4">
          <w:rPr>
            <w:rStyle w:val="Hyperlink"/>
            <w:rFonts w:ascii="Calibri" w:hAnsi="Calibri" w:cs="Calibri"/>
            <w:b/>
            <w:bCs/>
            <w:noProof/>
            <w:snapToGrid w:val="0"/>
          </w:rPr>
          <w:t>Matrix-free formation techniques.</w:t>
        </w:r>
        <w:r w:rsidR="00727BBB" w:rsidRPr="00D569D4">
          <w:rPr>
            <w:rStyle w:val="Hyperlink"/>
            <w:rFonts w:ascii="Calibri" w:hAnsi="Calibri" w:cs="Calibri"/>
            <w:noProof/>
            <w:snapToGrid w:val="0"/>
          </w:rPr>
          <w:t xml:space="preserve"> A) In the liquid overlay technique, cells are seeded onto a surface that prevents adhesion, encouraging cell-cell adhesion. B) In the hanging drop technique, cells are suspended in drops from the underside of a culture plate lid. C) In the spinner flask technique, rotational motion encourages cell-cell adhesion. D) In the magnetic levitation technique, cells take in magnetic nanoparticles and are aggregated by magnetic force.</w:t>
        </w:r>
        <w:r w:rsidR="00727BBB">
          <w:rPr>
            <w:noProof/>
            <w:webHidden/>
          </w:rPr>
          <w:tab/>
        </w:r>
        <w:r w:rsidR="00727BBB">
          <w:rPr>
            <w:noProof/>
            <w:webHidden/>
          </w:rPr>
          <w:fldChar w:fldCharType="begin"/>
        </w:r>
        <w:r w:rsidR="00727BBB">
          <w:rPr>
            <w:noProof/>
            <w:webHidden/>
          </w:rPr>
          <w:instrText xml:space="preserve"> PAGEREF _Toc120789441 \h </w:instrText>
        </w:r>
        <w:r w:rsidR="00727BBB">
          <w:rPr>
            <w:noProof/>
            <w:webHidden/>
          </w:rPr>
        </w:r>
        <w:r w:rsidR="00727BBB">
          <w:rPr>
            <w:noProof/>
            <w:webHidden/>
          </w:rPr>
          <w:fldChar w:fldCharType="separate"/>
        </w:r>
        <w:r w:rsidR="00727BBB">
          <w:rPr>
            <w:noProof/>
            <w:webHidden/>
          </w:rPr>
          <w:t>93</w:t>
        </w:r>
        <w:r w:rsidR="00727BBB">
          <w:rPr>
            <w:noProof/>
            <w:webHidden/>
          </w:rPr>
          <w:fldChar w:fldCharType="end"/>
        </w:r>
      </w:hyperlink>
    </w:p>
    <w:p w14:paraId="743D1EEA" w14:textId="4A63BAE4" w:rsidR="00727BBB" w:rsidRDefault="00000000" w:rsidP="00727BBB">
      <w:pPr>
        <w:pStyle w:val="TableofFigures"/>
        <w:tabs>
          <w:tab w:val="right" w:leader="dot" w:pos="9350"/>
        </w:tabs>
        <w:spacing w:line="480" w:lineRule="auto"/>
        <w:jc w:val="both"/>
        <w:rPr>
          <w:rFonts w:eastAsiaTheme="minorEastAsia"/>
          <w:noProof/>
        </w:rPr>
      </w:pPr>
      <w:hyperlink w:anchor="_Toc120789442" w:history="1">
        <w:r w:rsidR="00727BBB" w:rsidRPr="00D569D4">
          <w:rPr>
            <w:rStyle w:val="Hyperlink"/>
            <w:rFonts w:ascii="Calibri" w:hAnsi="Calibri" w:cs="Calibri"/>
            <w:b/>
            <w:bCs/>
            <w:noProof/>
          </w:rPr>
          <w:t>Figure 24.</w:t>
        </w:r>
        <w:r w:rsidR="00727BBB" w:rsidRPr="00D569D4">
          <w:rPr>
            <w:rStyle w:val="Hyperlink"/>
            <w:rFonts w:ascii="Calibri" w:hAnsi="Calibri" w:cs="Calibri"/>
            <w:noProof/>
          </w:rPr>
          <w:t xml:space="preserve"> </w:t>
        </w:r>
        <w:r w:rsidR="00727BBB" w:rsidRPr="00D569D4">
          <w:rPr>
            <w:rStyle w:val="Hyperlink"/>
            <w:rFonts w:ascii="Calibri" w:hAnsi="Calibri" w:cs="Calibri"/>
            <w:b/>
            <w:bCs/>
            <w:noProof/>
          </w:rPr>
          <w:t>Analysis of EMT markers in OVCAR-3 and OVCAR-8 cell lines.</w:t>
        </w:r>
        <w:r w:rsidR="00727BBB" w:rsidRPr="00D569D4">
          <w:rPr>
            <w:rStyle w:val="Hyperlink"/>
            <w:rFonts w:ascii="Calibri" w:hAnsi="Calibri" w:cs="Calibri"/>
            <w:noProof/>
          </w:rPr>
          <w:t xml:space="preserve"> (A) Confocal imaging of actin cytoskeleton (red, left column), E-cadherin (green, center column) and Vimentin (green, right column). Scale bar is 50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and blue staining indicates DAPI (nuclei) in each image. (B) Western blotting of E-Cadherin and Vimentin; and housekeeping </w:t>
        </w:r>
        <w:r w:rsidR="00727BBB" w:rsidRPr="00D569D4">
          <w:rPr>
            <w:rStyle w:val="Hyperlink"/>
            <w:rFonts w:ascii="Calibri" w:hAnsi="Calibri" w:cs="Calibri"/>
            <w:noProof/>
          </w:rPr>
          <w:t>-actin was included for total protein loading control. (C) Illustration of OVCAR-3 and OVCAR-8 in epithelial and mesenchymal phenotype spectrum.</w:t>
        </w:r>
        <w:r w:rsidR="00727BBB">
          <w:rPr>
            <w:noProof/>
            <w:webHidden/>
          </w:rPr>
          <w:tab/>
        </w:r>
        <w:r w:rsidR="00727BBB">
          <w:rPr>
            <w:noProof/>
            <w:webHidden/>
          </w:rPr>
          <w:fldChar w:fldCharType="begin"/>
        </w:r>
        <w:r w:rsidR="00727BBB">
          <w:rPr>
            <w:noProof/>
            <w:webHidden/>
          </w:rPr>
          <w:instrText xml:space="preserve"> PAGEREF _Toc120789442 \h </w:instrText>
        </w:r>
        <w:r w:rsidR="00727BBB">
          <w:rPr>
            <w:noProof/>
            <w:webHidden/>
          </w:rPr>
        </w:r>
        <w:r w:rsidR="00727BBB">
          <w:rPr>
            <w:noProof/>
            <w:webHidden/>
          </w:rPr>
          <w:fldChar w:fldCharType="separate"/>
        </w:r>
        <w:r w:rsidR="00727BBB">
          <w:rPr>
            <w:noProof/>
            <w:webHidden/>
          </w:rPr>
          <w:t>103</w:t>
        </w:r>
        <w:r w:rsidR="00727BBB">
          <w:rPr>
            <w:noProof/>
            <w:webHidden/>
          </w:rPr>
          <w:fldChar w:fldCharType="end"/>
        </w:r>
      </w:hyperlink>
    </w:p>
    <w:p w14:paraId="67D7DEA2" w14:textId="6F5954BB" w:rsidR="00727BBB" w:rsidRDefault="00000000" w:rsidP="00727BBB">
      <w:pPr>
        <w:pStyle w:val="TableofFigures"/>
        <w:tabs>
          <w:tab w:val="right" w:leader="dot" w:pos="9350"/>
        </w:tabs>
        <w:spacing w:line="480" w:lineRule="auto"/>
        <w:jc w:val="both"/>
        <w:rPr>
          <w:rFonts w:eastAsiaTheme="minorEastAsia"/>
          <w:noProof/>
        </w:rPr>
      </w:pPr>
      <w:hyperlink w:anchor="_Toc120789443" w:history="1">
        <w:r w:rsidR="00727BBB" w:rsidRPr="00D569D4">
          <w:rPr>
            <w:rStyle w:val="Hyperlink"/>
            <w:rFonts w:ascii="Calibri" w:hAnsi="Calibri" w:cs="Calibri"/>
            <w:b/>
            <w:bCs/>
            <w:noProof/>
          </w:rPr>
          <w:t>Figure 25 Spheroid formation of ovarian cancer cell lines.</w:t>
        </w:r>
        <w:r w:rsidR="00727BBB" w:rsidRPr="00D569D4">
          <w:rPr>
            <w:rStyle w:val="Hyperlink"/>
            <w:rFonts w:ascii="Calibri" w:hAnsi="Calibri" w:cs="Calibri"/>
            <w:noProof/>
          </w:rPr>
          <w:t xml:space="preserve"> OVCAR-3, SKOV-3 and OVCAR-8 spheroids were initiated with 50, 100, 200 and 500 cells and monitored for 6 days every 24h Scale bar is 100 </w:t>
        </w:r>
        <w:r w:rsidR="00727BBB" w:rsidRPr="00D569D4">
          <w:rPr>
            <w:rStyle w:val="Hyperlink"/>
            <w:rFonts w:ascii="Symbol" w:hAnsi="Symbol" w:cs="Calibri"/>
            <w:noProof/>
          </w:rPr>
          <w:t></w:t>
        </w:r>
        <w:r w:rsidR="00727BBB" w:rsidRPr="00D569D4">
          <w:rPr>
            <w:rStyle w:val="Hyperlink"/>
            <w:rFonts w:ascii="Calibri" w:hAnsi="Calibri" w:cs="Calibri"/>
            <w:noProof/>
          </w:rPr>
          <w:t>m.</w:t>
        </w:r>
        <w:r w:rsidR="00727BBB">
          <w:rPr>
            <w:noProof/>
            <w:webHidden/>
          </w:rPr>
          <w:tab/>
        </w:r>
        <w:r w:rsidR="00727BBB">
          <w:rPr>
            <w:noProof/>
            <w:webHidden/>
          </w:rPr>
          <w:fldChar w:fldCharType="begin"/>
        </w:r>
        <w:r w:rsidR="00727BBB">
          <w:rPr>
            <w:noProof/>
            <w:webHidden/>
          </w:rPr>
          <w:instrText xml:space="preserve"> PAGEREF _Toc120789443 \h </w:instrText>
        </w:r>
        <w:r w:rsidR="00727BBB">
          <w:rPr>
            <w:noProof/>
            <w:webHidden/>
          </w:rPr>
        </w:r>
        <w:r w:rsidR="00727BBB">
          <w:rPr>
            <w:noProof/>
            <w:webHidden/>
          </w:rPr>
          <w:fldChar w:fldCharType="separate"/>
        </w:r>
        <w:r w:rsidR="00727BBB">
          <w:rPr>
            <w:noProof/>
            <w:webHidden/>
          </w:rPr>
          <w:t>105</w:t>
        </w:r>
        <w:r w:rsidR="00727BBB">
          <w:rPr>
            <w:noProof/>
            <w:webHidden/>
          </w:rPr>
          <w:fldChar w:fldCharType="end"/>
        </w:r>
      </w:hyperlink>
    </w:p>
    <w:p w14:paraId="5F84CEC8" w14:textId="5EB041E2" w:rsidR="00727BBB" w:rsidRDefault="00000000" w:rsidP="00727BBB">
      <w:pPr>
        <w:pStyle w:val="TableofFigures"/>
        <w:tabs>
          <w:tab w:val="right" w:leader="dot" w:pos="9350"/>
        </w:tabs>
        <w:spacing w:line="480" w:lineRule="auto"/>
        <w:jc w:val="both"/>
        <w:rPr>
          <w:rFonts w:eastAsiaTheme="minorEastAsia"/>
          <w:noProof/>
        </w:rPr>
      </w:pPr>
      <w:hyperlink w:anchor="_Toc120789444" w:history="1">
        <w:r w:rsidR="00727BBB" w:rsidRPr="00D569D4">
          <w:rPr>
            <w:rStyle w:val="Hyperlink"/>
            <w:rFonts w:ascii="Calibri" w:hAnsi="Calibri" w:cs="Calibri"/>
            <w:b/>
            <w:bCs/>
            <w:noProof/>
          </w:rPr>
          <w:t>Figure 26. Characterization of OVCAR-3 and OVCAR-8 spheroid formation.</w:t>
        </w:r>
        <w:r w:rsidR="00727BBB" w:rsidRPr="00D569D4">
          <w:rPr>
            <w:rStyle w:val="Hyperlink"/>
            <w:rFonts w:ascii="Calibri" w:hAnsi="Calibri" w:cs="Calibri"/>
            <w:noProof/>
          </w:rPr>
          <w:t xml:space="preserve"> (A) OVCAR-3 spheroids were initiated with 50, 100, 200, and 500 cells, and images were taken on day 1 and day 6. (B) Projected surface area characterization of OVCAR-3 spheroids (C) Circularity of OVCAR-</w:t>
        </w:r>
        <w:r w:rsidR="00727BBB" w:rsidRPr="00D569D4">
          <w:rPr>
            <w:rStyle w:val="Hyperlink"/>
            <w:rFonts w:ascii="Calibri" w:hAnsi="Calibri" w:cs="Calibri"/>
            <w:noProof/>
          </w:rPr>
          <w:lastRenderedPageBreak/>
          <w:t xml:space="preserve">3 spheroids at day 6 (D) Solidity of OVCAR-3 spheroids at day 6. (E) OVCAR-8 spheroids were initiated with 50, 100, 200 and 500 cells, and images were taken on day 1 and day 6 (F) Projected surface area characterization of OVCAR-8 spheroids (G) Circularity of OVCAR-8 spheroids at day 6 (H) Solidity of OVCAR-8 spheroids at day 6. For each cell numbers to initiate the spheroids, n=24 spheroids were analyzed by randomly selecting 8 spheroids from 3 independent experiments. Scale bars are 100 </w:t>
        </w:r>
        <w:r w:rsidR="00727BBB" w:rsidRPr="00D569D4">
          <w:rPr>
            <w:rStyle w:val="Hyperlink"/>
            <w:rFonts w:ascii="Symbol" w:hAnsi="Symbol" w:cs="Calibri"/>
            <w:noProof/>
          </w:rPr>
          <w:t></w:t>
        </w:r>
        <w:r w:rsidR="00727BBB" w:rsidRPr="00D569D4">
          <w:rPr>
            <w:rStyle w:val="Hyperlink"/>
            <w:rFonts w:ascii="Calibri" w:hAnsi="Calibri" w:cs="Calibri"/>
            <w:noProof/>
          </w:rPr>
          <w:t>m.</w:t>
        </w:r>
        <w:r w:rsidR="00727BBB">
          <w:rPr>
            <w:noProof/>
            <w:webHidden/>
          </w:rPr>
          <w:tab/>
        </w:r>
        <w:r w:rsidR="00727BBB">
          <w:rPr>
            <w:noProof/>
            <w:webHidden/>
          </w:rPr>
          <w:fldChar w:fldCharType="begin"/>
        </w:r>
        <w:r w:rsidR="00727BBB">
          <w:rPr>
            <w:noProof/>
            <w:webHidden/>
          </w:rPr>
          <w:instrText xml:space="preserve"> PAGEREF _Toc120789444 \h </w:instrText>
        </w:r>
        <w:r w:rsidR="00727BBB">
          <w:rPr>
            <w:noProof/>
            <w:webHidden/>
          </w:rPr>
        </w:r>
        <w:r w:rsidR="00727BBB">
          <w:rPr>
            <w:noProof/>
            <w:webHidden/>
          </w:rPr>
          <w:fldChar w:fldCharType="separate"/>
        </w:r>
        <w:r w:rsidR="00727BBB">
          <w:rPr>
            <w:noProof/>
            <w:webHidden/>
          </w:rPr>
          <w:t>107</w:t>
        </w:r>
        <w:r w:rsidR="00727BBB">
          <w:rPr>
            <w:noProof/>
            <w:webHidden/>
          </w:rPr>
          <w:fldChar w:fldCharType="end"/>
        </w:r>
      </w:hyperlink>
    </w:p>
    <w:p w14:paraId="04FDB802" w14:textId="0CFF3212" w:rsidR="00727BBB" w:rsidRDefault="00000000" w:rsidP="00727BBB">
      <w:pPr>
        <w:pStyle w:val="TableofFigures"/>
        <w:tabs>
          <w:tab w:val="right" w:leader="dot" w:pos="9350"/>
        </w:tabs>
        <w:spacing w:line="480" w:lineRule="auto"/>
        <w:jc w:val="both"/>
        <w:rPr>
          <w:rFonts w:eastAsiaTheme="minorEastAsia"/>
          <w:noProof/>
        </w:rPr>
      </w:pPr>
      <w:hyperlink w:anchor="_Toc120789445" w:history="1">
        <w:r w:rsidR="00727BBB" w:rsidRPr="00D569D4">
          <w:rPr>
            <w:rStyle w:val="Hyperlink"/>
            <w:rFonts w:ascii="Calibri" w:hAnsi="Calibri" w:cs="Calibri"/>
            <w:b/>
            <w:bCs/>
            <w:noProof/>
          </w:rPr>
          <w:t>Figure 27 Projected spheroid area of OVCAR-8 spheroids from day 1 to day 6.</w:t>
        </w:r>
        <w:r w:rsidR="00727BBB" w:rsidRPr="00D569D4">
          <w:rPr>
            <w:rStyle w:val="Hyperlink"/>
            <w:rFonts w:ascii="Calibri" w:hAnsi="Calibri" w:cs="Calibri"/>
            <w:noProof/>
          </w:rPr>
          <w:t xml:space="preserve"> Area of OVCAR-8 spheroids were measured every day. 3 spheroids per each independent 3 experiments were evaluated.</w:t>
        </w:r>
        <w:r w:rsidR="00727BBB">
          <w:rPr>
            <w:noProof/>
            <w:webHidden/>
          </w:rPr>
          <w:tab/>
        </w:r>
        <w:r w:rsidR="00727BBB">
          <w:rPr>
            <w:noProof/>
            <w:webHidden/>
          </w:rPr>
          <w:fldChar w:fldCharType="begin"/>
        </w:r>
        <w:r w:rsidR="00727BBB">
          <w:rPr>
            <w:noProof/>
            <w:webHidden/>
          </w:rPr>
          <w:instrText xml:space="preserve"> PAGEREF _Toc120789445 \h </w:instrText>
        </w:r>
        <w:r w:rsidR="00727BBB">
          <w:rPr>
            <w:noProof/>
            <w:webHidden/>
          </w:rPr>
        </w:r>
        <w:r w:rsidR="00727BBB">
          <w:rPr>
            <w:noProof/>
            <w:webHidden/>
          </w:rPr>
          <w:fldChar w:fldCharType="separate"/>
        </w:r>
        <w:r w:rsidR="00727BBB">
          <w:rPr>
            <w:noProof/>
            <w:webHidden/>
          </w:rPr>
          <w:t>108</w:t>
        </w:r>
        <w:r w:rsidR="00727BBB">
          <w:rPr>
            <w:noProof/>
            <w:webHidden/>
          </w:rPr>
          <w:fldChar w:fldCharType="end"/>
        </w:r>
      </w:hyperlink>
    </w:p>
    <w:p w14:paraId="1488E70B" w14:textId="48E599D0" w:rsidR="00727BBB" w:rsidRDefault="00000000" w:rsidP="00727BBB">
      <w:pPr>
        <w:pStyle w:val="TableofFigures"/>
        <w:tabs>
          <w:tab w:val="right" w:leader="dot" w:pos="9350"/>
        </w:tabs>
        <w:spacing w:line="480" w:lineRule="auto"/>
        <w:jc w:val="both"/>
        <w:rPr>
          <w:rFonts w:eastAsiaTheme="minorEastAsia"/>
          <w:noProof/>
        </w:rPr>
      </w:pPr>
      <w:hyperlink w:anchor="_Toc120789446" w:history="1">
        <w:r w:rsidR="00727BBB" w:rsidRPr="00D569D4">
          <w:rPr>
            <w:rStyle w:val="Hyperlink"/>
            <w:rFonts w:ascii="Calibri" w:hAnsi="Calibri" w:cs="Calibri"/>
            <w:b/>
            <w:bCs/>
            <w:noProof/>
          </w:rPr>
          <w:t>Figure 28. Morphology analysis and epithelial-to-mesenchymal marker expression of ovarian cancer spheroids.</w:t>
        </w:r>
        <w:r w:rsidR="00727BBB" w:rsidRPr="00D569D4">
          <w:rPr>
            <w:rStyle w:val="Hyperlink"/>
            <w:rFonts w:ascii="Calibri" w:hAnsi="Calibri" w:cs="Calibri"/>
            <w:noProof/>
          </w:rPr>
          <w:t xml:space="preserve"> (A) Strategy for imaging of spheroids by using water immersion objective. (B) OVCAR-3 and OVCAR-8 spheroids with initiation cell numbers of 50, 100, 200 and 500 were stained for F-actins (red) and DAPI for nuclei (blue), imaged for their morphology. Scale bar is 100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Inset indicates magnified sections from spheroids, scale bar is 20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(C) E-Cadherin (green, left column), Vimentin (green, right column), and DAPI for nuclei (blue) imaging of OVCAR-3 and OVCAR-8 spheroids with initiation cell number of 200. Top-view panel indicates the top of the OVCAR-8 spheroids, Scale bar is 100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(D) Panel indicates western blot of E-Cadherin and Vimentin from ovarian cancer monolayers and their spheroids (initiation cell number of 200). Housekeeping </w:t>
        </w:r>
        <w:r w:rsidR="00727BBB" w:rsidRPr="00D569D4">
          <w:rPr>
            <w:rStyle w:val="Hyperlink"/>
            <w:rFonts w:ascii="Symbol" w:hAnsi="Symbol" w:cs="Calibri"/>
            <w:noProof/>
          </w:rPr>
          <w:t></w:t>
        </w:r>
        <w:r w:rsidR="00727BBB" w:rsidRPr="00D569D4">
          <w:rPr>
            <w:rStyle w:val="Hyperlink"/>
            <w:rFonts w:ascii="Calibri" w:hAnsi="Calibri" w:cs="Calibri"/>
            <w:noProof/>
          </w:rPr>
          <w:t>-actin was included for total protein loading control.</w:t>
        </w:r>
        <w:r w:rsidR="00727BBB">
          <w:rPr>
            <w:noProof/>
            <w:webHidden/>
          </w:rPr>
          <w:tab/>
        </w:r>
        <w:r w:rsidR="00727BBB">
          <w:rPr>
            <w:noProof/>
            <w:webHidden/>
          </w:rPr>
          <w:fldChar w:fldCharType="begin"/>
        </w:r>
        <w:r w:rsidR="00727BBB">
          <w:rPr>
            <w:noProof/>
            <w:webHidden/>
          </w:rPr>
          <w:instrText xml:space="preserve"> PAGEREF _Toc120789446 \h </w:instrText>
        </w:r>
        <w:r w:rsidR="00727BBB">
          <w:rPr>
            <w:noProof/>
            <w:webHidden/>
          </w:rPr>
        </w:r>
        <w:r w:rsidR="00727BBB">
          <w:rPr>
            <w:noProof/>
            <w:webHidden/>
          </w:rPr>
          <w:fldChar w:fldCharType="separate"/>
        </w:r>
        <w:r w:rsidR="00727BBB">
          <w:rPr>
            <w:noProof/>
            <w:webHidden/>
          </w:rPr>
          <w:t>110</w:t>
        </w:r>
        <w:r w:rsidR="00727BBB">
          <w:rPr>
            <w:noProof/>
            <w:webHidden/>
          </w:rPr>
          <w:fldChar w:fldCharType="end"/>
        </w:r>
      </w:hyperlink>
    </w:p>
    <w:p w14:paraId="63143AF4" w14:textId="61C1D2B0" w:rsidR="00727BBB" w:rsidRDefault="00000000" w:rsidP="00727BBB">
      <w:pPr>
        <w:pStyle w:val="TableofFigures"/>
        <w:tabs>
          <w:tab w:val="right" w:leader="dot" w:pos="9350"/>
        </w:tabs>
        <w:spacing w:line="480" w:lineRule="auto"/>
        <w:jc w:val="both"/>
        <w:rPr>
          <w:rFonts w:eastAsiaTheme="minorEastAsia"/>
          <w:noProof/>
        </w:rPr>
      </w:pPr>
      <w:hyperlink w:anchor="_Toc120789447" w:history="1">
        <w:r w:rsidR="00727BBB" w:rsidRPr="00D569D4">
          <w:rPr>
            <w:rStyle w:val="Hyperlink"/>
            <w:rFonts w:ascii="Calibri" w:hAnsi="Calibri" w:cs="Calibri"/>
            <w:b/>
            <w:bCs/>
            <w:noProof/>
          </w:rPr>
          <w:t>Figure 29 Taxol and Cisplatin treatment of OVCAR-3 and OVCAR-8 monolayers for 48h.</w:t>
        </w:r>
        <w:r w:rsidR="00727BBB" w:rsidRPr="00D569D4">
          <w:rPr>
            <w:rStyle w:val="Hyperlink"/>
            <w:rFonts w:ascii="Calibri" w:hAnsi="Calibri" w:cs="Calibri"/>
            <w:noProof/>
          </w:rPr>
          <w:t xml:space="preserve"> Cytotoxicity of Taxol and Cisplatin at various concentrations were analyzed by using Alamar Blue at 48h.</w:t>
        </w:r>
        <w:r w:rsidR="00727BBB">
          <w:rPr>
            <w:noProof/>
            <w:webHidden/>
          </w:rPr>
          <w:tab/>
        </w:r>
        <w:r w:rsidR="00727BBB">
          <w:rPr>
            <w:noProof/>
            <w:webHidden/>
          </w:rPr>
          <w:fldChar w:fldCharType="begin"/>
        </w:r>
        <w:r w:rsidR="00727BBB">
          <w:rPr>
            <w:noProof/>
            <w:webHidden/>
          </w:rPr>
          <w:instrText xml:space="preserve"> PAGEREF _Toc120789447 \h </w:instrText>
        </w:r>
        <w:r w:rsidR="00727BBB">
          <w:rPr>
            <w:noProof/>
            <w:webHidden/>
          </w:rPr>
        </w:r>
        <w:r w:rsidR="00727BBB">
          <w:rPr>
            <w:noProof/>
            <w:webHidden/>
          </w:rPr>
          <w:fldChar w:fldCharType="separate"/>
        </w:r>
        <w:r w:rsidR="00727BBB">
          <w:rPr>
            <w:noProof/>
            <w:webHidden/>
          </w:rPr>
          <w:t>112</w:t>
        </w:r>
        <w:r w:rsidR="00727BBB">
          <w:rPr>
            <w:noProof/>
            <w:webHidden/>
          </w:rPr>
          <w:fldChar w:fldCharType="end"/>
        </w:r>
      </w:hyperlink>
    </w:p>
    <w:p w14:paraId="1A26980E" w14:textId="0BB409C8" w:rsidR="00727BBB" w:rsidRDefault="00000000" w:rsidP="00727BBB">
      <w:pPr>
        <w:pStyle w:val="TableofFigures"/>
        <w:tabs>
          <w:tab w:val="right" w:leader="dot" w:pos="9350"/>
        </w:tabs>
        <w:spacing w:line="480" w:lineRule="auto"/>
        <w:jc w:val="both"/>
        <w:rPr>
          <w:rFonts w:eastAsiaTheme="minorEastAsia"/>
          <w:noProof/>
        </w:rPr>
      </w:pPr>
      <w:hyperlink w:anchor="_Toc120789448" w:history="1">
        <w:r w:rsidR="00727BBB" w:rsidRPr="00D569D4">
          <w:rPr>
            <w:rStyle w:val="Hyperlink"/>
            <w:rFonts w:ascii="Calibri" w:hAnsi="Calibri" w:cs="Calibri"/>
            <w:b/>
            <w:bCs/>
            <w:noProof/>
          </w:rPr>
          <w:t>Figure 30 Size analysis of large OVCAR-3 and OVCAR-8 spheroids.</w:t>
        </w:r>
        <w:r w:rsidR="00727BBB" w:rsidRPr="00D569D4">
          <w:rPr>
            <w:rStyle w:val="Hyperlink"/>
            <w:rFonts w:ascii="Calibri" w:hAnsi="Calibri" w:cs="Calibri"/>
            <w:noProof/>
          </w:rPr>
          <w:t xml:space="preserve"> OVCAR-3 and OVCAR-8 spheroids were initiated with 5000 cells in U-bottom 96 well plates and monitored for 6 days. Scale bar is 250 </w:t>
        </w:r>
        <w:r w:rsidR="00727BBB" w:rsidRPr="00D569D4">
          <w:rPr>
            <w:rStyle w:val="Hyperlink"/>
            <w:rFonts w:ascii="Symbol" w:hAnsi="Symbol" w:cs="Calibri"/>
            <w:noProof/>
          </w:rPr>
          <w:t></w:t>
        </w:r>
        <w:r w:rsidR="00727BBB" w:rsidRPr="00D569D4">
          <w:rPr>
            <w:rStyle w:val="Hyperlink"/>
            <w:rFonts w:ascii="Calibri" w:hAnsi="Calibri" w:cs="Calibri"/>
            <w:noProof/>
          </w:rPr>
          <w:t>m. 10 spheroids were analyzed.</w:t>
        </w:r>
        <w:r w:rsidR="00727BBB">
          <w:rPr>
            <w:noProof/>
            <w:webHidden/>
          </w:rPr>
          <w:tab/>
        </w:r>
        <w:r w:rsidR="00727BBB">
          <w:rPr>
            <w:noProof/>
            <w:webHidden/>
          </w:rPr>
          <w:fldChar w:fldCharType="begin"/>
        </w:r>
        <w:r w:rsidR="00727BBB">
          <w:rPr>
            <w:noProof/>
            <w:webHidden/>
          </w:rPr>
          <w:instrText xml:space="preserve"> PAGEREF _Toc120789448 \h </w:instrText>
        </w:r>
        <w:r w:rsidR="00727BBB">
          <w:rPr>
            <w:noProof/>
            <w:webHidden/>
          </w:rPr>
        </w:r>
        <w:r w:rsidR="00727BBB">
          <w:rPr>
            <w:noProof/>
            <w:webHidden/>
          </w:rPr>
          <w:fldChar w:fldCharType="separate"/>
        </w:r>
        <w:r w:rsidR="00727BBB">
          <w:rPr>
            <w:noProof/>
            <w:webHidden/>
          </w:rPr>
          <w:t>113</w:t>
        </w:r>
        <w:r w:rsidR="00727BBB">
          <w:rPr>
            <w:noProof/>
            <w:webHidden/>
          </w:rPr>
          <w:fldChar w:fldCharType="end"/>
        </w:r>
      </w:hyperlink>
    </w:p>
    <w:p w14:paraId="55A41CC3" w14:textId="30E142BA" w:rsidR="00727BBB" w:rsidRDefault="00000000" w:rsidP="00727BBB">
      <w:pPr>
        <w:pStyle w:val="TableofFigures"/>
        <w:tabs>
          <w:tab w:val="right" w:leader="dot" w:pos="9350"/>
        </w:tabs>
        <w:spacing w:line="480" w:lineRule="auto"/>
        <w:jc w:val="both"/>
        <w:rPr>
          <w:rFonts w:eastAsiaTheme="minorEastAsia"/>
          <w:noProof/>
        </w:rPr>
      </w:pPr>
      <w:hyperlink w:anchor="_Toc120789449" w:history="1">
        <w:r w:rsidR="00727BBB" w:rsidRPr="00D569D4">
          <w:rPr>
            <w:rStyle w:val="Hyperlink"/>
            <w:rFonts w:ascii="Calibri" w:hAnsi="Calibri" w:cs="Calibri"/>
            <w:b/>
            <w:bCs/>
            <w:noProof/>
          </w:rPr>
          <w:t xml:space="preserve">Figure 31. Effect of Taxol and Cisplatin treatment for 72 h on the viability and morphology of the EOC spheroids. </w:t>
        </w:r>
        <w:r w:rsidR="00727BBB" w:rsidRPr="00D569D4">
          <w:rPr>
            <w:rStyle w:val="Hyperlink"/>
            <w:rFonts w:ascii="Calibri" w:hAnsi="Calibri" w:cs="Calibri"/>
            <w:noProof/>
          </w:rPr>
          <w:t xml:space="preserve">(A-D) OVCAR-3 and OVCAR-8 spheroids with the initiation cell number of 50, 100, 200, 500 and 5000 were treated with different concentrations of Taxol and Cisplatin and at 72h viability was measured by CellTiter-Glo3D. Statistical analysis was done by 2-way ANOVA test </w:t>
        </w:r>
        <w:r w:rsidR="00727BBB" w:rsidRPr="00D569D4">
          <w:rPr>
            <w:rStyle w:val="Hyperlink"/>
            <w:rFonts w:ascii="Calibri" w:eastAsia="Times New Roman" w:hAnsi="Calibri" w:cs="Calibri"/>
            <w:noProof/>
          </w:rPr>
          <w:t>****</w:t>
        </w:r>
        <w:r w:rsidR="00727BBB" w:rsidRPr="00D569D4">
          <w:rPr>
            <w:rStyle w:val="Hyperlink"/>
            <w:rFonts w:ascii="Calibri" w:hAnsi="Calibri" w:cs="Calibri"/>
            <w:noProof/>
          </w:rPr>
          <w:t xml:space="preserve"> </w:t>
        </w:r>
        <w:r w:rsidR="00727BBB" w:rsidRPr="00D569D4">
          <w:rPr>
            <w:rStyle w:val="Hyperlink"/>
            <w:rFonts w:ascii="Calibri" w:eastAsia="Times New Roman" w:hAnsi="Calibri" w:cs="Calibri"/>
            <w:noProof/>
          </w:rPr>
          <w:t xml:space="preserve">p&lt;0.0001, </w:t>
        </w:r>
        <w:r w:rsidR="00727BBB" w:rsidRPr="00D569D4">
          <w:rPr>
            <w:rStyle w:val="Hyperlink"/>
            <w:rFonts w:ascii="Calibri" w:hAnsi="Calibri" w:cs="Calibri"/>
            <w:noProof/>
          </w:rPr>
          <w:t xml:space="preserve"> </w:t>
        </w:r>
        <w:r w:rsidR="00727BBB" w:rsidRPr="00D569D4">
          <w:rPr>
            <w:rStyle w:val="Hyperlink"/>
            <w:rFonts w:ascii="Calibri" w:eastAsia="Times New Roman" w:hAnsi="Calibri" w:cs="Calibri"/>
            <w:noProof/>
          </w:rPr>
          <w:t>*** p&lt;0.001, ** p&lt;0.01, * p&lt;0.1.</w:t>
        </w:r>
        <w:r w:rsidR="00727BBB">
          <w:rPr>
            <w:noProof/>
            <w:webHidden/>
          </w:rPr>
          <w:tab/>
        </w:r>
        <w:r w:rsidR="00727BBB">
          <w:rPr>
            <w:noProof/>
            <w:webHidden/>
          </w:rPr>
          <w:fldChar w:fldCharType="begin"/>
        </w:r>
        <w:r w:rsidR="00727BBB">
          <w:rPr>
            <w:noProof/>
            <w:webHidden/>
          </w:rPr>
          <w:instrText xml:space="preserve"> PAGEREF _Toc120789449 \h </w:instrText>
        </w:r>
        <w:r w:rsidR="00727BBB">
          <w:rPr>
            <w:noProof/>
            <w:webHidden/>
          </w:rPr>
        </w:r>
        <w:r w:rsidR="00727BBB">
          <w:rPr>
            <w:noProof/>
            <w:webHidden/>
          </w:rPr>
          <w:fldChar w:fldCharType="separate"/>
        </w:r>
        <w:r w:rsidR="00727BBB">
          <w:rPr>
            <w:noProof/>
            <w:webHidden/>
          </w:rPr>
          <w:t>114</w:t>
        </w:r>
        <w:r w:rsidR="00727BBB">
          <w:rPr>
            <w:noProof/>
            <w:webHidden/>
          </w:rPr>
          <w:fldChar w:fldCharType="end"/>
        </w:r>
      </w:hyperlink>
    </w:p>
    <w:p w14:paraId="13F05037" w14:textId="55193B09" w:rsidR="00727BBB" w:rsidRDefault="00000000" w:rsidP="00727BBB">
      <w:pPr>
        <w:pStyle w:val="TableofFigures"/>
        <w:tabs>
          <w:tab w:val="right" w:leader="dot" w:pos="9350"/>
        </w:tabs>
        <w:spacing w:line="480" w:lineRule="auto"/>
        <w:jc w:val="both"/>
        <w:rPr>
          <w:rFonts w:eastAsiaTheme="minorEastAsia"/>
          <w:noProof/>
        </w:rPr>
      </w:pPr>
      <w:hyperlink w:anchor="_Toc120789450" w:history="1">
        <w:r w:rsidR="00727BBB" w:rsidRPr="00D569D4">
          <w:rPr>
            <w:rStyle w:val="Hyperlink"/>
            <w:rFonts w:ascii="Calibri" w:hAnsi="Calibri" w:cs="Calibri"/>
            <w:b/>
            <w:bCs/>
            <w:noProof/>
          </w:rPr>
          <w:t xml:space="preserve">Figure 32 Effect of Taxol and Cisplatin treatment for 48 h on the viability and morphology of the EOC spheroids. </w:t>
        </w:r>
        <w:r w:rsidR="00727BBB" w:rsidRPr="00D569D4">
          <w:rPr>
            <w:rStyle w:val="Hyperlink"/>
            <w:rFonts w:ascii="Calibri" w:hAnsi="Calibri" w:cs="Calibri"/>
            <w:noProof/>
          </w:rPr>
          <w:t xml:space="preserve">(A-D) OVCAR-3 and OVCAR-8 spheroids with the initiation cell number of 50, 100, 200, 500 and 5000 were treated with different concentrations of Taxol and Cisplatin and at 48h viability was measured by CellTiter-Glo3D. (E-G) Images represent the spheroids with the initiation cell number of 200. Scale bar is 100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Statistical analysis was done by 2-way ANOVA test </w:t>
        </w:r>
        <w:r w:rsidR="00727BBB" w:rsidRPr="00D569D4">
          <w:rPr>
            <w:rStyle w:val="Hyperlink"/>
            <w:rFonts w:ascii="Calibri" w:eastAsia="Times New Roman" w:hAnsi="Calibri" w:cs="Calibri"/>
            <w:noProof/>
          </w:rPr>
          <w:t>*** p&lt;0.001, ** p&lt;0.01, * p&lt;0.1.</w:t>
        </w:r>
        <w:r w:rsidR="00727BBB">
          <w:rPr>
            <w:noProof/>
            <w:webHidden/>
          </w:rPr>
          <w:tab/>
        </w:r>
        <w:r w:rsidR="00727BBB">
          <w:rPr>
            <w:noProof/>
            <w:webHidden/>
          </w:rPr>
          <w:fldChar w:fldCharType="begin"/>
        </w:r>
        <w:r w:rsidR="00727BBB">
          <w:rPr>
            <w:noProof/>
            <w:webHidden/>
          </w:rPr>
          <w:instrText xml:space="preserve"> PAGEREF _Toc120789450 \h </w:instrText>
        </w:r>
        <w:r w:rsidR="00727BBB">
          <w:rPr>
            <w:noProof/>
            <w:webHidden/>
          </w:rPr>
        </w:r>
        <w:r w:rsidR="00727BBB">
          <w:rPr>
            <w:noProof/>
            <w:webHidden/>
          </w:rPr>
          <w:fldChar w:fldCharType="separate"/>
        </w:r>
        <w:r w:rsidR="00727BBB">
          <w:rPr>
            <w:noProof/>
            <w:webHidden/>
          </w:rPr>
          <w:t>115</w:t>
        </w:r>
        <w:r w:rsidR="00727BBB">
          <w:rPr>
            <w:noProof/>
            <w:webHidden/>
          </w:rPr>
          <w:fldChar w:fldCharType="end"/>
        </w:r>
      </w:hyperlink>
    </w:p>
    <w:p w14:paraId="05420CA0" w14:textId="1C65FE7E" w:rsidR="00727BBB" w:rsidRDefault="00000000" w:rsidP="00727BBB">
      <w:pPr>
        <w:pStyle w:val="TableofFigures"/>
        <w:tabs>
          <w:tab w:val="right" w:leader="dot" w:pos="9350"/>
        </w:tabs>
        <w:spacing w:line="480" w:lineRule="auto"/>
        <w:jc w:val="both"/>
        <w:rPr>
          <w:rFonts w:eastAsiaTheme="minorEastAsia"/>
          <w:noProof/>
        </w:rPr>
      </w:pPr>
      <w:hyperlink w:anchor="_Toc120789451" w:history="1">
        <w:r w:rsidR="00727BBB" w:rsidRPr="00D569D4">
          <w:rPr>
            <w:rStyle w:val="Hyperlink"/>
            <w:rFonts w:ascii="Calibri" w:hAnsi="Calibri" w:cs="Calibri"/>
            <w:b/>
            <w:bCs/>
            <w:noProof/>
          </w:rPr>
          <w:t>Figure 33.</w:t>
        </w:r>
        <w:r w:rsidR="00727BBB" w:rsidRPr="00D569D4">
          <w:rPr>
            <w:rStyle w:val="Hyperlink"/>
            <w:rFonts w:ascii="Calibri" w:hAnsi="Calibri" w:cs="Calibri"/>
            <w:noProof/>
          </w:rPr>
          <w:t xml:space="preserve"> </w:t>
        </w:r>
        <w:r w:rsidR="00727BBB" w:rsidRPr="00D569D4">
          <w:rPr>
            <w:rStyle w:val="Hyperlink"/>
            <w:rFonts w:ascii="Calibri" w:hAnsi="Calibri" w:cs="Calibri"/>
            <w:b/>
            <w:bCs/>
            <w:noProof/>
          </w:rPr>
          <w:t>Migration assays.</w:t>
        </w:r>
        <w:r w:rsidR="00727BBB" w:rsidRPr="00D569D4">
          <w:rPr>
            <w:rStyle w:val="Hyperlink"/>
            <w:rFonts w:ascii="Calibri" w:hAnsi="Calibri" w:cs="Calibri"/>
            <w:noProof/>
          </w:rPr>
          <w:t xml:space="preserve"> (A) Expression of the transcription factor Slug was analyzed using western blot in OVCAR-3 and OVCAR-8 both as monolayer cells and as spheroids (initiation cell number of 200). Housekeeping vinculin was included for total protein loading control. (B) Wound closure of OVCAR-3 and OVCAR-8 monolayers at 6 h, 24 h and 48 h. Scale bar is 200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(C) Area closure was quantified from a total of 9 different regions for both cell lines. (D) Schematic depiction of the migration assay for spheroids. (E) 6-days old OVCAR-3 and OVCAR-8 spheroids were plated on the 6-well plates and imaged at 6-24 and 48 h after seeding. (F) Area of the spheroids and migration area was quantified at 6-24 and 48 h using ImageJ. Scale bar is 100 </w:t>
        </w:r>
        <w:r w:rsidR="00727BBB" w:rsidRPr="00D569D4">
          <w:rPr>
            <w:rStyle w:val="Hyperlink"/>
            <w:rFonts w:ascii="Symbol" w:hAnsi="Symbol" w:cs="Calibri"/>
            <w:noProof/>
          </w:rPr>
          <w:t></w:t>
        </w:r>
        <w:r w:rsidR="00727BBB" w:rsidRPr="00D569D4">
          <w:rPr>
            <w:rStyle w:val="Hyperlink"/>
            <w:rFonts w:ascii="Calibri" w:hAnsi="Calibri" w:cs="Calibri"/>
            <w:noProof/>
          </w:rPr>
          <w:t xml:space="preserve">m. </w:t>
        </w:r>
        <w:r w:rsidR="00727BBB" w:rsidRPr="00D569D4">
          <w:rPr>
            <w:rStyle w:val="Hyperlink"/>
            <w:rFonts w:ascii="Calibri" w:hAnsi="Calibri" w:cs="Calibri"/>
            <w:noProof/>
          </w:rPr>
          <w:lastRenderedPageBreak/>
          <w:t xml:space="preserve">Total of 15 spheroids were analyzed from each group by randomly choosing 5 spheroids from 3 independent experiments. Statistical analysis was done by 2-way ANOVA test, </w:t>
        </w:r>
        <w:r w:rsidR="00727BBB" w:rsidRPr="00D569D4">
          <w:rPr>
            <w:rStyle w:val="Hyperlink"/>
            <w:rFonts w:ascii="Calibri" w:eastAsia="Times New Roman" w:hAnsi="Calibri" w:cs="Calibri"/>
            <w:noProof/>
          </w:rPr>
          <w:t>****</w:t>
        </w:r>
        <w:r w:rsidR="00727BBB" w:rsidRPr="00D569D4">
          <w:rPr>
            <w:rStyle w:val="Hyperlink"/>
            <w:rFonts w:ascii="Calibri" w:hAnsi="Calibri" w:cs="Calibri"/>
            <w:noProof/>
          </w:rPr>
          <w:t xml:space="preserve"> p&lt;0.0001, </w:t>
        </w:r>
        <w:r w:rsidR="00727BBB" w:rsidRPr="00D569D4">
          <w:rPr>
            <w:rStyle w:val="Hyperlink"/>
            <w:rFonts w:ascii="Calibri" w:eastAsia="Times New Roman" w:hAnsi="Calibri" w:cs="Calibri"/>
            <w:noProof/>
          </w:rPr>
          <w:t>* p&lt;0.1.</w:t>
        </w:r>
        <w:r w:rsidR="00727BBB">
          <w:rPr>
            <w:noProof/>
            <w:webHidden/>
          </w:rPr>
          <w:tab/>
        </w:r>
        <w:r w:rsidR="00727BBB">
          <w:rPr>
            <w:noProof/>
            <w:webHidden/>
          </w:rPr>
          <w:fldChar w:fldCharType="begin"/>
        </w:r>
        <w:r w:rsidR="00727BBB">
          <w:rPr>
            <w:noProof/>
            <w:webHidden/>
          </w:rPr>
          <w:instrText xml:space="preserve"> PAGEREF _Toc120789451 \h </w:instrText>
        </w:r>
        <w:r w:rsidR="00727BBB">
          <w:rPr>
            <w:noProof/>
            <w:webHidden/>
          </w:rPr>
        </w:r>
        <w:r w:rsidR="00727BBB">
          <w:rPr>
            <w:noProof/>
            <w:webHidden/>
          </w:rPr>
          <w:fldChar w:fldCharType="separate"/>
        </w:r>
        <w:r w:rsidR="00727BBB">
          <w:rPr>
            <w:noProof/>
            <w:webHidden/>
          </w:rPr>
          <w:t>117</w:t>
        </w:r>
        <w:r w:rsidR="00727BBB">
          <w:rPr>
            <w:noProof/>
            <w:webHidden/>
          </w:rPr>
          <w:fldChar w:fldCharType="end"/>
        </w:r>
      </w:hyperlink>
    </w:p>
    <w:p w14:paraId="51EB03E8" w14:textId="2D06F982" w:rsidR="00727BBB" w:rsidRDefault="00000000" w:rsidP="00727BBB">
      <w:pPr>
        <w:pStyle w:val="TableofFigures"/>
        <w:tabs>
          <w:tab w:val="right" w:leader="dot" w:pos="9350"/>
        </w:tabs>
        <w:spacing w:line="480" w:lineRule="auto"/>
        <w:jc w:val="both"/>
        <w:rPr>
          <w:rFonts w:eastAsiaTheme="minorEastAsia"/>
          <w:noProof/>
        </w:rPr>
      </w:pPr>
      <w:hyperlink w:anchor="_Toc120789452" w:history="1">
        <w:r w:rsidR="00727BBB" w:rsidRPr="00D569D4">
          <w:rPr>
            <w:rStyle w:val="Hyperlink"/>
            <w:rFonts w:ascii="Calibri" w:hAnsi="Calibri" w:cs="Calibri"/>
            <w:b/>
            <w:bCs/>
            <w:noProof/>
          </w:rPr>
          <w:t>Figure 34</w:t>
        </w:r>
        <w:r w:rsidR="00727BBB" w:rsidRPr="00D569D4">
          <w:rPr>
            <w:rStyle w:val="Hyperlink"/>
            <w:rFonts w:ascii="Calibri" w:hAnsi="Calibri" w:cs="Calibri"/>
            <w:noProof/>
          </w:rPr>
          <w:t xml:space="preserve"> </w:t>
        </w:r>
        <w:r w:rsidR="00727BBB" w:rsidRPr="00D569D4">
          <w:rPr>
            <w:rStyle w:val="Hyperlink"/>
            <w:rFonts w:ascii="Calibri" w:hAnsi="Calibri" w:cs="Calibri"/>
            <w:b/>
            <w:bCs/>
            <w:noProof/>
          </w:rPr>
          <w:t>EMT6 spheroid formation and characterization.</w:t>
        </w:r>
        <w:r w:rsidR="00727BBB" w:rsidRPr="00D569D4">
          <w:rPr>
            <w:rStyle w:val="Hyperlink"/>
            <w:rFonts w:ascii="Calibri" w:hAnsi="Calibri" w:cs="Calibri"/>
            <w:noProof/>
          </w:rPr>
          <w:t xml:space="preserve"> A. Schematic explanation of ultra-low attachment spheroid formation. B. Representative brightfield images of EMT6 spheroids for 7 days. C. Spheroid area, D. Circularity, and E. Solidity of spheroids for 7 days. The scale bar is 500 </w:t>
        </w:r>
        <w:r w:rsidR="00727BBB" w:rsidRPr="00D569D4">
          <w:rPr>
            <w:rStyle w:val="Hyperlink"/>
            <w:rFonts w:ascii="Symbol" w:hAnsi="Symbol" w:cs="Calibri"/>
            <w:noProof/>
          </w:rPr>
          <w:t></w:t>
        </w:r>
        <w:r w:rsidR="00727BBB" w:rsidRPr="00D569D4">
          <w:rPr>
            <w:rStyle w:val="Hyperlink"/>
            <w:rFonts w:ascii="Calibri" w:hAnsi="Calibri" w:cs="Calibri"/>
            <w:noProof/>
          </w:rPr>
          <w:t>m.</w:t>
        </w:r>
        <w:r w:rsidR="00727BBB">
          <w:rPr>
            <w:noProof/>
            <w:webHidden/>
          </w:rPr>
          <w:tab/>
        </w:r>
        <w:r w:rsidR="00727BBB">
          <w:rPr>
            <w:noProof/>
            <w:webHidden/>
          </w:rPr>
          <w:fldChar w:fldCharType="begin"/>
        </w:r>
        <w:r w:rsidR="00727BBB">
          <w:rPr>
            <w:noProof/>
            <w:webHidden/>
          </w:rPr>
          <w:instrText xml:space="preserve"> PAGEREF _Toc120789452 \h </w:instrText>
        </w:r>
        <w:r w:rsidR="00727BBB">
          <w:rPr>
            <w:noProof/>
            <w:webHidden/>
          </w:rPr>
        </w:r>
        <w:r w:rsidR="00727BBB">
          <w:rPr>
            <w:noProof/>
            <w:webHidden/>
          </w:rPr>
          <w:fldChar w:fldCharType="separate"/>
        </w:r>
        <w:r w:rsidR="00727BBB">
          <w:rPr>
            <w:noProof/>
            <w:webHidden/>
          </w:rPr>
          <w:t>125</w:t>
        </w:r>
        <w:r w:rsidR="00727BBB">
          <w:rPr>
            <w:noProof/>
            <w:webHidden/>
          </w:rPr>
          <w:fldChar w:fldCharType="end"/>
        </w:r>
      </w:hyperlink>
    </w:p>
    <w:p w14:paraId="4001B472" w14:textId="57076C6D" w:rsidR="00727BBB" w:rsidRDefault="00000000" w:rsidP="00727BBB">
      <w:pPr>
        <w:pStyle w:val="TableofFigures"/>
        <w:tabs>
          <w:tab w:val="right" w:leader="dot" w:pos="9350"/>
        </w:tabs>
        <w:spacing w:line="480" w:lineRule="auto"/>
        <w:jc w:val="both"/>
        <w:rPr>
          <w:rFonts w:eastAsiaTheme="minorEastAsia"/>
          <w:noProof/>
        </w:rPr>
      </w:pPr>
      <w:hyperlink w:anchor="_Toc120789453" w:history="1">
        <w:r w:rsidR="00727BBB" w:rsidRPr="00D569D4">
          <w:rPr>
            <w:rStyle w:val="Hyperlink"/>
            <w:rFonts w:ascii="Calibri" w:hAnsi="Calibri" w:cs="Calibri"/>
            <w:b/>
            <w:bCs/>
            <w:noProof/>
          </w:rPr>
          <w:t>Figure 35 [II] aggregation induces controllable membrane damage in the EMT6 spheroid model.</w:t>
        </w:r>
        <w:r w:rsidR="00727BBB" w:rsidRPr="00D569D4">
          <w:rPr>
            <w:rStyle w:val="Hyperlink"/>
            <w:rFonts w:ascii="Calibri" w:hAnsi="Calibri" w:cs="Calibri"/>
            <w:noProof/>
          </w:rPr>
          <w:t xml:space="preserve"> Relative viability measurements of A. 1 mM, B. 0.75 mM, and C. 0.5 mM [II] peptide prepared in different albumin concentrations at 24h. LDH release measurements of D. 1 mM, E. 0.75 mM, and F. 0.5 mM [II] peptide prepared in different albumin concentrations at 24h. G. ThT measurement of 1 mM, 0.75 mM, and 0.5 mM [II] peptide prepared in 1% albumin. H. Schematic showing the transition from aggregated state to fibrillar structure with increasing peptide concentration. I. Comparison of LDH release of 1 mM, 0.75 mM, and 0.5 mM [II] peptide prepared in 1% albumin. J. Representative calcein (green) and propidium iodide (red) images of spheroids treated with 1 mM, 0.75 mM, and 0.5 mM [II] peptide prepared in 1% albumin. Statistical analysis was done with a one-way ANOVA test; data are mean ± SD, **p&lt;0.01. The scale bar is 500 </w:t>
        </w:r>
        <w:r w:rsidR="00727BBB" w:rsidRPr="00D569D4">
          <w:rPr>
            <w:rStyle w:val="Hyperlink"/>
            <w:rFonts w:ascii="Symbol" w:hAnsi="Symbol" w:cs="Calibri"/>
            <w:noProof/>
          </w:rPr>
          <w:t></w:t>
        </w:r>
        <w:r w:rsidR="00727BBB" w:rsidRPr="00D569D4">
          <w:rPr>
            <w:rStyle w:val="Hyperlink"/>
            <w:rFonts w:ascii="Calibri" w:hAnsi="Calibri" w:cs="Calibri"/>
            <w:noProof/>
          </w:rPr>
          <w:t>m.</w:t>
        </w:r>
        <w:r w:rsidR="00727BBB">
          <w:rPr>
            <w:noProof/>
            <w:webHidden/>
          </w:rPr>
          <w:tab/>
        </w:r>
        <w:r w:rsidR="00727BBB">
          <w:rPr>
            <w:noProof/>
            <w:webHidden/>
          </w:rPr>
          <w:fldChar w:fldCharType="begin"/>
        </w:r>
        <w:r w:rsidR="00727BBB">
          <w:rPr>
            <w:noProof/>
            <w:webHidden/>
          </w:rPr>
          <w:instrText xml:space="preserve"> PAGEREF _Toc120789453 \h </w:instrText>
        </w:r>
        <w:r w:rsidR="00727BBB">
          <w:rPr>
            <w:noProof/>
            <w:webHidden/>
          </w:rPr>
        </w:r>
        <w:r w:rsidR="00727BBB">
          <w:rPr>
            <w:noProof/>
            <w:webHidden/>
          </w:rPr>
          <w:fldChar w:fldCharType="separate"/>
        </w:r>
        <w:r w:rsidR="00727BBB">
          <w:rPr>
            <w:noProof/>
            <w:webHidden/>
          </w:rPr>
          <w:t>129</w:t>
        </w:r>
        <w:r w:rsidR="00727BBB">
          <w:rPr>
            <w:noProof/>
            <w:webHidden/>
          </w:rPr>
          <w:fldChar w:fldCharType="end"/>
        </w:r>
      </w:hyperlink>
    </w:p>
    <w:p w14:paraId="1C74591A" w14:textId="1A92A24C" w:rsidR="00727BBB" w:rsidRDefault="00000000" w:rsidP="00727BBB">
      <w:pPr>
        <w:pStyle w:val="TableofFigures"/>
        <w:tabs>
          <w:tab w:val="right" w:leader="dot" w:pos="9350"/>
        </w:tabs>
        <w:spacing w:line="480" w:lineRule="auto"/>
        <w:jc w:val="both"/>
        <w:rPr>
          <w:rFonts w:eastAsiaTheme="minorEastAsia"/>
          <w:noProof/>
        </w:rPr>
      </w:pPr>
      <w:hyperlink w:anchor="_Toc120789454" w:history="1">
        <w:r w:rsidR="00727BBB" w:rsidRPr="00D569D4">
          <w:rPr>
            <w:rStyle w:val="Hyperlink"/>
            <w:rFonts w:ascii="Calibri" w:hAnsi="Calibri" w:cs="Calibri"/>
            <w:b/>
            <w:bCs/>
            <w:noProof/>
          </w:rPr>
          <w:t>Figure 36 IC</w:t>
        </w:r>
        <w:r w:rsidR="00727BBB" w:rsidRPr="00D569D4">
          <w:rPr>
            <w:rStyle w:val="Hyperlink"/>
            <w:rFonts w:ascii="Calibri" w:hAnsi="Calibri" w:cs="Calibri"/>
            <w:b/>
            <w:bCs/>
            <w:noProof/>
            <w:vertAlign w:val="subscript"/>
          </w:rPr>
          <w:t>50</w:t>
        </w:r>
        <w:r w:rsidR="00727BBB" w:rsidRPr="00D569D4">
          <w:rPr>
            <w:rStyle w:val="Hyperlink"/>
            <w:rFonts w:ascii="Calibri" w:hAnsi="Calibri" w:cs="Calibri"/>
            <w:b/>
            <w:bCs/>
            <w:noProof/>
          </w:rPr>
          <w:t xml:space="preserve"> values of chemotherapeutics in monolayer and spheroid culture.</w:t>
        </w:r>
        <w:r w:rsidR="00727BBB" w:rsidRPr="00D569D4">
          <w:rPr>
            <w:rStyle w:val="Hyperlink"/>
            <w:rFonts w:ascii="Calibri" w:hAnsi="Calibri" w:cs="Calibri"/>
            <w:noProof/>
          </w:rPr>
          <w:t xml:space="preserve"> A. IC</w:t>
        </w:r>
        <w:r w:rsidR="00727BBB" w:rsidRPr="00D569D4">
          <w:rPr>
            <w:rStyle w:val="Hyperlink"/>
            <w:rFonts w:ascii="Calibri" w:hAnsi="Calibri" w:cs="Calibri"/>
            <w:noProof/>
            <w:vertAlign w:val="subscript"/>
          </w:rPr>
          <w:t>50</w:t>
        </w:r>
        <w:r w:rsidR="00727BBB" w:rsidRPr="00D569D4">
          <w:rPr>
            <w:rStyle w:val="Hyperlink"/>
            <w:rFonts w:ascii="Calibri" w:hAnsi="Calibri" w:cs="Calibri"/>
            <w:noProof/>
          </w:rPr>
          <w:t xml:space="preserve"> values of mitoxantrone and cisplatin on monolayer culture at 24h. The scale bar is 50 </w:t>
        </w:r>
        <w:r w:rsidR="00727BBB" w:rsidRPr="00D569D4">
          <w:rPr>
            <w:rStyle w:val="Hyperlink"/>
            <w:rFonts w:ascii="Symbol" w:hAnsi="Symbol" w:cs="Calibri"/>
            <w:noProof/>
          </w:rPr>
          <w:t></w:t>
        </w:r>
        <w:r w:rsidR="00727BBB" w:rsidRPr="00D569D4">
          <w:rPr>
            <w:rStyle w:val="Hyperlink"/>
            <w:rFonts w:ascii="Calibri" w:hAnsi="Calibri" w:cs="Calibri"/>
            <w:noProof/>
          </w:rPr>
          <w:t>m. B. IC</w:t>
        </w:r>
        <w:r w:rsidR="00727BBB" w:rsidRPr="00D569D4">
          <w:rPr>
            <w:rStyle w:val="Hyperlink"/>
            <w:rFonts w:ascii="Calibri" w:hAnsi="Calibri" w:cs="Calibri"/>
            <w:noProof/>
            <w:vertAlign w:val="subscript"/>
          </w:rPr>
          <w:t>50</w:t>
        </w:r>
        <w:r w:rsidR="00727BBB" w:rsidRPr="00D569D4">
          <w:rPr>
            <w:rStyle w:val="Hyperlink"/>
            <w:rFonts w:ascii="Calibri" w:hAnsi="Calibri" w:cs="Calibri"/>
            <w:noProof/>
          </w:rPr>
          <w:t xml:space="preserve"> values of mitoxantrone and cisplatin on spheroid culture at 24h. The scale bar is 250 </w:t>
        </w:r>
        <w:r w:rsidR="00727BBB" w:rsidRPr="00D569D4">
          <w:rPr>
            <w:rStyle w:val="Hyperlink"/>
            <w:rFonts w:ascii="Symbol" w:hAnsi="Symbol" w:cs="Calibri"/>
            <w:noProof/>
          </w:rPr>
          <w:t></w:t>
        </w:r>
        <w:r w:rsidR="00727BBB" w:rsidRPr="00D569D4">
          <w:rPr>
            <w:rStyle w:val="Hyperlink"/>
            <w:rFonts w:ascii="Calibri" w:hAnsi="Calibri" w:cs="Calibri"/>
            <w:noProof/>
          </w:rPr>
          <w:t>m.</w:t>
        </w:r>
        <w:r w:rsidR="00727BBB">
          <w:rPr>
            <w:noProof/>
            <w:webHidden/>
          </w:rPr>
          <w:tab/>
        </w:r>
        <w:r w:rsidR="00727BBB">
          <w:rPr>
            <w:noProof/>
            <w:webHidden/>
          </w:rPr>
          <w:fldChar w:fldCharType="begin"/>
        </w:r>
        <w:r w:rsidR="00727BBB">
          <w:rPr>
            <w:noProof/>
            <w:webHidden/>
          </w:rPr>
          <w:instrText xml:space="preserve"> PAGEREF _Toc120789454 \h </w:instrText>
        </w:r>
        <w:r w:rsidR="00727BBB">
          <w:rPr>
            <w:noProof/>
            <w:webHidden/>
          </w:rPr>
        </w:r>
        <w:r w:rsidR="00727BBB">
          <w:rPr>
            <w:noProof/>
            <w:webHidden/>
          </w:rPr>
          <w:fldChar w:fldCharType="separate"/>
        </w:r>
        <w:r w:rsidR="00727BBB">
          <w:rPr>
            <w:noProof/>
            <w:webHidden/>
          </w:rPr>
          <w:t>131</w:t>
        </w:r>
        <w:r w:rsidR="00727BBB">
          <w:rPr>
            <w:noProof/>
            <w:webHidden/>
          </w:rPr>
          <w:fldChar w:fldCharType="end"/>
        </w:r>
      </w:hyperlink>
    </w:p>
    <w:p w14:paraId="368AEC33" w14:textId="1F6FF488" w:rsidR="00727BBB" w:rsidRDefault="00000000" w:rsidP="00727BBB">
      <w:pPr>
        <w:pStyle w:val="TableofFigures"/>
        <w:tabs>
          <w:tab w:val="right" w:leader="dot" w:pos="9350"/>
        </w:tabs>
        <w:spacing w:line="480" w:lineRule="auto"/>
        <w:jc w:val="both"/>
        <w:rPr>
          <w:rFonts w:eastAsiaTheme="minorEastAsia"/>
          <w:noProof/>
        </w:rPr>
      </w:pPr>
      <w:hyperlink w:anchor="_Toc120789455" w:history="1">
        <w:r w:rsidR="00727BBB" w:rsidRPr="00D569D4">
          <w:rPr>
            <w:rStyle w:val="Hyperlink"/>
            <w:rFonts w:ascii="Calibri" w:hAnsi="Calibri" w:cs="Calibri"/>
            <w:b/>
            <w:bCs/>
            <w:noProof/>
          </w:rPr>
          <w:t>Figure 37 DAMP release from EMT6 spheroids.</w:t>
        </w:r>
        <w:r w:rsidR="00727BBB" w:rsidRPr="00D569D4">
          <w:rPr>
            <w:rStyle w:val="Hyperlink"/>
            <w:rFonts w:ascii="Calibri" w:hAnsi="Calibri" w:cs="Calibri"/>
            <w:noProof/>
          </w:rPr>
          <w:t xml:space="preserve"> A. Release of LDH, B. Extracellular ATP, C. dsDNA, and D. HMGB-1 after [II], mitoxantrone, and cisplatin treatment at 24h. E. Schematic represents the DAMPs released by [II] aggregation. Statistical analysis was done with one-way ANOVA test; data are mean ± SD, **p&lt;0.01, ***p&lt;0.001, ****p&lt;0.0001.</w:t>
        </w:r>
        <w:r w:rsidR="00727BBB">
          <w:rPr>
            <w:noProof/>
            <w:webHidden/>
          </w:rPr>
          <w:tab/>
        </w:r>
        <w:r w:rsidR="00727BBB">
          <w:rPr>
            <w:noProof/>
            <w:webHidden/>
          </w:rPr>
          <w:fldChar w:fldCharType="begin"/>
        </w:r>
        <w:r w:rsidR="00727BBB">
          <w:rPr>
            <w:noProof/>
            <w:webHidden/>
          </w:rPr>
          <w:instrText xml:space="preserve"> PAGEREF _Toc120789455 \h </w:instrText>
        </w:r>
        <w:r w:rsidR="00727BBB">
          <w:rPr>
            <w:noProof/>
            <w:webHidden/>
          </w:rPr>
        </w:r>
        <w:r w:rsidR="00727BBB">
          <w:rPr>
            <w:noProof/>
            <w:webHidden/>
          </w:rPr>
          <w:fldChar w:fldCharType="separate"/>
        </w:r>
        <w:r w:rsidR="00727BBB">
          <w:rPr>
            <w:noProof/>
            <w:webHidden/>
          </w:rPr>
          <w:t>134</w:t>
        </w:r>
        <w:r w:rsidR="00727BBB">
          <w:rPr>
            <w:noProof/>
            <w:webHidden/>
          </w:rPr>
          <w:fldChar w:fldCharType="end"/>
        </w:r>
      </w:hyperlink>
    </w:p>
    <w:p w14:paraId="0A942B62" w14:textId="4D3B0826" w:rsidR="00727BBB" w:rsidRDefault="00000000" w:rsidP="00727BBB">
      <w:pPr>
        <w:pStyle w:val="TableofFigures"/>
        <w:tabs>
          <w:tab w:val="right" w:leader="dot" w:pos="9350"/>
        </w:tabs>
        <w:spacing w:line="480" w:lineRule="auto"/>
        <w:jc w:val="both"/>
        <w:rPr>
          <w:rFonts w:eastAsiaTheme="minorEastAsia"/>
          <w:noProof/>
        </w:rPr>
      </w:pPr>
      <w:hyperlink w:anchor="_Toc120789456" w:history="1">
        <w:r w:rsidR="00727BBB" w:rsidRPr="00D569D4">
          <w:rPr>
            <w:rStyle w:val="Hyperlink"/>
            <w:rFonts w:ascii="Calibri" w:hAnsi="Calibri" w:cs="Calibri"/>
            <w:b/>
            <w:bCs/>
            <w:noProof/>
          </w:rPr>
          <w:t>Figure 38 [II] aggregation-induced DAMP release activates BMDCs.</w:t>
        </w:r>
        <w:r w:rsidR="00727BBB" w:rsidRPr="00D569D4">
          <w:rPr>
            <w:rStyle w:val="Hyperlink"/>
            <w:rFonts w:ascii="Calibri" w:hAnsi="Calibri" w:cs="Calibri"/>
            <w:noProof/>
          </w:rPr>
          <w:t xml:space="preserve"> A. Experimental plan for the treatment of BMDCs with tumor spheroid conditioned mediums. B. Release of IL-6, C. IL-1</w:t>
        </w:r>
        <w:r w:rsidR="00727BBB" w:rsidRPr="00D569D4">
          <w:rPr>
            <w:rStyle w:val="Hyperlink"/>
            <w:rFonts w:ascii="Symbol" w:hAnsi="Symbol" w:cs="Calibri"/>
            <w:noProof/>
          </w:rPr>
          <w:t></w:t>
        </w:r>
        <w:r w:rsidR="00727BBB" w:rsidRPr="00D569D4">
          <w:rPr>
            <w:rStyle w:val="Hyperlink"/>
            <w:rFonts w:ascii="Calibri" w:hAnsi="Calibri" w:cs="Calibri"/>
            <w:noProof/>
          </w:rPr>
          <w:t>, and D. IL-10, from BMDCs at 6h and 24h after tumor spheroid conditioned medium treatment. Statistical analysis was done with two-way ANOVA test; data are mean ± SD, *p&lt;0.1, ****p&lt;0.0001.</w:t>
        </w:r>
        <w:r w:rsidR="00727BBB">
          <w:rPr>
            <w:noProof/>
            <w:webHidden/>
          </w:rPr>
          <w:tab/>
        </w:r>
        <w:r w:rsidR="00727BBB">
          <w:rPr>
            <w:noProof/>
            <w:webHidden/>
          </w:rPr>
          <w:fldChar w:fldCharType="begin"/>
        </w:r>
        <w:r w:rsidR="00727BBB">
          <w:rPr>
            <w:noProof/>
            <w:webHidden/>
          </w:rPr>
          <w:instrText xml:space="preserve"> PAGEREF _Toc120789456 \h </w:instrText>
        </w:r>
        <w:r w:rsidR="00727BBB">
          <w:rPr>
            <w:noProof/>
            <w:webHidden/>
          </w:rPr>
        </w:r>
        <w:r w:rsidR="00727BBB">
          <w:rPr>
            <w:noProof/>
            <w:webHidden/>
          </w:rPr>
          <w:fldChar w:fldCharType="separate"/>
        </w:r>
        <w:r w:rsidR="00727BBB">
          <w:rPr>
            <w:noProof/>
            <w:webHidden/>
          </w:rPr>
          <w:t>135</w:t>
        </w:r>
        <w:r w:rsidR="00727BBB">
          <w:rPr>
            <w:noProof/>
            <w:webHidden/>
          </w:rPr>
          <w:fldChar w:fldCharType="end"/>
        </w:r>
      </w:hyperlink>
    </w:p>
    <w:p w14:paraId="715113AF" w14:textId="73436487" w:rsidR="00727BBB" w:rsidRDefault="00000000" w:rsidP="00727BBB">
      <w:pPr>
        <w:pStyle w:val="TableofFigures"/>
        <w:tabs>
          <w:tab w:val="right" w:leader="dot" w:pos="9350"/>
        </w:tabs>
        <w:spacing w:line="480" w:lineRule="auto"/>
        <w:jc w:val="both"/>
        <w:rPr>
          <w:rFonts w:eastAsiaTheme="minorEastAsia"/>
          <w:noProof/>
        </w:rPr>
      </w:pPr>
      <w:hyperlink w:anchor="_Toc120789457" w:history="1">
        <w:r w:rsidR="00727BBB" w:rsidRPr="00D569D4">
          <w:rPr>
            <w:rStyle w:val="Hyperlink"/>
            <w:rFonts w:ascii="Calibri" w:hAnsi="Calibri" w:cs="Calibri"/>
            <w:b/>
            <w:bCs/>
            <w:noProof/>
          </w:rPr>
          <w:t>Figure 39  [II] treated spheroid conditioned medium is not cytotoxic to BMDCs.</w:t>
        </w:r>
        <w:r w:rsidR="00727BBB" w:rsidRPr="00D569D4">
          <w:rPr>
            <w:rStyle w:val="Hyperlink"/>
            <w:rFonts w:ascii="Calibri" w:hAnsi="Calibri" w:cs="Calibri"/>
            <w:noProof/>
          </w:rPr>
          <w:t xml:space="preserve"> A. Schematic of the design for the viability measurement of BMDCs. B. Viability measurement of BMDCs after incubation with spheroid conditioned mediums at 24h. C. Viability and D. LDH and E. IL-1</w:t>
        </w:r>
        <w:r w:rsidR="00727BBB" w:rsidRPr="00D569D4">
          <w:rPr>
            <w:rStyle w:val="Hyperlink"/>
            <w:rFonts w:ascii="Symbol" w:hAnsi="Symbol" w:cs="Calibri"/>
            <w:noProof/>
          </w:rPr>
          <w:t></w:t>
        </w:r>
        <w:r w:rsidR="00727BBB" w:rsidRPr="00D569D4">
          <w:rPr>
            <w:rStyle w:val="Hyperlink"/>
            <w:rFonts w:ascii="Calibri" w:hAnsi="Calibri" w:cs="Calibri"/>
            <w:noProof/>
          </w:rPr>
          <w:t xml:space="preserve"> release (6h) of BMDCs after [II] peptide treatment. Statistical analysis was done with one-way ANOVA (B and E) and two-way ANOVA tests (C and D); data are mean ± SD, ****p&lt;0.0001.</w:t>
        </w:r>
        <w:r w:rsidR="00727BBB">
          <w:rPr>
            <w:noProof/>
            <w:webHidden/>
          </w:rPr>
          <w:tab/>
        </w:r>
        <w:r w:rsidR="00727BBB">
          <w:rPr>
            <w:noProof/>
            <w:webHidden/>
          </w:rPr>
          <w:fldChar w:fldCharType="begin"/>
        </w:r>
        <w:r w:rsidR="00727BBB">
          <w:rPr>
            <w:noProof/>
            <w:webHidden/>
          </w:rPr>
          <w:instrText xml:space="preserve"> PAGEREF _Toc120789457 \h </w:instrText>
        </w:r>
        <w:r w:rsidR="00727BBB">
          <w:rPr>
            <w:noProof/>
            <w:webHidden/>
          </w:rPr>
        </w:r>
        <w:r w:rsidR="00727BBB">
          <w:rPr>
            <w:noProof/>
            <w:webHidden/>
          </w:rPr>
          <w:fldChar w:fldCharType="separate"/>
        </w:r>
        <w:r w:rsidR="00727BBB">
          <w:rPr>
            <w:noProof/>
            <w:webHidden/>
          </w:rPr>
          <w:t>137</w:t>
        </w:r>
        <w:r w:rsidR="00727BBB">
          <w:rPr>
            <w:noProof/>
            <w:webHidden/>
          </w:rPr>
          <w:fldChar w:fldCharType="end"/>
        </w:r>
      </w:hyperlink>
    </w:p>
    <w:p w14:paraId="1DE6393B" w14:textId="479CF2A7" w:rsidR="00545A19" w:rsidRDefault="00AC547B" w:rsidP="00727BBB">
      <w:pPr>
        <w:spacing w:line="480" w:lineRule="auto"/>
        <w:jc w:val="both"/>
        <w:rPr>
          <w:rFonts w:ascii="Calibri" w:hAnsi="Calibri" w:cs="Calibri"/>
        </w:rPr>
      </w:pPr>
      <w:r w:rsidRPr="00727BBB">
        <w:rPr>
          <w:rFonts w:ascii="Calibri" w:hAnsi="Calibri" w:cs="Calibri"/>
        </w:rPr>
        <w:fldChar w:fldCharType="end"/>
      </w:r>
    </w:p>
    <w:p w14:paraId="6B15CF26" w14:textId="3EB8E6E1" w:rsidR="001F0EC9" w:rsidRDefault="001F0EC9" w:rsidP="00727BBB">
      <w:pPr>
        <w:spacing w:line="480" w:lineRule="auto"/>
        <w:jc w:val="both"/>
        <w:rPr>
          <w:rFonts w:ascii="Calibri" w:hAnsi="Calibri" w:cs="Calibri"/>
        </w:rPr>
      </w:pPr>
    </w:p>
    <w:p w14:paraId="567E2C2A" w14:textId="30601B8F" w:rsidR="001F0EC9" w:rsidRDefault="001F0EC9" w:rsidP="00727BBB">
      <w:pPr>
        <w:spacing w:line="480" w:lineRule="auto"/>
        <w:jc w:val="both"/>
        <w:rPr>
          <w:rFonts w:ascii="Calibri" w:hAnsi="Calibri" w:cs="Calibri"/>
        </w:rPr>
      </w:pPr>
    </w:p>
    <w:p w14:paraId="720DF884" w14:textId="1E56AB5F" w:rsidR="001F0EC9" w:rsidRDefault="001F0EC9" w:rsidP="00727BBB">
      <w:pPr>
        <w:spacing w:line="480" w:lineRule="auto"/>
        <w:jc w:val="both"/>
        <w:rPr>
          <w:rFonts w:ascii="Calibri" w:hAnsi="Calibri" w:cs="Calibri"/>
        </w:rPr>
      </w:pPr>
    </w:p>
    <w:p w14:paraId="7DF92251" w14:textId="693002DA" w:rsidR="001F0EC9" w:rsidRDefault="001F0EC9" w:rsidP="00727BBB">
      <w:pPr>
        <w:spacing w:line="480" w:lineRule="auto"/>
        <w:jc w:val="both"/>
        <w:rPr>
          <w:rFonts w:ascii="Calibri" w:hAnsi="Calibri" w:cs="Calibri"/>
        </w:rPr>
      </w:pPr>
    </w:p>
    <w:p w14:paraId="71EA6372" w14:textId="77777777" w:rsidR="001F0EC9" w:rsidRPr="002A7128" w:rsidRDefault="001F0EC9" w:rsidP="00727BBB">
      <w:pPr>
        <w:spacing w:line="480" w:lineRule="auto"/>
        <w:jc w:val="both"/>
        <w:rPr>
          <w:rFonts w:ascii="Calibri" w:hAnsi="Calibri" w:cs="Calibri"/>
        </w:rPr>
      </w:pPr>
    </w:p>
    <w:p w14:paraId="15C5D014" w14:textId="0DC80567" w:rsidR="004174F0" w:rsidRPr="002A7128" w:rsidRDefault="00664501" w:rsidP="00727BBB">
      <w:pPr>
        <w:pStyle w:val="Heading1"/>
        <w:spacing w:line="480" w:lineRule="auto"/>
        <w:jc w:val="both"/>
        <w:rPr>
          <w:rFonts w:ascii="Calibri" w:hAnsi="Calibri" w:cs="Calibri"/>
        </w:rPr>
      </w:pPr>
      <w:bookmarkStart w:id="3" w:name="_Toc120794116"/>
      <w:r w:rsidRPr="002A7128">
        <w:rPr>
          <w:rFonts w:ascii="Calibri" w:hAnsi="Calibri" w:cs="Calibri"/>
        </w:rPr>
        <w:lastRenderedPageBreak/>
        <w:t>List of Tables</w:t>
      </w:r>
      <w:bookmarkEnd w:id="3"/>
    </w:p>
    <w:p w14:paraId="0DF43A1D" w14:textId="363D002F" w:rsidR="00167C54" w:rsidRDefault="00664501" w:rsidP="00727BBB">
      <w:pPr>
        <w:pStyle w:val="TableofFigures"/>
        <w:tabs>
          <w:tab w:val="right" w:leader="dot" w:pos="9350"/>
        </w:tabs>
        <w:spacing w:line="480" w:lineRule="auto"/>
        <w:jc w:val="both"/>
        <w:rPr>
          <w:rFonts w:eastAsiaTheme="minorEastAsia"/>
          <w:noProof/>
        </w:rPr>
      </w:pPr>
      <w:r w:rsidRPr="002A7128">
        <w:rPr>
          <w:rFonts w:ascii="Calibri" w:hAnsi="Calibri" w:cs="Calibri"/>
        </w:rPr>
        <w:fldChar w:fldCharType="begin"/>
      </w:r>
      <w:r w:rsidRPr="002A7128">
        <w:rPr>
          <w:rFonts w:ascii="Calibri" w:hAnsi="Calibri" w:cs="Calibri"/>
        </w:rPr>
        <w:instrText xml:space="preserve"> TOC \h \z \c "Table" </w:instrText>
      </w:r>
      <w:r w:rsidRPr="002A7128">
        <w:rPr>
          <w:rFonts w:ascii="Calibri" w:hAnsi="Calibri" w:cs="Calibri"/>
        </w:rPr>
        <w:fldChar w:fldCharType="separate"/>
      </w:r>
      <w:hyperlink w:anchor="_Toc120787083" w:history="1">
        <w:r w:rsidR="00167C54" w:rsidRPr="00AC6950">
          <w:rPr>
            <w:rStyle w:val="Hyperlink"/>
            <w:rFonts w:ascii="Calibri" w:hAnsi="Calibri" w:cs="Calibri"/>
            <w:b/>
            <w:bCs/>
            <w:noProof/>
          </w:rPr>
          <w:t>Table 1.</w:t>
        </w:r>
        <w:r w:rsidR="00167C54" w:rsidRPr="00AC6950">
          <w:rPr>
            <w:rStyle w:val="Hyperlink"/>
            <w:rFonts w:ascii="Calibri" w:hAnsi="Calibri" w:cs="Calibri"/>
            <w:noProof/>
          </w:rPr>
          <w:t xml:space="preserve"> DAMPs, detection methods, receptor interactions and resulting immune functionalities.</w:t>
        </w:r>
        <w:r w:rsidR="00167C54">
          <w:rPr>
            <w:noProof/>
            <w:webHidden/>
          </w:rPr>
          <w:tab/>
        </w:r>
        <w:r w:rsidR="00167C54">
          <w:rPr>
            <w:noProof/>
            <w:webHidden/>
          </w:rPr>
          <w:fldChar w:fldCharType="begin"/>
        </w:r>
        <w:r w:rsidR="00167C54">
          <w:rPr>
            <w:noProof/>
            <w:webHidden/>
          </w:rPr>
          <w:instrText xml:space="preserve"> PAGEREF _Toc120787083 \h </w:instrText>
        </w:r>
        <w:r w:rsidR="00167C54">
          <w:rPr>
            <w:noProof/>
            <w:webHidden/>
          </w:rPr>
        </w:r>
        <w:r w:rsidR="00167C54">
          <w:rPr>
            <w:noProof/>
            <w:webHidden/>
          </w:rPr>
          <w:fldChar w:fldCharType="separate"/>
        </w:r>
        <w:r w:rsidR="00167C54">
          <w:rPr>
            <w:noProof/>
            <w:webHidden/>
          </w:rPr>
          <w:t>7</w:t>
        </w:r>
        <w:r w:rsidR="00167C54">
          <w:rPr>
            <w:noProof/>
            <w:webHidden/>
          </w:rPr>
          <w:fldChar w:fldCharType="end"/>
        </w:r>
      </w:hyperlink>
    </w:p>
    <w:p w14:paraId="6D661D7C" w14:textId="58CA99CB" w:rsidR="00167C54" w:rsidRDefault="00000000" w:rsidP="00727BBB">
      <w:pPr>
        <w:pStyle w:val="TableofFigures"/>
        <w:tabs>
          <w:tab w:val="right" w:leader="dot" w:pos="9350"/>
        </w:tabs>
        <w:spacing w:line="480" w:lineRule="auto"/>
        <w:jc w:val="both"/>
        <w:rPr>
          <w:rFonts w:eastAsiaTheme="minorEastAsia"/>
          <w:noProof/>
        </w:rPr>
      </w:pPr>
      <w:hyperlink w:anchor="_Toc120787084" w:history="1">
        <w:r w:rsidR="00167C54" w:rsidRPr="00AC6950">
          <w:rPr>
            <w:rStyle w:val="Hyperlink"/>
            <w:rFonts w:ascii="Calibri" w:hAnsi="Calibri" w:cs="Calibri"/>
            <w:b/>
            <w:bCs/>
            <w:noProof/>
          </w:rPr>
          <w:t>Table 2.</w:t>
        </w:r>
        <w:r w:rsidR="00167C54" w:rsidRPr="00AC6950">
          <w:rPr>
            <w:rStyle w:val="Hyperlink"/>
            <w:rFonts w:ascii="Calibri" w:hAnsi="Calibri" w:cs="Calibri"/>
            <w:noProof/>
          </w:rPr>
          <w:t xml:space="preserve"> ICD and DAMP release inducing agents and their potential limitations.</w:t>
        </w:r>
        <w:r w:rsidR="00167C54">
          <w:rPr>
            <w:noProof/>
            <w:webHidden/>
          </w:rPr>
          <w:tab/>
        </w:r>
        <w:r w:rsidR="00167C54">
          <w:rPr>
            <w:noProof/>
            <w:webHidden/>
          </w:rPr>
          <w:fldChar w:fldCharType="begin"/>
        </w:r>
        <w:r w:rsidR="00167C54">
          <w:rPr>
            <w:noProof/>
            <w:webHidden/>
          </w:rPr>
          <w:instrText xml:space="preserve"> PAGEREF _Toc120787084 \h </w:instrText>
        </w:r>
        <w:r w:rsidR="00167C54">
          <w:rPr>
            <w:noProof/>
            <w:webHidden/>
          </w:rPr>
        </w:r>
        <w:r w:rsidR="00167C54">
          <w:rPr>
            <w:noProof/>
            <w:webHidden/>
          </w:rPr>
          <w:fldChar w:fldCharType="separate"/>
        </w:r>
        <w:r w:rsidR="00167C54">
          <w:rPr>
            <w:noProof/>
            <w:webHidden/>
          </w:rPr>
          <w:t>19</w:t>
        </w:r>
        <w:r w:rsidR="00167C54">
          <w:rPr>
            <w:noProof/>
            <w:webHidden/>
          </w:rPr>
          <w:fldChar w:fldCharType="end"/>
        </w:r>
      </w:hyperlink>
    </w:p>
    <w:p w14:paraId="01860BAC" w14:textId="66F3BDE7" w:rsidR="00167C54" w:rsidRDefault="00000000" w:rsidP="00727BBB">
      <w:pPr>
        <w:pStyle w:val="TableofFigures"/>
        <w:tabs>
          <w:tab w:val="right" w:leader="dot" w:pos="9350"/>
        </w:tabs>
        <w:spacing w:line="480" w:lineRule="auto"/>
        <w:jc w:val="both"/>
        <w:rPr>
          <w:rFonts w:eastAsiaTheme="minorEastAsia"/>
          <w:noProof/>
        </w:rPr>
      </w:pPr>
      <w:hyperlink w:anchor="_Toc120787085" w:history="1">
        <w:r w:rsidR="00167C54" w:rsidRPr="00AC6950">
          <w:rPr>
            <w:rStyle w:val="Hyperlink"/>
            <w:rFonts w:ascii="Calibri" w:hAnsi="Calibri" w:cs="Calibri"/>
            <w:b/>
            <w:bCs/>
            <w:noProof/>
          </w:rPr>
          <w:t>Table 3</w:t>
        </w:r>
        <w:r w:rsidR="00167C54" w:rsidRPr="00AC6950">
          <w:rPr>
            <w:rStyle w:val="Hyperlink"/>
            <w:rFonts w:ascii="Calibri" w:hAnsi="Calibri" w:cs="Calibri"/>
            <w:noProof/>
          </w:rPr>
          <w:t xml:space="preserve"> List of acronyms</w:t>
        </w:r>
        <w:r w:rsidR="00167C54">
          <w:rPr>
            <w:noProof/>
            <w:webHidden/>
          </w:rPr>
          <w:tab/>
        </w:r>
        <w:r w:rsidR="00167C54">
          <w:rPr>
            <w:noProof/>
            <w:webHidden/>
          </w:rPr>
          <w:fldChar w:fldCharType="begin"/>
        </w:r>
        <w:r w:rsidR="00167C54">
          <w:rPr>
            <w:noProof/>
            <w:webHidden/>
          </w:rPr>
          <w:instrText xml:space="preserve"> PAGEREF _Toc120787085 \h </w:instrText>
        </w:r>
        <w:r w:rsidR="00167C54">
          <w:rPr>
            <w:noProof/>
            <w:webHidden/>
          </w:rPr>
        </w:r>
        <w:r w:rsidR="00167C54">
          <w:rPr>
            <w:noProof/>
            <w:webHidden/>
          </w:rPr>
          <w:fldChar w:fldCharType="separate"/>
        </w:r>
        <w:r w:rsidR="00167C54">
          <w:rPr>
            <w:noProof/>
            <w:webHidden/>
          </w:rPr>
          <w:t>150</w:t>
        </w:r>
        <w:r w:rsidR="00167C54">
          <w:rPr>
            <w:noProof/>
            <w:webHidden/>
          </w:rPr>
          <w:fldChar w:fldCharType="end"/>
        </w:r>
      </w:hyperlink>
    </w:p>
    <w:p w14:paraId="2CD30BE3" w14:textId="0E7A6F13" w:rsidR="00A0457F" w:rsidRPr="002A7128" w:rsidRDefault="00664501" w:rsidP="00727BBB">
      <w:pPr>
        <w:spacing w:line="480" w:lineRule="auto"/>
        <w:jc w:val="both"/>
        <w:rPr>
          <w:rFonts w:ascii="Calibri" w:hAnsi="Calibri" w:cs="Calibri"/>
        </w:rPr>
      </w:pPr>
      <w:r w:rsidRPr="002A7128">
        <w:rPr>
          <w:rFonts w:ascii="Calibri" w:hAnsi="Calibri" w:cs="Calibri"/>
        </w:rPr>
        <w:fldChar w:fldCharType="end"/>
      </w:r>
    </w:p>
    <w:p w14:paraId="620414A9" w14:textId="344AC152" w:rsidR="001F0EC9" w:rsidRDefault="001F0EC9" w:rsidP="00243AED">
      <w:pPr>
        <w:spacing w:line="480" w:lineRule="auto"/>
        <w:rPr>
          <w:rFonts w:ascii="Calibri" w:hAnsi="Calibri" w:cs="Calibri"/>
        </w:rPr>
      </w:pPr>
    </w:p>
    <w:p w14:paraId="32E74161" w14:textId="70DD68D8" w:rsidR="001F0EC9" w:rsidRDefault="001F0EC9" w:rsidP="00243AED">
      <w:pPr>
        <w:spacing w:line="480" w:lineRule="auto"/>
        <w:rPr>
          <w:rFonts w:ascii="Calibri" w:hAnsi="Calibri" w:cs="Calibri"/>
        </w:rPr>
      </w:pPr>
    </w:p>
    <w:p w14:paraId="790C22B2" w14:textId="4F2775DD" w:rsidR="001F0EC9" w:rsidRDefault="001F0EC9" w:rsidP="00243AED">
      <w:pPr>
        <w:spacing w:line="480" w:lineRule="auto"/>
        <w:rPr>
          <w:rFonts w:ascii="Calibri" w:hAnsi="Calibri" w:cs="Calibri"/>
        </w:rPr>
      </w:pPr>
    </w:p>
    <w:p w14:paraId="37E188DC" w14:textId="1E2F63CF" w:rsidR="001F0EC9" w:rsidRDefault="001F0EC9" w:rsidP="00243AED">
      <w:pPr>
        <w:spacing w:line="480" w:lineRule="auto"/>
        <w:rPr>
          <w:rFonts w:ascii="Calibri" w:hAnsi="Calibri" w:cs="Calibri"/>
        </w:rPr>
      </w:pPr>
    </w:p>
    <w:p w14:paraId="1B14BD51" w14:textId="46ABD6E2" w:rsidR="001F0EC9" w:rsidRDefault="001F0EC9" w:rsidP="00243AED">
      <w:pPr>
        <w:spacing w:line="480" w:lineRule="auto"/>
        <w:rPr>
          <w:rFonts w:ascii="Calibri" w:hAnsi="Calibri" w:cs="Calibri"/>
        </w:rPr>
      </w:pPr>
    </w:p>
    <w:p w14:paraId="495F7318" w14:textId="5D7DE9AD" w:rsidR="001F0EC9" w:rsidRDefault="001F0EC9" w:rsidP="00243AED">
      <w:pPr>
        <w:spacing w:line="480" w:lineRule="auto"/>
        <w:rPr>
          <w:rFonts w:ascii="Calibri" w:hAnsi="Calibri" w:cs="Calibri"/>
        </w:rPr>
      </w:pPr>
    </w:p>
    <w:p w14:paraId="427A774D" w14:textId="47F76577" w:rsidR="001F0EC9" w:rsidRDefault="001F0EC9" w:rsidP="00243AED">
      <w:pPr>
        <w:spacing w:line="480" w:lineRule="auto"/>
        <w:rPr>
          <w:rFonts w:ascii="Calibri" w:hAnsi="Calibri" w:cs="Calibri"/>
        </w:rPr>
      </w:pPr>
    </w:p>
    <w:p w14:paraId="78FC6FA7" w14:textId="130615DF" w:rsidR="001F0EC9" w:rsidRDefault="001F0EC9" w:rsidP="00243AED">
      <w:pPr>
        <w:spacing w:line="480" w:lineRule="auto"/>
        <w:rPr>
          <w:rFonts w:ascii="Calibri" w:hAnsi="Calibri" w:cs="Calibri"/>
        </w:rPr>
      </w:pPr>
    </w:p>
    <w:p w14:paraId="6B81CBEC" w14:textId="20D2A2C7" w:rsidR="001F0EC9" w:rsidRDefault="001F0EC9" w:rsidP="00243AED">
      <w:pPr>
        <w:spacing w:line="480" w:lineRule="auto"/>
        <w:rPr>
          <w:rFonts w:ascii="Calibri" w:hAnsi="Calibri" w:cs="Calibri"/>
        </w:rPr>
      </w:pPr>
    </w:p>
    <w:p w14:paraId="4BBB75DF" w14:textId="2BF76E44" w:rsidR="001F0EC9" w:rsidRDefault="001F0EC9" w:rsidP="00243AED">
      <w:pPr>
        <w:spacing w:line="480" w:lineRule="auto"/>
        <w:rPr>
          <w:rFonts w:ascii="Calibri" w:hAnsi="Calibri" w:cs="Calibri"/>
        </w:rPr>
      </w:pPr>
    </w:p>
    <w:p w14:paraId="4E4DEF63" w14:textId="0FDE1451" w:rsidR="001F0EC9" w:rsidRDefault="001F0EC9" w:rsidP="00243AED">
      <w:pPr>
        <w:spacing w:line="480" w:lineRule="auto"/>
        <w:rPr>
          <w:rFonts w:ascii="Calibri" w:hAnsi="Calibri" w:cs="Calibri"/>
        </w:rPr>
      </w:pPr>
    </w:p>
    <w:p w14:paraId="55BE33ED" w14:textId="55DDDDE9" w:rsidR="001F0EC9" w:rsidRDefault="001F0EC9" w:rsidP="00243AED">
      <w:pPr>
        <w:spacing w:line="480" w:lineRule="auto"/>
        <w:rPr>
          <w:rFonts w:ascii="Calibri" w:hAnsi="Calibri" w:cs="Calibri"/>
        </w:rPr>
      </w:pPr>
    </w:p>
    <w:p w14:paraId="3B97137A" w14:textId="77B66F3E" w:rsidR="001F0EC9" w:rsidRDefault="001F0EC9" w:rsidP="00243AED">
      <w:pPr>
        <w:spacing w:line="480" w:lineRule="auto"/>
        <w:rPr>
          <w:rFonts w:ascii="Calibri" w:hAnsi="Calibri" w:cs="Calibri"/>
        </w:rPr>
      </w:pPr>
    </w:p>
    <w:p w14:paraId="2CD68274" w14:textId="57AA0051" w:rsidR="001F0EC9" w:rsidRDefault="001F0EC9" w:rsidP="00243AED">
      <w:pPr>
        <w:spacing w:line="480" w:lineRule="auto"/>
        <w:rPr>
          <w:rFonts w:ascii="Calibri" w:hAnsi="Calibri" w:cs="Calibri"/>
        </w:rPr>
      </w:pPr>
    </w:p>
    <w:p w14:paraId="2FDAFF71" w14:textId="77777777" w:rsidR="001F0EC9" w:rsidRPr="002A7128" w:rsidRDefault="001F0EC9" w:rsidP="00243AED">
      <w:pPr>
        <w:spacing w:line="480" w:lineRule="auto"/>
        <w:rPr>
          <w:rFonts w:ascii="Calibri" w:hAnsi="Calibri" w:cs="Calibri"/>
        </w:rPr>
      </w:pPr>
    </w:p>
    <w:p w14:paraId="4E6B9753" w14:textId="18103EB4" w:rsidR="00545A19" w:rsidRPr="002A7128" w:rsidRDefault="00135E13" w:rsidP="00E70727">
      <w:pPr>
        <w:pStyle w:val="Heading1"/>
        <w:rPr>
          <w:rFonts w:ascii="Calibri" w:hAnsi="Calibri" w:cs="Calibri"/>
        </w:rPr>
      </w:pPr>
      <w:bookmarkStart w:id="4" w:name="_Toc120794117"/>
      <w:r w:rsidRPr="002A7128">
        <w:rPr>
          <w:rFonts w:ascii="Calibri" w:hAnsi="Calibri" w:cs="Calibri"/>
        </w:rPr>
        <w:lastRenderedPageBreak/>
        <w:t>Abstract</w:t>
      </w:r>
      <w:bookmarkEnd w:id="4"/>
    </w:p>
    <w:p w14:paraId="60719BD2" w14:textId="0173AC39" w:rsidR="00545A19" w:rsidRPr="002A7128" w:rsidRDefault="00545A19" w:rsidP="00243AED">
      <w:pPr>
        <w:spacing w:line="480" w:lineRule="auto"/>
        <w:rPr>
          <w:rFonts w:ascii="Calibri" w:hAnsi="Calibri" w:cs="Calibri"/>
        </w:rPr>
      </w:pPr>
    </w:p>
    <w:p w14:paraId="101DE4E4" w14:textId="6B81C110" w:rsidR="001B6677" w:rsidRPr="002A7128" w:rsidRDefault="00B232DC" w:rsidP="00B232DC">
      <w:pPr>
        <w:spacing w:line="480" w:lineRule="auto"/>
        <w:jc w:val="both"/>
        <w:rPr>
          <w:rFonts w:ascii="Calibri" w:hAnsi="Calibri" w:cs="Calibri"/>
        </w:rPr>
      </w:pPr>
      <w:r w:rsidRPr="002A7128">
        <w:rPr>
          <w:rFonts w:ascii="Calibri" w:hAnsi="Calibri" w:cs="Calibri"/>
        </w:rPr>
        <w:t xml:space="preserve">Cell death is an inevitable biological outcome, every living thing dies. However, how cells die is an important question and ultimately is decisive in homeostasis and disease progression. Immune system is in the center of health and disease conditions and its proper activation is critical for life. </w:t>
      </w:r>
      <w:r w:rsidR="001B6677" w:rsidRPr="002A7128">
        <w:rPr>
          <w:rFonts w:ascii="Calibri" w:hAnsi="Calibri" w:cs="Calibri"/>
        </w:rPr>
        <w:t>In case of infection/cancer, immune system recognizes and kills the infected/cancerous cells. Proper recognition and activation solely depend on the activation of specialized cells called antigen presenting cells</w:t>
      </w:r>
      <w:r w:rsidR="003F1EC2" w:rsidRPr="002A7128">
        <w:rPr>
          <w:rFonts w:ascii="Calibri" w:hAnsi="Calibri" w:cs="Calibri"/>
        </w:rPr>
        <w:t xml:space="preserve"> (APCs)</w:t>
      </w:r>
      <w:r w:rsidR="001B6677" w:rsidRPr="002A7128">
        <w:rPr>
          <w:rFonts w:ascii="Calibri" w:hAnsi="Calibri" w:cs="Calibri"/>
        </w:rPr>
        <w:t>. These cells present components of the non-host</w:t>
      </w:r>
      <w:r w:rsidR="003F1EC2" w:rsidRPr="002A7128">
        <w:rPr>
          <w:rFonts w:ascii="Calibri" w:hAnsi="Calibri" w:cs="Calibri"/>
        </w:rPr>
        <w:t xml:space="preserve"> called antigens</w:t>
      </w:r>
      <w:r w:rsidR="001B6677" w:rsidRPr="002A7128">
        <w:rPr>
          <w:rFonts w:ascii="Calibri" w:hAnsi="Calibri" w:cs="Calibri"/>
        </w:rPr>
        <w:t xml:space="preserve"> and directs the immune system towards it. Evolutionary conserved receptors on these cells are specialized to recognize several patterns and motifs. </w:t>
      </w:r>
      <w:r w:rsidR="003F1EC2" w:rsidRPr="002A7128">
        <w:rPr>
          <w:rFonts w:ascii="Calibri" w:hAnsi="Calibri" w:cs="Calibri"/>
        </w:rPr>
        <w:t xml:space="preserve">These motifs are called pathogen associated molecular patterns (PAMPs) and damage associated molecular patterns (DAMPs) exogeneous and endogenous factors, respectively. DAMPs gained increasing attention since the initial proposal of the Danger Theory, which proposes that the immune system responds to danger. </w:t>
      </w:r>
      <w:r w:rsidR="00005721" w:rsidRPr="002A7128">
        <w:rPr>
          <w:rFonts w:ascii="Calibri" w:hAnsi="Calibri" w:cs="Calibri"/>
        </w:rPr>
        <w:t>One of the most infamous examples of DAMP</w:t>
      </w:r>
      <w:r w:rsidR="00435756" w:rsidRPr="002A7128">
        <w:rPr>
          <w:rFonts w:ascii="Calibri" w:hAnsi="Calibri" w:cs="Calibri"/>
        </w:rPr>
        <w:t xml:space="preserve"> release</w:t>
      </w:r>
      <w:r w:rsidR="00005721" w:rsidRPr="002A7128">
        <w:rPr>
          <w:rFonts w:ascii="Calibri" w:hAnsi="Calibri" w:cs="Calibri"/>
        </w:rPr>
        <w:t xml:space="preserve"> in disease conditions is the neurodegenerative disorders. </w:t>
      </w:r>
      <w:r w:rsidR="00435756" w:rsidRPr="002A7128">
        <w:rPr>
          <w:rFonts w:ascii="Calibri" w:hAnsi="Calibri" w:cs="Calibri"/>
        </w:rPr>
        <w:t>Aggregating peptides such as amyloid beta</w:t>
      </w:r>
      <w:r w:rsidR="00453128">
        <w:rPr>
          <w:rFonts w:ascii="Calibri" w:hAnsi="Calibri" w:cs="Calibri"/>
        </w:rPr>
        <w:t xml:space="preserve"> (A</w:t>
      </w:r>
      <w:r w:rsidR="00453128" w:rsidRPr="00453128">
        <w:rPr>
          <w:rFonts w:ascii="Symbol" w:hAnsi="Symbol" w:cs="Calibri"/>
        </w:rPr>
        <w:t>b</w:t>
      </w:r>
      <w:r w:rsidR="00453128">
        <w:rPr>
          <w:rFonts w:ascii="Calibri" w:hAnsi="Calibri" w:cs="Calibri"/>
        </w:rPr>
        <w:t>)</w:t>
      </w:r>
      <w:r w:rsidR="00435756" w:rsidRPr="002A7128">
        <w:rPr>
          <w:rFonts w:ascii="Calibri" w:hAnsi="Calibri" w:cs="Calibri"/>
        </w:rPr>
        <w:t>, damage the cell membranes of healthy cells leading to DAMP release and increased neuroinflammation. While resulting in an ultimately undesired disease progression, membrane damaging role of aggregating proteins can be harnessed for immunotherapy applications for the induction of ICD and DAMP release. However,</w:t>
      </w:r>
      <w:r w:rsidR="00C112D7" w:rsidRPr="002A7128">
        <w:rPr>
          <w:rFonts w:ascii="Calibri" w:hAnsi="Calibri" w:cs="Calibri"/>
        </w:rPr>
        <w:t xml:space="preserve"> utilization of</w:t>
      </w:r>
      <w:r w:rsidR="00435756" w:rsidRPr="002A7128">
        <w:rPr>
          <w:rFonts w:ascii="Calibri" w:hAnsi="Calibri" w:cs="Calibri"/>
        </w:rPr>
        <w:t xml:space="preserve"> peptides such as </w:t>
      </w:r>
      <w:r w:rsidR="00453128">
        <w:rPr>
          <w:rFonts w:ascii="Calibri" w:hAnsi="Calibri" w:cs="Calibri"/>
        </w:rPr>
        <w:t>A</w:t>
      </w:r>
      <w:r w:rsidR="00453128" w:rsidRPr="00453128">
        <w:rPr>
          <w:rFonts w:ascii="Symbol" w:hAnsi="Symbol" w:cs="Calibri"/>
        </w:rPr>
        <w:t>b</w:t>
      </w:r>
      <w:r w:rsidR="00453128" w:rsidRPr="002A7128">
        <w:rPr>
          <w:rFonts w:ascii="Calibri" w:hAnsi="Calibri" w:cs="Calibri"/>
        </w:rPr>
        <w:t xml:space="preserve"> </w:t>
      </w:r>
      <w:r w:rsidR="00435756" w:rsidRPr="002A7128">
        <w:rPr>
          <w:rFonts w:ascii="Calibri" w:hAnsi="Calibri" w:cs="Calibri"/>
        </w:rPr>
        <w:t>are difficult to synthesize, characterize and lead to</w:t>
      </w:r>
      <w:r w:rsidR="00C112D7" w:rsidRPr="002A7128">
        <w:rPr>
          <w:rFonts w:ascii="Calibri" w:hAnsi="Calibri" w:cs="Calibri"/>
        </w:rPr>
        <w:t xml:space="preserve"> uncontrollable</w:t>
      </w:r>
      <w:r w:rsidR="00435756" w:rsidRPr="002A7128">
        <w:rPr>
          <w:rFonts w:ascii="Calibri" w:hAnsi="Calibri" w:cs="Calibri"/>
        </w:rPr>
        <w:t xml:space="preserve"> heterogeneous structures. Biologically, antibodies form against </w:t>
      </w:r>
      <w:r w:rsidR="00453128">
        <w:rPr>
          <w:rFonts w:ascii="Calibri" w:hAnsi="Calibri" w:cs="Calibri"/>
        </w:rPr>
        <w:t>A</w:t>
      </w:r>
      <w:r w:rsidR="00453128" w:rsidRPr="00453128">
        <w:rPr>
          <w:rFonts w:ascii="Symbol" w:hAnsi="Symbol" w:cs="Calibri"/>
        </w:rPr>
        <w:t>b</w:t>
      </w:r>
      <w:r w:rsidR="00C112D7" w:rsidRPr="002A7128">
        <w:rPr>
          <w:rFonts w:ascii="Calibri" w:hAnsi="Calibri" w:cs="Calibri"/>
        </w:rPr>
        <w:t xml:space="preserve">, drastically limiting their utilization for immunotherapy applications. Therefore, tools that are easy to synthesize, characterize and mimic the functionality of </w:t>
      </w:r>
      <w:r w:rsidR="00C112D7" w:rsidRPr="002A7128">
        <w:rPr>
          <w:rFonts w:ascii="Calibri" w:hAnsi="Calibri" w:cs="Calibri"/>
        </w:rPr>
        <w:lastRenderedPageBreak/>
        <w:t>membrane damage and DAMP release without inducing serious side effects have high potential to be utilized in multiple different immunotherapy applications.</w:t>
      </w:r>
      <w:r w:rsidR="00435756" w:rsidRPr="002A7128">
        <w:rPr>
          <w:rFonts w:ascii="Calibri" w:hAnsi="Calibri" w:cs="Calibri"/>
        </w:rPr>
        <w:t xml:space="preserve">  </w:t>
      </w:r>
    </w:p>
    <w:p w14:paraId="3698BCAE" w14:textId="6B860971" w:rsidR="00CF3CD1" w:rsidRPr="002A7128" w:rsidRDefault="001B6677" w:rsidP="00B232DC">
      <w:pPr>
        <w:spacing w:line="480" w:lineRule="auto"/>
        <w:jc w:val="both"/>
        <w:rPr>
          <w:rFonts w:ascii="Calibri" w:hAnsi="Calibri" w:cs="Calibri"/>
        </w:rPr>
      </w:pPr>
      <w:r w:rsidRPr="002A7128">
        <w:rPr>
          <w:rFonts w:ascii="Calibri" w:hAnsi="Calibri" w:cs="Calibri"/>
        </w:rPr>
        <w:t>In this dissertation, an engineering platform called co-assembly of oppositely charged peptides (</w:t>
      </w:r>
      <w:proofErr w:type="spellStart"/>
      <w:r w:rsidRPr="002A7128">
        <w:rPr>
          <w:rFonts w:ascii="Calibri" w:hAnsi="Calibri" w:cs="Calibri"/>
        </w:rPr>
        <w:t>CoOP</w:t>
      </w:r>
      <w:proofErr w:type="spellEnd"/>
      <w:r w:rsidRPr="002A7128">
        <w:rPr>
          <w:rFonts w:ascii="Calibri" w:hAnsi="Calibri" w:cs="Calibri"/>
        </w:rPr>
        <w:t xml:space="preserve">) and its applications in </w:t>
      </w:r>
      <w:r w:rsidR="00435756" w:rsidRPr="002A7128">
        <w:rPr>
          <w:rFonts w:ascii="Calibri" w:hAnsi="Calibri" w:cs="Calibri"/>
        </w:rPr>
        <w:t>ICD</w:t>
      </w:r>
      <w:r w:rsidRPr="002A7128">
        <w:rPr>
          <w:rFonts w:ascii="Calibri" w:hAnsi="Calibri" w:cs="Calibri"/>
        </w:rPr>
        <w:t xml:space="preserve"> and DAMP release is studied. Inspired by the aggregation induced-cell membrane damage of </w:t>
      </w:r>
      <w:r w:rsidR="00453128">
        <w:rPr>
          <w:rFonts w:ascii="Calibri" w:hAnsi="Calibri" w:cs="Calibri"/>
        </w:rPr>
        <w:t>A</w:t>
      </w:r>
      <w:r w:rsidR="00453128" w:rsidRPr="00453128">
        <w:rPr>
          <w:rFonts w:ascii="Symbol" w:hAnsi="Symbol" w:cs="Calibri"/>
        </w:rPr>
        <w:t>b</w:t>
      </w:r>
      <w:r w:rsidRPr="002A7128">
        <w:rPr>
          <w:rFonts w:ascii="Calibri" w:hAnsi="Calibri" w:cs="Calibri"/>
        </w:rPr>
        <w:t>, we introduced two oppositely charged peptide pairs called EFFIIE and KFFIIK forming [II] peptide. We first studied the cellular consequences of [II</w:t>
      </w:r>
      <w:r w:rsidR="00CF3CD1" w:rsidRPr="002A7128">
        <w:rPr>
          <w:rFonts w:ascii="Calibri" w:hAnsi="Calibri" w:cs="Calibri"/>
        </w:rPr>
        <w:t>]</w:t>
      </w:r>
      <w:r w:rsidRPr="002A7128">
        <w:rPr>
          <w:rFonts w:ascii="Calibri" w:hAnsi="Calibri" w:cs="Calibri"/>
        </w:rPr>
        <w:t xml:space="preserve"> peptide and found that </w:t>
      </w:r>
      <w:r w:rsidR="00CF3CD1" w:rsidRPr="002A7128">
        <w:rPr>
          <w:rFonts w:ascii="Calibri" w:hAnsi="Calibri" w:cs="Calibri"/>
        </w:rPr>
        <w:t>[II] peptide aggregation induces ICD and DAMP release in several different healthy and cancer cell lines. Leveraging</w:t>
      </w:r>
      <w:r w:rsidR="000813B8" w:rsidRPr="002A7128">
        <w:rPr>
          <w:rFonts w:ascii="Calibri" w:hAnsi="Calibri" w:cs="Calibri"/>
        </w:rPr>
        <w:t xml:space="preserve"> the</w:t>
      </w:r>
      <w:r w:rsidR="00CF3CD1" w:rsidRPr="002A7128">
        <w:rPr>
          <w:rFonts w:ascii="Calibri" w:hAnsi="Calibri" w:cs="Calibri"/>
        </w:rPr>
        <w:t xml:space="preserve"> DAMP-releasing effect of [II</w:t>
      </w:r>
      <w:r w:rsidR="000813B8" w:rsidRPr="002A7128">
        <w:rPr>
          <w:rFonts w:ascii="Calibri" w:hAnsi="Calibri" w:cs="Calibri"/>
        </w:rPr>
        <w:t>]</w:t>
      </w:r>
      <w:r w:rsidR="00CF3CD1" w:rsidRPr="002A7128">
        <w:rPr>
          <w:rFonts w:ascii="Calibri" w:hAnsi="Calibri" w:cs="Calibri"/>
        </w:rPr>
        <w:t xml:space="preserve"> peptide, we developed a quadrivalent influenza vaccine and found significantly elevated IgG1 and IgG2a responses, corresponding to the engagement of Th2 and Th1 immunity, respectively. Next, we showed the controllability of [II] peptide aggregation, which ultimately leads to control over DAMP release and the immunogenicity of dying cells. Different aggregation profiles lead to differential membrane damage and DAMP release profiles. When cells were treated with [II] peptide at different aggregation states, the dying cells led to protection in a prophylactic vaccination model against breast cancer, and differences in aggregation status led to differential protection levels. Lastly, we used [II] peptide aggregation model in a three-dimensional spheroid model of breast cancer and compared this activity with known chemotherapeutics. [II] peptide treated spheroids displayed superior DAMP release and dendritic cell activation.</w:t>
      </w:r>
    </w:p>
    <w:p w14:paraId="3BA371BD" w14:textId="6DABF683" w:rsidR="00B232DC" w:rsidRPr="002A7128" w:rsidRDefault="00946DA6" w:rsidP="00B232DC">
      <w:pPr>
        <w:spacing w:line="480" w:lineRule="auto"/>
        <w:jc w:val="both"/>
        <w:rPr>
          <w:rFonts w:ascii="Calibri" w:hAnsi="Calibri" w:cs="Calibri"/>
        </w:rPr>
      </w:pPr>
      <w:r w:rsidRPr="002A7128">
        <w:rPr>
          <w:rFonts w:ascii="Calibri" w:hAnsi="Calibri" w:cs="Calibri"/>
        </w:rPr>
        <w:t xml:space="preserve">Successful stimulation of ICD and DAMP release is a fundamental and challenging strategy to induce robust antigen-specific immune response. [II] peptide aggregation is a controllable tool that can be used as an adjuvant in vaccination strategies as well as a treatment modality against cancer.   </w:t>
      </w:r>
      <w:r w:rsidR="00CF3CD1" w:rsidRPr="002A7128">
        <w:rPr>
          <w:rFonts w:ascii="Calibri" w:hAnsi="Calibri" w:cs="Calibri"/>
        </w:rPr>
        <w:t xml:space="preserve">  </w:t>
      </w:r>
    </w:p>
    <w:p w14:paraId="5DCD46EB" w14:textId="77777777" w:rsidR="0067493A" w:rsidRPr="002A7128" w:rsidRDefault="0067493A" w:rsidP="00317E7D">
      <w:pPr>
        <w:rPr>
          <w:rFonts w:ascii="Calibri" w:hAnsi="Calibri" w:cs="Calibri"/>
        </w:rPr>
        <w:sectPr w:rsidR="0067493A" w:rsidRPr="002A7128" w:rsidSect="0067493A">
          <w:type w:val="continuous"/>
          <w:pgSz w:w="12240" w:h="15840"/>
          <w:pgMar w:top="1440" w:right="1440" w:bottom="1440" w:left="1440" w:header="720" w:footer="720" w:gutter="0"/>
          <w:pgNumType w:fmt="lowerRoman" w:start="4"/>
          <w:cols w:space="720"/>
          <w:docGrid w:linePitch="360"/>
        </w:sectPr>
      </w:pPr>
    </w:p>
    <w:p w14:paraId="60A357D6" w14:textId="77777777" w:rsidR="00E4594A" w:rsidRPr="002A7128" w:rsidRDefault="00E4594A" w:rsidP="00E4594A">
      <w:pPr>
        <w:rPr>
          <w:rFonts w:ascii="Calibri" w:hAnsi="Calibri" w:cs="Calibri"/>
        </w:rPr>
      </w:pPr>
    </w:p>
    <w:p w14:paraId="13168685" w14:textId="14EAF63C" w:rsidR="00A27485" w:rsidRPr="002A7128" w:rsidRDefault="00140ABD" w:rsidP="00545A19">
      <w:pPr>
        <w:pStyle w:val="Heading1"/>
        <w:spacing w:line="480" w:lineRule="auto"/>
        <w:rPr>
          <w:rFonts w:ascii="Calibri" w:hAnsi="Calibri" w:cs="Calibri"/>
        </w:rPr>
      </w:pPr>
      <w:bookmarkStart w:id="5" w:name="_Toc120794118"/>
      <w:r w:rsidRPr="002A7128">
        <w:rPr>
          <w:rFonts w:ascii="Calibri" w:hAnsi="Calibri" w:cs="Calibri"/>
        </w:rPr>
        <w:t>Chapter 1: Introduction</w:t>
      </w:r>
      <w:bookmarkEnd w:id="5"/>
    </w:p>
    <w:p w14:paraId="3D300D6E" w14:textId="210BDF1C" w:rsidR="00424997" w:rsidRPr="002A7128" w:rsidRDefault="00A27485">
      <w:pPr>
        <w:pStyle w:val="Heading2"/>
        <w:numPr>
          <w:ilvl w:val="0"/>
          <w:numId w:val="2"/>
        </w:numPr>
        <w:spacing w:line="480" w:lineRule="auto"/>
        <w:ind w:left="360"/>
        <w:jc w:val="both"/>
        <w:rPr>
          <w:rFonts w:ascii="Calibri" w:hAnsi="Calibri" w:cs="Calibri"/>
        </w:rPr>
      </w:pPr>
      <w:bookmarkStart w:id="6" w:name="_Toc115787962"/>
      <w:bookmarkStart w:id="7" w:name="_Toc120794119"/>
      <w:r w:rsidRPr="002A7128">
        <w:rPr>
          <w:rFonts w:ascii="Calibri" w:hAnsi="Calibri" w:cs="Calibri"/>
        </w:rPr>
        <w:t>Introduction</w:t>
      </w:r>
      <w:bookmarkEnd w:id="6"/>
      <w:bookmarkEnd w:id="7"/>
    </w:p>
    <w:p w14:paraId="06D01FA2" w14:textId="2777E784" w:rsidR="00424997" w:rsidRPr="002A7128" w:rsidRDefault="00424997" w:rsidP="00A27485">
      <w:pPr>
        <w:spacing w:line="480" w:lineRule="auto"/>
        <w:jc w:val="both"/>
        <w:rPr>
          <w:rFonts w:ascii="Calibri" w:hAnsi="Calibri" w:cs="Calibri"/>
        </w:rPr>
      </w:pPr>
      <w:r w:rsidRPr="002A7128">
        <w:rPr>
          <w:rFonts w:ascii="Calibri" w:hAnsi="Calibri" w:cs="Calibri"/>
        </w:rPr>
        <w:t xml:space="preserve">Peptides are formed by amino acids bound together </w:t>
      </w:r>
      <w:r w:rsidR="00795E11" w:rsidRPr="002A7128">
        <w:rPr>
          <w:rFonts w:ascii="Calibri" w:hAnsi="Calibri" w:cs="Calibri"/>
        </w:rPr>
        <w:t xml:space="preserve">through </w:t>
      </w:r>
      <w:r w:rsidRPr="002A7128">
        <w:rPr>
          <w:rFonts w:ascii="Calibri" w:hAnsi="Calibri" w:cs="Calibri"/>
        </w:rPr>
        <w:t xml:space="preserve">peptide bonds and ultimately are the building blocks of life. </w:t>
      </w:r>
      <w:r w:rsidR="001620A1" w:rsidRPr="002A7128">
        <w:rPr>
          <w:rFonts w:ascii="Calibri" w:hAnsi="Calibri" w:cs="Calibri"/>
        </w:rPr>
        <w:t>They are found in every cell</w:t>
      </w:r>
      <w:r w:rsidR="004B7E17" w:rsidRPr="002A7128">
        <w:rPr>
          <w:rFonts w:ascii="Calibri" w:hAnsi="Calibri" w:cs="Calibri"/>
        </w:rPr>
        <w:t>/</w:t>
      </w:r>
      <w:r w:rsidR="001620A1" w:rsidRPr="002A7128">
        <w:rPr>
          <w:rFonts w:ascii="Calibri" w:hAnsi="Calibri" w:cs="Calibri"/>
        </w:rPr>
        <w:t>tissue</w:t>
      </w:r>
      <w:r w:rsidR="004B7E17" w:rsidRPr="002A7128">
        <w:rPr>
          <w:rFonts w:ascii="Calibri" w:hAnsi="Calibri" w:cs="Calibri"/>
        </w:rPr>
        <w:t xml:space="preserve"> and</w:t>
      </w:r>
      <w:r w:rsidR="001620A1" w:rsidRPr="002A7128">
        <w:rPr>
          <w:rFonts w:ascii="Calibri" w:hAnsi="Calibri" w:cs="Calibri"/>
        </w:rPr>
        <w:t xml:space="preserve"> hav</w:t>
      </w:r>
      <w:r w:rsidR="004B7E17" w:rsidRPr="002A7128">
        <w:rPr>
          <w:rFonts w:ascii="Calibri" w:hAnsi="Calibri" w:cs="Calibri"/>
        </w:rPr>
        <w:t>e</w:t>
      </w:r>
      <w:r w:rsidR="001620A1" w:rsidRPr="002A7128">
        <w:rPr>
          <w:rFonts w:ascii="Calibri" w:hAnsi="Calibri" w:cs="Calibri"/>
        </w:rPr>
        <w:t xml:space="preserve"> different functionalities in health and disease. Peptides facilitate several different biological function</w:t>
      </w:r>
      <w:r w:rsidR="009A0A8C" w:rsidRPr="002A7128">
        <w:rPr>
          <w:rFonts w:ascii="Calibri" w:hAnsi="Calibri" w:cs="Calibri"/>
        </w:rPr>
        <w:t>s</w:t>
      </w:r>
      <w:r w:rsidR="001620A1" w:rsidRPr="002A7128">
        <w:rPr>
          <w:rFonts w:ascii="Calibri" w:hAnsi="Calibri" w:cs="Calibri"/>
        </w:rPr>
        <w:t xml:space="preserve"> including but not limited to, cell-receptor interactions (cell signaling, adhesion), host defense (anti-microbial peptides</w:t>
      </w:r>
      <w:r w:rsidR="001C0F28" w:rsidRPr="002A7128">
        <w:rPr>
          <w:rFonts w:ascii="Calibri" w:hAnsi="Calibri" w:cs="Calibri"/>
        </w:rPr>
        <w:t xml:space="preserve"> and anti-cancer peptides</w:t>
      </w:r>
      <w:r w:rsidR="001620A1" w:rsidRPr="002A7128">
        <w:rPr>
          <w:rFonts w:ascii="Calibri" w:hAnsi="Calibri" w:cs="Calibri"/>
        </w:rPr>
        <w:t xml:space="preserve">), </w:t>
      </w:r>
      <w:r w:rsidR="001C0F28" w:rsidRPr="002A7128">
        <w:rPr>
          <w:rFonts w:ascii="Calibri" w:hAnsi="Calibri" w:cs="Calibri"/>
        </w:rPr>
        <w:t>neurodegenerative disorders</w:t>
      </w:r>
      <w:r w:rsidR="001620A1" w:rsidRPr="002A7128">
        <w:rPr>
          <w:rFonts w:ascii="Calibri" w:hAnsi="Calibri" w:cs="Calibri"/>
        </w:rPr>
        <w:t xml:space="preserve"> (amyloid aggregation induced </w:t>
      </w:r>
      <w:r w:rsidR="001C0F28" w:rsidRPr="002A7128">
        <w:rPr>
          <w:rFonts w:ascii="Calibri" w:hAnsi="Calibri" w:cs="Calibri"/>
        </w:rPr>
        <w:t>cell death</w:t>
      </w:r>
      <w:r w:rsidR="001620A1" w:rsidRPr="002A7128">
        <w:rPr>
          <w:rFonts w:ascii="Calibri" w:hAnsi="Calibri" w:cs="Calibri"/>
        </w:rPr>
        <w:t>)</w:t>
      </w:r>
      <w:r w:rsidR="001C0F28" w:rsidRPr="002A7128">
        <w:rPr>
          <w:rFonts w:ascii="Calibri" w:hAnsi="Calibri" w:cs="Calibri"/>
        </w:rPr>
        <w:t xml:space="preserve"> and specific activation of the immune system (peptide presentation). These functionalities are inheritably depended on the types and orders of amino acids forming the peptides. Due to their involvement in almost every biological process, peptides are commonly used in multiple fields of science including but not limited to, biology, chemistry, materials science, physics, biotechnology, and nanotechnology. </w:t>
      </w:r>
      <w:r w:rsidR="00C35721" w:rsidRPr="002A7128">
        <w:rPr>
          <w:rFonts w:ascii="Calibri" w:hAnsi="Calibri" w:cs="Calibri"/>
        </w:rPr>
        <w:t xml:space="preserve">Being biocompatible, biodegradable, and easy to synthesize had made them ideal candidates to guide biological functionalities. </w:t>
      </w:r>
    </w:p>
    <w:p w14:paraId="62528CB6" w14:textId="10690A75" w:rsidR="005A7853" w:rsidRPr="002A7128" w:rsidRDefault="005A7853">
      <w:pPr>
        <w:pStyle w:val="Heading2"/>
        <w:numPr>
          <w:ilvl w:val="1"/>
          <w:numId w:val="2"/>
        </w:numPr>
        <w:rPr>
          <w:rFonts w:ascii="Calibri" w:hAnsi="Calibri" w:cs="Calibri"/>
        </w:rPr>
      </w:pPr>
      <w:bookmarkStart w:id="8" w:name="_Toc120794120"/>
      <w:r w:rsidRPr="002A7128">
        <w:rPr>
          <w:rFonts w:ascii="Calibri" w:hAnsi="Calibri" w:cs="Calibri"/>
        </w:rPr>
        <w:t>Immune System</w:t>
      </w:r>
      <w:bookmarkEnd w:id="8"/>
    </w:p>
    <w:p w14:paraId="28C2EBB1" w14:textId="77777777" w:rsidR="00412405" w:rsidRPr="002A7128" w:rsidRDefault="00412405" w:rsidP="00412405">
      <w:pPr>
        <w:rPr>
          <w:rFonts w:ascii="Calibri" w:hAnsi="Calibri" w:cs="Calibri"/>
        </w:rPr>
      </w:pPr>
    </w:p>
    <w:p w14:paraId="044BA1A1" w14:textId="39B2C434" w:rsidR="00795E11" w:rsidRPr="002A7128" w:rsidRDefault="00A27485" w:rsidP="00A27485">
      <w:pPr>
        <w:spacing w:line="480" w:lineRule="auto"/>
        <w:jc w:val="both"/>
        <w:rPr>
          <w:rFonts w:ascii="Calibri" w:hAnsi="Calibri" w:cs="Calibri"/>
        </w:rPr>
      </w:pPr>
      <w:r w:rsidRPr="002A7128">
        <w:rPr>
          <w:rFonts w:ascii="Calibri" w:hAnsi="Calibri" w:cs="Calibri"/>
        </w:rPr>
        <w:t xml:space="preserve">All living organisms are exposed to foreign substances (invaders) that are capable of inducing harm to the host. Starting from individual cells to multicellular organisms this constant interaction of host with invaders evolved both the host and the invader. Discriminating self from non-self primarily established a network of protection which is now referred to as the immune system. </w:t>
      </w:r>
      <w:r w:rsidR="00795E11" w:rsidRPr="002A7128">
        <w:rPr>
          <w:rFonts w:ascii="Calibri" w:hAnsi="Calibri" w:cs="Calibri"/>
        </w:rPr>
        <w:t xml:space="preserve">Diverse set of specialized cell types and mediators called cytokines and chemokines function to protect the host from pathogens, viruses, and cancer. </w:t>
      </w:r>
      <w:r w:rsidRPr="002A7128">
        <w:rPr>
          <w:rFonts w:ascii="Calibri" w:hAnsi="Calibri" w:cs="Calibri"/>
        </w:rPr>
        <w:t xml:space="preserve">Immune system is divided into two categories: innate immunity and adaptive (acquired) immunity. Innate immunity refers to </w:t>
      </w:r>
      <w:r w:rsidRPr="002A7128">
        <w:rPr>
          <w:rFonts w:ascii="Calibri" w:hAnsi="Calibri" w:cs="Calibri"/>
        </w:rPr>
        <w:lastRenderedPageBreak/>
        <w:t>the initial line of defense against invaders, it is fast but not highly specific, however, often times does not lead to memory formation</w:t>
      </w:r>
      <w:r w:rsidR="00C056FA" w:rsidRPr="002A7128">
        <w:rPr>
          <w:rFonts w:ascii="Calibri" w:hAnsi="Calibri" w:cs="Calibri"/>
        </w:rPr>
        <w:t xml:space="preserve"> with the exception of trained immunity occurring</w:t>
      </w:r>
      <w:r w:rsidR="00795E11" w:rsidRPr="002A7128">
        <w:rPr>
          <w:rFonts w:ascii="Calibri" w:hAnsi="Calibri" w:cs="Calibri"/>
        </w:rPr>
        <w:t xml:space="preserve"> through genetic encoding</w:t>
      </w:r>
      <w:r w:rsidRPr="002A7128">
        <w:rPr>
          <w:rFonts w:ascii="Calibri" w:hAnsi="Calibri" w:cs="Calibri"/>
        </w:rPr>
        <w:t xml:space="preserve">. Adaptive immunity on the other hand, is highly specific, develops over time and provides memory. </w:t>
      </w:r>
    </w:p>
    <w:p w14:paraId="3CC44E4A" w14:textId="495D8786" w:rsidR="00386929" w:rsidRPr="002A7128" w:rsidRDefault="00795E11" w:rsidP="00A27485">
      <w:pPr>
        <w:spacing w:line="480" w:lineRule="auto"/>
        <w:jc w:val="both"/>
        <w:rPr>
          <w:rFonts w:ascii="Calibri" w:hAnsi="Calibri" w:cs="Calibri"/>
        </w:rPr>
      </w:pPr>
      <w:r w:rsidRPr="002A7128">
        <w:rPr>
          <w:rFonts w:ascii="Calibri" w:hAnsi="Calibri" w:cs="Calibri"/>
        </w:rPr>
        <w:t xml:space="preserve">Part of innate immunity, </w:t>
      </w:r>
      <w:r w:rsidR="00C056FA" w:rsidRPr="002A7128">
        <w:rPr>
          <w:rFonts w:ascii="Calibri" w:hAnsi="Calibri" w:cs="Calibri"/>
        </w:rPr>
        <w:t>c</w:t>
      </w:r>
      <w:r w:rsidR="00A27485" w:rsidRPr="002A7128">
        <w:rPr>
          <w:rFonts w:ascii="Calibri" w:hAnsi="Calibri" w:cs="Calibri"/>
        </w:rPr>
        <w:t xml:space="preserve">ells called antigen presenting cells (APCs) such as dendritic cells (DCs) patrol the tissues and identify the threat (e.g., pathogens, viruses, or cancer cells). They phagocytose this threat or its components and get activated. Then, they undergo a maturation in which they process antigens (enzymatically process and placement on major histocompatibility (MHC molecules), followed by migration to the secondary lymphoid organs where they present these antigens to the adaptive immune cells called lymphocytes. These cells are evolved to possess an enormous diversity of their antigen receptors to ensure developing a response against any given pathogen. Each lymphocyte carries a slightly different antigen receptor and will only get activated upon strong receptor-antigen interaction between the lymphocyte and APCs. Once antigen is successfully recognized by a lymphocyte and the </w:t>
      </w:r>
      <w:proofErr w:type="spellStart"/>
      <w:r w:rsidR="00A27485" w:rsidRPr="002A7128">
        <w:rPr>
          <w:rFonts w:ascii="Calibri" w:hAnsi="Calibri" w:cs="Calibri"/>
        </w:rPr>
        <w:t>activatory</w:t>
      </w:r>
      <w:proofErr w:type="spellEnd"/>
      <w:r w:rsidR="00A27485" w:rsidRPr="002A7128">
        <w:rPr>
          <w:rFonts w:ascii="Calibri" w:hAnsi="Calibri" w:cs="Calibri"/>
        </w:rPr>
        <w:t xml:space="preserve"> signals are provided, that lymphocyte will undergo a fast proliferation to make more of the same copy, a process called clonal expansion. Successful stimulation of adaptive immunity is critical for eliminating the invaders and provides faster response due to memory formation in case of encountering the same invader in the future.  </w:t>
      </w:r>
    </w:p>
    <w:p w14:paraId="53603DD1" w14:textId="3A73021A" w:rsidR="00A27485" w:rsidRPr="002A7128" w:rsidRDefault="00A27485" w:rsidP="00A27485">
      <w:pPr>
        <w:spacing w:line="480" w:lineRule="auto"/>
        <w:jc w:val="both"/>
        <w:rPr>
          <w:rFonts w:ascii="Calibri" w:hAnsi="Calibri" w:cs="Calibri"/>
        </w:rPr>
      </w:pPr>
      <w:r w:rsidRPr="002A7128">
        <w:rPr>
          <w:rFonts w:ascii="Calibri" w:hAnsi="Calibri" w:cs="Calibri"/>
        </w:rPr>
        <w:t>Adaptive immunity can be divided into two broad categories: cellular immunity and humoral immunity (antibody-mediated immunity).</w:t>
      </w:r>
      <w:r w:rsidR="00C056FA" w:rsidRPr="002A7128">
        <w:rPr>
          <w:rFonts w:ascii="Calibri" w:hAnsi="Calibri" w:cs="Calibri"/>
        </w:rPr>
        <w:t xml:space="preserve"> Cellular immunity</w:t>
      </w:r>
      <w:r w:rsidR="007D711E" w:rsidRPr="002A7128">
        <w:rPr>
          <w:rFonts w:ascii="Calibri" w:hAnsi="Calibri" w:cs="Calibri"/>
        </w:rPr>
        <w:t xml:space="preserve"> refers to direct recognition and destruction of infected and cancerous cells.</w:t>
      </w:r>
      <w:r w:rsidRPr="002A7128">
        <w:rPr>
          <w:rFonts w:ascii="Calibri" w:hAnsi="Calibri" w:cs="Calibri"/>
        </w:rPr>
        <w:t xml:space="preserve"> </w:t>
      </w:r>
      <w:r w:rsidR="007D711E" w:rsidRPr="002A7128">
        <w:rPr>
          <w:rFonts w:ascii="Calibri" w:hAnsi="Calibri" w:cs="Calibri"/>
        </w:rPr>
        <w:t>It</w:t>
      </w:r>
      <w:r w:rsidRPr="002A7128">
        <w:rPr>
          <w:rFonts w:ascii="Calibri" w:hAnsi="Calibri" w:cs="Calibri"/>
        </w:rPr>
        <w:t xml:space="preserve"> involves cytotoxic effector cells called CD8 + T cells (Cytotoxic T </w:t>
      </w:r>
      <w:r w:rsidR="00795E11" w:rsidRPr="002A7128">
        <w:rPr>
          <w:rFonts w:ascii="Calibri" w:hAnsi="Calibri" w:cs="Calibri"/>
        </w:rPr>
        <w:t>lymphocyte, CTL</w:t>
      </w:r>
      <w:r w:rsidRPr="002A7128">
        <w:rPr>
          <w:rFonts w:ascii="Calibri" w:hAnsi="Calibri" w:cs="Calibri"/>
        </w:rPr>
        <w:t xml:space="preserve">) and natural killer (NK) cells </w:t>
      </w:r>
      <w:r w:rsidRPr="002A7128">
        <w:rPr>
          <w:rFonts w:ascii="Calibri" w:hAnsi="Calibri" w:cs="Calibri"/>
          <w:b/>
          <w:bCs/>
        </w:rPr>
        <w:t>(</w:t>
      </w:r>
      <w:r w:rsidR="00D860E1" w:rsidRPr="002A7128">
        <w:rPr>
          <w:rFonts w:ascii="Calibri" w:hAnsi="Calibri" w:cs="Calibri"/>
          <w:b/>
          <w:bCs/>
        </w:rPr>
        <w:fldChar w:fldCharType="begin"/>
      </w:r>
      <w:r w:rsidR="00D860E1" w:rsidRPr="002A7128">
        <w:rPr>
          <w:rFonts w:ascii="Calibri" w:hAnsi="Calibri" w:cs="Calibri"/>
          <w:b/>
          <w:bCs/>
        </w:rPr>
        <w:instrText xml:space="preserve"> REF _Ref116560816 \h  \* MERGEFORMAT </w:instrText>
      </w:r>
      <w:r w:rsidR="00D860E1" w:rsidRPr="002A7128">
        <w:rPr>
          <w:rFonts w:ascii="Calibri" w:hAnsi="Calibri" w:cs="Calibri"/>
          <w:b/>
          <w:bCs/>
        </w:rPr>
      </w:r>
      <w:r w:rsidR="00D860E1" w:rsidRPr="002A7128">
        <w:rPr>
          <w:rFonts w:ascii="Calibri" w:hAnsi="Calibri" w:cs="Calibri"/>
          <w:b/>
          <w:bCs/>
        </w:rPr>
        <w:fldChar w:fldCharType="separate"/>
      </w:r>
      <w:r w:rsidR="00D860E1" w:rsidRPr="002A7128">
        <w:rPr>
          <w:rFonts w:ascii="Calibri" w:hAnsi="Calibri" w:cs="Calibri"/>
          <w:b/>
          <w:bCs/>
          <w:color w:val="000000" w:themeColor="text1"/>
        </w:rPr>
        <w:t xml:space="preserve">Figure </w:t>
      </w:r>
      <w:r w:rsidR="00D860E1" w:rsidRPr="002A7128">
        <w:rPr>
          <w:rFonts w:ascii="Calibri" w:hAnsi="Calibri" w:cs="Calibri"/>
          <w:b/>
          <w:bCs/>
          <w:i/>
          <w:iCs/>
          <w:noProof/>
          <w:color w:val="000000" w:themeColor="text1"/>
        </w:rPr>
        <w:t>1</w:t>
      </w:r>
      <w:r w:rsidR="00D860E1" w:rsidRPr="002A7128">
        <w:rPr>
          <w:rFonts w:ascii="Calibri" w:hAnsi="Calibri" w:cs="Calibri"/>
          <w:b/>
          <w:bCs/>
        </w:rPr>
        <w:fldChar w:fldCharType="end"/>
      </w:r>
      <w:r w:rsidRPr="002A7128">
        <w:rPr>
          <w:rFonts w:ascii="Calibri" w:hAnsi="Calibri" w:cs="Calibri"/>
          <w:b/>
          <w:bCs/>
        </w:rPr>
        <w:t>)</w:t>
      </w:r>
      <w:r w:rsidRPr="002A7128">
        <w:rPr>
          <w:rFonts w:ascii="Calibri" w:hAnsi="Calibri" w:cs="Calibri"/>
        </w:rPr>
        <w:t xml:space="preserve">. Once the infected or tumor </w:t>
      </w:r>
      <w:r w:rsidRPr="002A7128">
        <w:rPr>
          <w:rFonts w:ascii="Calibri" w:hAnsi="Calibri" w:cs="Calibri"/>
        </w:rPr>
        <w:lastRenderedPageBreak/>
        <w:t xml:space="preserve">cell is recognized, </w:t>
      </w:r>
      <w:r w:rsidR="00795E11" w:rsidRPr="002A7128">
        <w:rPr>
          <w:rFonts w:ascii="Calibri" w:hAnsi="Calibri" w:cs="Calibri"/>
        </w:rPr>
        <w:t>CTLs</w:t>
      </w:r>
      <w:r w:rsidRPr="002A7128">
        <w:rPr>
          <w:rFonts w:ascii="Calibri" w:hAnsi="Calibri" w:cs="Calibri"/>
        </w:rPr>
        <w:t xml:space="preserve"> and NK cells release cytotoxic mediators called perforin and granzyme B</w:t>
      </w:r>
      <w:r w:rsidRPr="002A7128">
        <w:rPr>
          <w:rFonts w:ascii="Calibri" w:hAnsi="Calibri" w:cs="Calibri"/>
        </w:rPr>
        <w:fldChar w:fldCharType="begin"/>
      </w:r>
      <w:r w:rsidR="00A64B61" w:rsidRPr="002A7128">
        <w:rPr>
          <w:rFonts w:ascii="Calibri" w:hAnsi="Calibri" w:cs="Calibri"/>
        </w:rPr>
        <w:instrText xml:space="preserve"> ADDIN ZOTERO_ITEM CSL_CITATION {"citationID":"a1mdmqc6b7n","properties":{"formattedCitation":"\\super 1\\nosupersub{}","plainCitation":"1","noteIndex":0},"citationItems":[{"id":9283,"uris":["http://zotero.org/groups/2667333/items/HBES66B6"],"itemData":{"id":9283,"type":"article-journal","abstract":"Natural killer cells and cytotoxic T lymphocytes kill targeted cells by releasing granzymes and perforin. Lieberman and colleagues show that these lethal molecules first accumulate in endocytic vesicles, where perforin generates pores that leak granzymes into the cytosol.","container-title":"Nature Immunology","DOI":"10.1038/ni.2050","ISSN":"1529-2916","issue":"8","journalAbbreviation":"Nat Immunol","language":"en","license":"2011 Nature Publishing Group, a division of Macmillan Publishers Limited. All Rights Reserved.","note":"Bandiera_abtest: a\nCg_type: Nature Research Journals\nnumber: 8\nPrimary_atype: Research\npublisher: Nature Publishing Group\nSubject_term: Cytotoxic T cells;Endocytosis;NK cells\nSubject_term_id: cytotoxic-t-cells;endocytosis;nk-cells","page":"770-777","source":"www.nature.com","title":"Perforin pores in the endosomal membrane trigger the release of endocytosed granzyme B into the cytosol of target cells","URL":"https://www.nature.com/articles/ni.2050","volume":"12","author":[{"family":"Thiery","given":"Jerome"},{"family":"Keefe","given":"Dennis"},{"family":"Boulant","given":"Steeve"},{"family":"Boucrot","given":"Emmanuel"},{"family":"Walch","given":"Michael"},{"family":"Martinvalet","given":"Denis"},{"family":"Goping","given":"Ing Swie"},{"family":"Bleackley","given":"R. Chris"},{"family":"Kirchhausen","given":"Tomas"},{"family":"Lieberman","given":"Judy"}],"accessed":{"date-parts":[["2021",10,24]]},"issued":{"date-parts":[["2011",8]]},"citation-key":"thiery_perforin_2011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w:t>
      </w:r>
      <w:r w:rsidRPr="002A7128">
        <w:rPr>
          <w:rFonts w:ascii="Calibri" w:hAnsi="Calibri" w:cs="Calibri"/>
        </w:rPr>
        <w:fldChar w:fldCharType="end"/>
      </w:r>
      <w:r w:rsidR="007D711E" w:rsidRPr="002A7128">
        <w:rPr>
          <w:rFonts w:ascii="Calibri" w:hAnsi="Calibri" w:cs="Calibri"/>
        </w:rPr>
        <w:t xml:space="preserve"> and induce cell death.</w:t>
      </w:r>
      <w:r w:rsidR="00C056FA" w:rsidRPr="002A7128">
        <w:rPr>
          <w:rFonts w:ascii="Calibri" w:hAnsi="Calibri" w:cs="Calibri"/>
        </w:rPr>
        <w:t xml:space="preserve"> </w:t>
      </w:r>
      <w:r w:rsidRPr="002A7128">
        <w:rPr>
          <w:rFonts w:ascii="Calibri" w:hAnsi="Calibri" w:cs="Calibri"/>
        </w:rPr>
        <w:t>Successful stimulation of cellular immunity is critical in protection against infectious diseases and cancers.</w:t>
      </w:r>
    </w:p>
    <w:p w14:paraId="2E3066AD" w14:textId="77777777" w:rsidR="00A27485" w:rsidRPr="002A7128" w:rsidRDefault="00A27485" w:rsidP="00A27485">
      <w:pPr>
        <w:keepNext/>
        <w:spacing w:line="480" w:lineRule="auto"/>
        <w:jc w:val="both"/>
        <w:rPr>
          <w:rFonts w:ascii="Calibri" w:hAnsi="Calibri" w:cs="Calibri"/>
        </w:rPr>
      </w:pPr>
    </w:p>
    <w:p w14:paraId="11DFB5F8" w14:textId="77777777" w:rsidR="00A27485" w:rsidRPr="002A7128" w:rsidRDefault="00A27485" w:rsidP="00A27485">
      <w:pPr>
        <w:keepNext/>
        <w:spacing w:line="480" w:lineRule="auto"/>
        <w:jc w:val="both"/>
        <w:rPr>
          <w:rFonts w:ascii="Calibri" w:hAnsi="Calibri" w:cs="Calibri"/>
        </w:rPr>
      </w:pPr>
      <w:r w:rsidRPr="002A7128">
        <w:rPr>
          <w:rFonts w:ascii="Calibri" w:hAnsi="Calibri" w:cs="Calibri"/>
          <w:noProof/>
        </w:rPr>
        <w:drawing>
          <wp:inline distT="0" distB="0" distL="0" distR="0" wp14:anchorId="6FF3504E" wp14:editId="645CA4D0">
            <wp:extent cx="4330700" cy="2857500"/>
            <wp:effectExtent l="0" t="0" r="0" b="0"/>
            <wp:docPr id="11" name="Picture 11"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ubble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330700" cy="2857500"/>
                    </a:xfrm>
                    <a:prstGeom prst="rect">
                      <a:avLst/>
                    </a:prstGeom>
                  </pic:spPr>
                </pic:pic>
              </a:graphicData>
            </a:graphic>
          </wp:inline>
        </w:drawing>
      </w:r>
    </w:p>
    <w:p w14:paraId="4E54AAA2" w14:textId="060F9584" w:rsidR="00A27485" w:rsidRPr="002A7128" w:rsidRDefault="00A27485" w:rsidP="007D2ECB">
      <w:pPr>
        <w:pStyle w:val="Caption"/>
        <w:spacing w:line="480" w:lineRule="auto"/>
        <w:jc w:val="both"/>
        <w:rPr>
          <w:rFonts w:ascii="Calibri" w:hAnsi="Calibri" w:cs="Calibri"/>
          <w:i w:val="0"/>
          <w:iCs w:val="0"/>
          <w:color w:val="000000" w:themeColor="text1"/>
          <w:sz w:val="24"/>
          <w:szCs w:val="24"/>
        </w:rPr>
      </w:pPr>
      <w:bookmarkStart w:id="9" w:name="_Ref116560816"/>
      <w:bookmarkStart w:id="10" w:name="_Toc120789419"/>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Pr="002A7128">
        <w:rPr>
          <w:rFonts w:ascii="Calibri" w:hAnsi="Calibri" w:cs="Calibri"/>
          <w:b/>
          <w:bCs/>
          <w:i w:val="0"/>
          <w:iCs w:val="0"/>
          <w:noProof/>
          <w:color w:val="000000" w:themeColor="text1"/>
          <w:sz w:val="24"/>
          <w:szCs w:val="24"/>
        </w:rPr>
        <w:t>1</w:t>
      </w:r>
      <w:r w:rsidRPr="002A7128">
        <w:rPr>
          <w:rFonts w:ascii="Calibri" w:hAnsi="Calibri" w:cs="Calibri"/>
          <w:b/>
          <w:bCs/>
          <w:i w:val="0"/>
          <w:iCs w:val="0"/>
          <w:color w:val="000000" w:themeColor="text1"/>
          <w:sz w:val="24"/>
          <w:szCs w:val="24"/>
        </w:rPr>
        <w:fldChar w:fldCharType="end"/>
      </w:r>
      <w:bookmarkEnd w:id="9"/>
      <w:r w:rsidRPr="002A7128">
        <w:rPr>
          <w:rFonts w:ascii="Calibri" w:hAnsi="Calibri" w:cs="Calibri"/>
          <w:sz w:val="24"/>
          <w:szCs w:val="24"/>
        </w:rPr>
        <w:t xml:space="preserve"> </w:t>
      </w:r>
      <w:r w:rsidRPr="002A7128">
        <w:rPr>
          <w:rFonts w:ascii="Calibri" w:hAnsi="Calibri" w:cs="Calibri"/>
          <w:b/>
          <w:bCs/>
          <w:i w:val="0"/>
          <w:iCs w:val="0"/>
          <w:color w:val="000000" w:themeColor="text1"/>
          <w:sz w:val="24"/>
          <w:szCs w:val="24"/>
        </w:rPr>
        <w:t xml:space="preserve">Cellular immunity. </w:t>
      </w:r>
      <w:r w:rsidRPr="002A7128">
        <w:rPr>
          <w:rFonts w:ascii="Calibri" w:hAnsi="Calibri" w:cs="Calibri"/>
          <w:i w:val="0"/>
          <w:iCs w:val="0"/>
          <w:color w:val="000000" w:themeColor="text1"/>
          <w:sz w:val="24"/>
          <w:szCs w:val="24"/>
        </w:rPr>
        <w:t>Cellular immunity involves direct destruction of tumor or infected cell by cytotoxic T cells and natural killer cells.</w:t>
      </w:r>
      <w:r w:rsidR="007D2ECB" w:rsidRPr="002A7128">
        <w:rPr>
          <w:rFonts w:ascii="Calibri" w:hAnsi="Calibri" w:cs="Calibri"/>
          <w:i w:val="0"/>
          <w:iCs w:val="0"/>
          <w:color w:val="000000" w:themeColor="text1"/>
          <w:sz w:val="24"/>
          <w:szCs w:val="24"/>
        </w:rPr>
        <w:t xml:space="preserve"> This figure is prepared using </w:t>
      </w:r>
      <w:proofErr w:type="spellStart"/>
      <w:r w:rsidR="007D2ECB" w:rsidRPr="002A7128">
        <w:rPr>
          <w:rFonts w:ascii="Calibri" w:hAnsi="Calibri" w:cs="Calibri"/>
          <w:i w:val="0"/>
          <w:iCs w:val="0"/>
          <w:color w:val="000000" w:themeColor="text1"/>
          <w:sz w:val="24"/>
          <w:szCs w:val="24"/>
        </w:rPr>
        <w:t>BioRender</w:t>
      </w:r>
      <w:proofErr w:type="spellEnd"/>
      <w:r w:rsidR="007D2ECB" w:rsidRPr="002A7128">
        <w:rPr>
          <w:rFonts w:ascii="Calibri" w:hAnsi="Calibri" w:cs="Calibri"/>
          <w:i w:val="0"/>
          <w:iCs w:val="0"/>
          <w:color w:val="000000" w:themeColor="text1"/>
          <w:sz w:val="24"/>
          <w:szCs w:val="24"/>
        </w:rPr>
        <w:t>.</w:t>
      </w:r>
      <w:bookmarkEnd w:id="10"/>
    </w:p>
    <w:p w14:paraId="159DF44E" w14:textId="36F49A4D" w:rsidR="00A27485" w:rsidRPr="002A7128" w:rsidRDefault="00A27485" w:rsidP="00A27485">
      <w:pPr>
        <w:spacing w:line="480" w:lineRule="auto"/>
        <w:jc w:val="both"/>
        <w:rPr>
          <w:rFonts w:ascii="Calibri" w:hAnsi="Calibri" w:cs="Calibri"/>
        </w:rPr>
      </w:pPr>
      <w:r w:rsidRPr="002A7128">
        <w:rPr>
          <w:rFonts w:ascii="Calibri" w:hAnsi="Calibri" w:cs="Calibri"/>
        </w:rPr>
        <w:t>Humoral immunity on the other hand involves the secretion antibodies which function in neutralization, phagocytosis, and antibody-dependent cellular cytotoxicity (ADCC). Antibodies also play role in the activation of complement system, which is reviewed extensively before</w:t>
      </w:r>
      <w:r w:rsidRPr="002A7128">
        <w:rPr>
          <w:rFonts w:ascii="Calibri" w:hAnsi="Calibri" w:cs="Calibri"/>
        </w:rPr>
        <w:fldChar w:fldCharType="begin"/>
      </w:r>
      <w:r w:rsidR="00317E7D" w:rsidRPr="002A7128">
        <w:rPr>
          <w:rFonts w:ascii="Calibri" w:hAnsi="Calibri" w:cs="Calibri"/>
        </w:rPr>
        <w:instrText xml:space="preserve"> ADDIN ZOTERO_ITEM CSL_CITATION {"citationID":"a2njobvq9d6","properties":{"formattedCitation":"\\super 2\\nosupersub{}","plainCitation":"2","noteIndex":0},"citationItems":[{"id":12198,"uris":["http://zotero.org/groups/2667333/items/MSL3M3CV"],"itemData":{"id":12198,"type":"article-journal","container-title":"Cell Research","DOI":"10.1038/cr.2009.139","ISSN":"1001-0602, 1748-7838","issue":"1","journalAbbreviation":"Cell Res","language":"en","page":"34-50","source":"DOI.org (Crossref)","title":"Complement and its role in innate and adaptive immune responses","URL":"http://www.nature.com/articles/cr2009139","volume":"20","author":[{"family":"Dunkelberger","given":"Jason R"},{"family":"Song","given":"Wen-Chao"}],"accessed":{"date-parts":[["2022",9,21]]},"issued":{"date-parts":[["2010",1]]},"citation-key":"dunkelberger_complement_2010"}}],"schema":"https://github.com/citation-style-language/schema/raw/master/csl-citation.json"}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w:t>
      </w:r>
      <w:r w:rsidRPr="002A7128">
        <w:rPr>
          <w:rFonts w:ascii="Calibri" w:hAnsi="Calibri" w:cs="Calibri"/>
        </w:rPr>
        <w:fldChar w:fldCharType="end"/>
      </w:r>
      <w:r w:rsidRPr="002A7128">
        <w:rPr>
          <w:rFonts w:ascii="Calibri" w:hAnsi="Calibri" w:cs="Calibri"/>
        </w:rPr>
        <w:t xml:space="preserve">. Antibodies are composed of variable and constant regions and there are 5 types of antibodies: IgG, IgA, </w:t>
      </w:r>
      <w:proofErr w:type="spellStart"/>
      <w:r w:rsidRPr="002A7128">
        <w:rPr>
          <w:rFonts w:ascii="Calibri" w:hAnsi="Calibri" w:cs="Calibri"/>
        </w:rPr>
        <w:t>IgE</w:t>
      </w:r>
      <w:proofErr w:type="spellEnd"/>
      <w:r w:rsidRPr="002A7128">
        <w:rPr>
          <w:rFonts w:ascii="Calibri" w:hAnsi="Calibri" w:cs="Calibri"/>
        </w:rPr>
        <w:t xml:space="preserve">, IgM and </w:t>
      </w:r>
      <w:proofErr w:type="spellStart"/>
      <w:r w:rsidRPr="002A7128">
        <w:rPr>
          <w:rFonts w:ascii="Calibri" w:hAnsi="Calibri" w:cs="Calibri"/>
        </w:rPr>
        <w:t>IgD</w:t>
      </w:r>
      <w:proofErr w:type="spellEnd"/>
      <w:r w:rsidR="007D711E" w:rsidRPr="002A7128">
        <w:rPr>
          <w:rFonts w:ascii="Calibri" w:hAnsi="Calibri" w:cs="Calibri"/>
        </w:rPr>
        <w:t>.</w:t>
      </w:r>
      <w:r w:rsidRPr="002A7128">
        <w:rPr>
          <w:rFonts w:ascii="Calibri" w:hAnsi="Calibri" w:cs="Calibri"/>
        </w:rPr>
        <w:t xml:space="preserve"> These antibodies recognize and bind to antigens from their variable region.   </w:t>
      </w:r>
    </w:p>
    <w:p w14:paraId="67B20E1B" w14:textId="4FC6E639" w:rsidR="00A27485" w:rsidRPr="002A7128" w:rsidRDefault="00A27485" w:rsidP="00A27485">
      <w:pPr>
        <w:spacing w:line="480" w:lineRule="auto"/>
        <w:jc w:val="both"/>
        <w:rPr>
          <w:rFonts w:ascii="Calibri" w:hAnsi="Calibri" w:cs="Calibri"/>
        </w:rPr>
      </w:pPr>
      <w:r w:rsidRPr="002A7128">
        <w:rPr>
          <w:rFonts w:ascii="Calibri" w:hAnsi="Calibri" w:cs="Calibri"/>
        </w:rPr>
        <w:t xml:space="preserve">Among different antibody types, IgG is the main component of humoral immunity due to its small size, high </w:t>
      </w:r>
      <w:proofErr w:type="spellStart"/>
      <w:r w:rsidRPr="002A7128">
        <w:rPr>
          <w:rFonts w:ascii="Calibri" w:hAnsi="Calibri" w:cs="Calibri"/>
        </w:rPr>
        <w:t>diffisubility</w:t>
      </w:r>
      <w:proofErr w:type="spellEnd"/>
      <w:r w:rsidRPr="002A7128">
        <w:rPr>
          <w:rFonts w:ascii="Calibri" w:hAnsi="Calibri" w:cs="Calibri"/>
        </w:rPr>
        <w:t xml:space="preserve"> and its abundance which is 10-20% of plasma proteins</w:t>
      </w:r>
      <w:r w:rsidRPr="002A7128">
        <w:rPr>
          <w:rFonts w:ascii="Calibri" w:hAnsi="Calibri" w:cs="Calibri"/>
        </w:rPr>
        <w:fldChar w:fldCharType="begin"/>
      </w:r>
      <w:r w:rsidR="00317E7D" w:rsidRPr="002A7128">
        <w:rPr>
          <w:rFonts w:ascii="Calibri" w:hAnsi="Calibri" w:cs="Calibri"/>
        </w:rPr>
        <w:instrText xml:space="preserve"> ADDIN ZOTERO_ITEM CSL_CITATION {"citationID":"ab897og4ue","properties":{"formattedCitation":"\\super 3\\nosupersub{}","plainCitation":"3","noteIndex":0},"citationItems":[{"id":9428,"uris":["http://zotero.org/groups/2667333/items/A27IHPUV"],"itemData":{"id":9428,"type":"article-journal","abstract":"Of the five immunoglobulin isotypes, immunoglobulin G (IgG) is most abundant in human serum. The four subclasses, IgG1, IgG2, IgG3, and IgG4, which are highly conserved, differ in their constant region, particularly in their hinges and upper CH2 domains. These regions are involved in binding to both IgG-Fc receptors (FcγR) and C1q. As a result, the different subclasses have different effector functions, both in terms of triggering FcγR-expressing cells, resulting in phagocytosis or antibody-dependent cell-mediated cytotoxicity, and activating complement. The Fc-regions also contain a binding epitope for the neonatal Fc receptor (FcRn), responsible for the extended half-life, placental transport, and bidirectional transport of IgG to mucosal surfaces. However, FcRn is also expressed in myeloid cells, where it participates in both phagocytosis and antigen presentation together with classical FcγR and complement. How these properties, IgG-polymorphisms and post-translational modification of the antibodies in the form of glycosylation, affect IgG-function will be the focus of the current review.","container-title":"Frontiers in Immunology","DOI":"10.3389/fimmu.2014.00520","ISSN":"1664-3224","journalAbbreviation":"Front Immunol","note":"PMID: 25368619\nPMCID: PMC4202688\ntex.ids= vidarsson_igg_2014-1","page":"520","source":"PubMed Central","title":"IgG Subclasses and Allotypes: From Structure to Effector Functions","title-short":"IgG Subclasses and Allotypes","URL":"https://www.ncbi.nlm.nih.gov/pmc/articles/PMC4202688/","volume":"5","author":[{"family":"Vidarsson","given":"Gestur"},{"family":"Dekkers","given":"Gillian"},{"family":"Rispens","given":"Theo"}],"accessed":{"date-parts":[["2021",11,4]]},"issued":{"date-parts":[["2014",10,20]]},"citation-key":"vidarsson_igg_2014"}}],"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w:t>
      </w:r>
      <w:r w:rsidRPr="002A7128">
        <w:rPr>
          <w:rFonts w:ascii="Calibri" w:hAnsi="Calibri" w:cs="Calibri"/>
        </w:rPr>
        <w:fldChar w:fldCharType="end"/>
      </w:r>
      <w:r w:rsidRPr="002A7128">
        <w:rPr>
          <w:rFonts w:ascii="Calibri" w:hAnsi="Calibri" w:cs="Calibri"/>
        </w:rPr>
        <w:t xml:space="preserve">. IgG antibodies are </w:t>
      </w:r>
      <w:r w:rsidRPr="002A7128">
        <w:rPr>
          <w:rFonts w:ascii="Calibri" w:hAnsi="Calibri" w:cs="Calibri"/>
        </w:rPr>
        <w:lastRenderedPageBreak/>
        <w:t xml:space="preserve">comprised of 4 different subclasses: IgG1, IgG2, IgG3 and IgG4. Collectively, their functionalities involve; neutralization of microbes and toxins, opsonization and phagocytosis of microbes and ADCC </w:t>
      </w:r>
      <w:r w:rsidRPr="002A7128">
        <w:rPr>
          <w:rFonts w:ascii="Calibri" w:hAnsi="Calibri" w:cs="Calibri"/>
          <w:b/>
          <w:bCs/>
        </w:rPr>
        <w:t>(</w:t>
      </w:r>
      <w:r w:rsidR="00D860E1" w:rsidRPr="002A7128">
        <w:rPr>
          <w:rFonts w:ascii="Calibri" w:hAnsi="Calibri" w:cs="Calibri"/>
          <w:b/>
          <w:bCs/>
        </w:rPr>
        <w:fldChar w:fldCharType="begin"/>
      </w:r>
      <w:r w:rsidR="00D860E1" w:rsidRPr="002A7128">
        <w:rPr>
          <w:rFonts w:ascii="Calibri" w:hAnsi="Calibri" w:cs="Calibri"/>
          <w:b/>
          <w:bCs/>
        </w:rPr>
        <w:instrText xml:space="preserve"> REF _Ref116560860 \h  \* MERGEFORMAT </w:instrText>
      </w:r>
      <w:r w:rsidR="00D860E1" w:rsidRPr="002A7128">
        <w:rPr>
          <w:rFonts w:ascii="Calibri" w:hAnsi="Calibri" w:cs="Calibri"/>
          <w:b/>
          <w:bCs/>
        </w:rPr>
      </w:r>
      <w:r w:rsidR="00D860E1" w:rsidRPr="002A7128">
        <w:rPr>
          <w:rFonts w:ascii="Calibri" w:hAnsi="Calibri" w:cs="Calibri"/>
          <w:b/>
          <w:bCs/>
        </w:rPr>
        <w:fldChar w:fldCharType="separate"/>
      </w:r>
      <w:r w:rsidR="00D860E1" w:rsidRPr="002A7128">
        <w:rPr>
          <w:rFonts w:ascii="Calibri" w:hAnsi="Calibri" w:cs="Calibri"/>
          <w:b/>
          <w:bCs/>
          <w:color w:val="000000" w:themeColor="text1"/>
        </w:rPr>
        <w:t xml:space="preserve">Figure </w:t>
      </w:r>
      <w:r w:rsidR="00D860E1" w:rsidRPr="002A7128">
        <w:rPr>
          <w:rFonts w:ascii="Calibri" w:hAnsi="Calibri" w:cs="Calibri"/>
          <w:b/>
          <w:bCs/>
          <w:i/>
          <w:iCs/>
          <w:noProof/>
          <w:color w:val="000000" w:themeColor="text1"/>
        </w:rPr>
        <w:t>3</w:t>
      </w:r>
      <w:r w:rsidR="00D860E1" w:rsidRPr="002A7128">
        <w:rPr>
          <w:rFonts w:ascii="Calibri" w:hAnsi="Calibri" w:cs="Calibri"/>
          <w:b/>
          <w:bCs/>
        </w:rPr>
        <w:fldChar w:fldCharType="end"/>
      </w:r>
      <w:r w:rsidRPr="002A7128">
        <w:rPr>
          <w:rFonts w:ascii="Calibri" w:hAnsi="Calibri" w:cs="Calibri"/>
          <w:b/>
          <w:bCs/>
        </w:rPr>
        <w:t>)</w:t>
      </w:r>
      <w:r w:rsidRPr="002A7128">
        <w:rPr>
          <w:rFonts w:ascii="Calibri" w:hAnsi="Calibri" w:cs="Calibri"/>
        </w:rPr>
        <w:t xml:space="preserve">. Neutralization and phagocytosis help clearance of the antigen from the extracellular environment. ADCC, on the other hand is critical for the clearance and destruction of infected or cancerous cells that express antigens on their cell surface. </w:t>
      </w:r>
    </w:p>
    <w:p w14:paraId="34D3FD5F" w14:textId="77777777" w:rsidR="00A27485" w:rsidRPr="002A7128" w:rsidRDefault="00A27485" w:rsidP="00A27485">
      <w:pPr>
        <w:keepNext/>
        <w:spacing w:line="480" w:lineRule="auto"/>
        <w:jc w:val="both"/>
        <w:rPr>
          <w:rFonts w:ascii="Calibri" w:hAnsi="Calibri" w:cs="Calibri"/>
        </w:rPr>
      </w:pPr>
      <w:r w:rsidRPr="002A7128">
        <w:rPr>
          <w:rFonts w:ascii="Calibri" w:hAnsi="Calibri" w:cs="Calibri"/>
          <w:noProof/>
        </w:rPr>
        <w:drawing>
          <wp:inline distT="0" distB="0" distL="0" distR="0" wp14:anchorId="16214D2A" wp14:editId="31D309D6">
            <wp:extent cx="5560541" cy="4664530"/>
            <wp:effectExtent l="0" t="0" r="2540" b="0"/>
            <wp:docPr id="39" name="Picture 3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schematic&#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582535" cy="4682980"/>
                    </a:xfrm>
                    <a:prstGeom prst="rect">
                      <a:avLst/>
                    </a:prstGeom>
                  </pic:spPr>
                </pic:pic>
              </a:graphicData>
            </a:graphic>
          </wp:inline>
        </w:drawing>
      </w:r>
    </w:p>
    <w:p w14:paraId="43ABFE01" w14:textId="1D099EDB" w:rsidR="00A27485" w:rsidRPr="002A7128" w:rsidRDefault="00A27485" w:rsidP="007D2ECB">
      <w:pPr>
        <w:pStyle w:val="Caption"/>
        <w:spacing w:line="480" w:lineRule="auto"/>
        <w:jc w:val="both"/>
        <w:rPr>
          <w:rFonts w:ascii="Calibri" w:hAnsi="Calibri" w:cs="Calibri"/>
          <w:i w:val="0"/>
          <w:iCs w:val="0"/>
          <w:color w:val="000000" w:themeColor="text1"/>
          <w:sz w:val="24"/>
          <w:szCs w:val="24"/>
        </w:rPr>
      </w:pPr>
      <w:bookmarkStart w:id="11" w:name="_Ref116560860"/>
      <w:bookmarkStart w:id="12" w:name="_Toc120789420"/>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w:t>
      </w:r>
      <w:r w:rsidRPr="002A7128">
        <w:rPr>
          <w:rFonts w:ascii="Calibri" w:hAnsi="Calibri" w:cs="Calibri"/>
          <w:b/>
          <w:bCs/>
          <w:i w:val="0"/>
          <w:iCs w:val="0"/>
          <w:color w:val="000000" w:themeColor="text1"/>
          <w:sz w:val="24"/>
          <w:szCs w:val="24"/>
        </w:rPr>
        <w:fldChar w:fldCharType="end"/>
      </w:r>
      <w:bookmarkEnd w:id="11"/>
      <w:r w:rsidRPr="002A7128">
        <w:rPr>
          <w:rFonts w:ascii="Calibri" w:hAnsi="Calibri" w:cs="Calibri"/>
          <w:b/>
          <w:bCs/>
          <w:i w:val="0"/>
          <w:iCs w:val="0"/>
          <w:color w:val="000000" w:themeColor="text1"/>
          <w:sz w:val="24"/>
          <w:szCs w:val="24"/>
        </w:rPr>
        <w:t xml:space="preserve"> Functionality of antibodies.</w:t>
      </w:r>
      <w:r w:rsidRPr="002A7128">
        <w:rPr>
          <w:rFonts w:ascii="Calibri" w:hAnsi="Calibri" w:cs="Calibri"/>
          <w:i w:val="0"/>
          <w:iCs w:val="0"/>
          <w:color w:val="000000" w:themeColor="text1"/>
          <w:sz w:val="24"/>
          <w:szCs w:val="24"/>
        </w:rPr>
        <w:t xml:space="preserve"> Antibodies are responsible for the following functionalities: neutralization of microbes and toxins, opsonization and phagocytosis of microbes and antibody-dependent cellular cytotoxicity (ADCC). This figure is prepared using </w:t>
      </w:r>
      <w:proofErr w:type="spellStart"/>
      <w:r w:rsidRPr="002A7128">
        <w:rPr>
          <w:rFonts w:ascii="Calibri" w:hAnsi="Calibri" w:cs="Calibri"/>
          <w:i w:val="0"/>
          <w:iCs w:val="0"/>
          <w:color w:val="000000" w:themeColor="text1"/>
          <w:sz w:val="24"/>
          <w:szCs w:val="24"/>
        </w:rPr>
        <w:t>BioRender</w:t>
      </w:r>
      <w:proofErr w:type="spellEnd"/>
      <w:r w:rsidRPr="002A7128">
        <w:rPr>
          <w:rFonts w:ascii="Calibri" w:hAnsi="Calibri" w:cs="Calibri"/>
          <w:i w:val="0"/>
          <w:iCs w:val="0"/>
          <w:color w:val="000000" w:themeColor="text1"/>
          <w:sz w:val="24"/>
          <w:szCs w:val="24"/>
        </w:rPr>
        <w:t>.</w:t>
      </w:r>
      <w:bookmarkEnd w:id="12"/>
    </w:p>
    <w:p w14:paraId="383C33B2" w14:textId="77777777" w:rsidR="00A27485" w:rsidRPr="002A7128" w:rsidRDefault="00A27485" w:rsidP="00A27485">
      <w:pPr>
        <w:rPr>
          <w:rFonts w:ascii="Calibri" w:hAnsi="Calibri" w:cs="Calibri"/>
        </w:rPr>
      </w:pPr>
    </w:p>
    <w:p w14:paraId="78980A81" w14:textId="77777777" w:rsidR="00A27485" w:rsidRPr="002A7128" w:rsidRDefault="00A27485" w:rsidP="00A27485">
      <w:pPr>
        <w:rPr>
          <w:rFonts w:ascii="Calibri" w:hAnsi="Calibri" w:cs="Calibri"/>
        </w:rPr>
      </w:pPr>
    </w:p>
    <w:p w14:paraId="7BD7E4B4" w14:textId="26682F2E" w:rsidR="00A27485" w:rsidRPr="002A7128" w:rsidRDefault="00A27485" w:rsidP="00A27485">
      <w:pPr>
        <w:spacing w:line="480" w:lineRule="auto"/>
        <w:jc w:val="both"/>
        <w:rPr>
          <w:rFonts w:ascii="Calibri" w:hAnsi="Calibri" w:cs="Calibri"/>
        </w:rPr>
      </w:pPr>
      <w:r w:rsidRPr="002A7128">
        <w:rPr>
          <w:rFonts w:ascii="Calibri" w:hAnsi="Calibri" w:cs="Calibri"/>
        </w:rPr>
        <w:t>Among these IgG subtypes, IgG2 antibodies have been shown to induce highest ADCC both in infections such as influenza</w:t>
      </w:r>
      <w:r w:rsidRPr="002A7128">
        <w:rPr>
          <w:rFonts w:ascii="Calibri" w:hAnsi="Calibri" w:cs="Calibri"/>
        </w:rPr>
        <w:fldChar w:fldCharType="begin"/>
      </w:r>
      <w:r w:rsidR="00317E7D" w:rsidRPr="002A7128">
        <w:rPr>
          <w:rFonts w:ascii="Calibri" w:hAnsi="Calibri" w:cs="Calibri"/>
        </w:rPr>
        <w:instrText xml:space="preserve"> ADDIN ZOTERO_ITEM CSL_CITATION {"citationID":"a1eh1a22617","properties":{"formattedCitation":"\\super 4\\nosupersub{}","plainCitation":"4","noteIndex":0},"citationItems":[{"id":12203,"uris":["http://zotero.org/groups/2667333/items/BRMUCYRG"],"itemData":{"id":12203,"type":"article-journal","container-title":"The Journal of Immunology","DOI":"10.4049/jimmunol.1400432","ISSN":"0022-1767, 1550-6606","issue":"2","journalAbbreviation":"J.I.","language":"en","page":"469-475","source":"DOI.org (Crossref)","title":"Influenza-Specific Antibody-Dependent Cellular Cytotoxicity: Toward a Universal Influenza Vaccine","title-short":"Influenza-Specific Antibody-Dependent Cellular Cytotoxicity","URL":"http://www.jimmunol.org/lookup/doi/10.4049/jimmunol.1400432","volume":"193","author":[{"family":"Jegaskanda","given":"Sinthujan"},{"family":"Reading","given":"Patrick C."},{"family":"Kent","given":"Stephen J."}],"accessed":{"date-parts":[["2022",9,21]]},"issued":{"date-parts":[["2014",7,15]]},"citation-key":"jegaskanda_influenza-specific_2014"}}],"schema":"https://github.com/citation-style-language/schema/raw/master/csl-citation.json"}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w:t>
      </w:r>
      <w:r w:rsidRPr="002A7128">
        <w:rPr>
          <w:rFonts w:ascii="Calibri" w:hAnsi="Calibri" w:cs="Calibri"/>
        </w:rPr>
        <w:fldChar w:fldCharType="end"/>
      </w:r>
      <w:r w:rsidRPr="002A7128">
        <w:rPr>
          <w:rFonts w:ascii="Calibri" w:hAnsi="Calibri" w:cs="Calibri"/>
        </w:rPr>
        <w:t xml:space="preserve"> and metastatic melanoma models</w:t>
      </w:r>
      <w:r w:rsidRPr="002A7128">
        <w:rPr>
          <w:rFonts w:ascii="Calibri" w:hAnsi="Calibri" w:cs="Calibri"/>
        </w:rPr>
        <w:fldChar w:fldCharType="begin"/>
      </w:r>
      <w:r w:rsidR="00317E7D" w:rsidRPr="002A7128">
        <w:rPr>
          <w:rFonts w:ascii="Calibri" w:hAnsi="Calibri" w:cs="Calibri"/>
        </w:rPr>
        <w:instrText xml:space="preserve"> ADDIN ZOTERO_ITEM CSL_CITATION {"citationID":"a1ahlit5md","properties":{"formattedCitation":"\\super 5\\nosupersub{}","plainCitation":"5","noteIndex":0},"citationItems":[{"id":9127,"uris":["http://zotero.org/groups/2667333/items/HN3QVE3W"],"itemData":{"id":9127,"type":"article-journal","container-title":"Science","DOI":"10.1126/science.1118948","ISSN":"0036-8075, 1095-9203","issue":"5753","journalAbbreviation":"Science","language":"en","note":"tex.ids= nimmerjahn_divergent_2005-1","page":"1510-1512","source":"DOI.org (Crossref)","title":"Divergent Immunoglobulin G Subclass Activity Through Selective Fc Receptor Binding","URL":"https://www.sciencemag.org/lookup/doi/10.1126/science.1118948","volume":"310","author":[{"family":"Nimmerjahn","given":"F."}],"accessed":{"date-parts":[["2021",9,19]]},"issued":{"date-parts":[["2005",12,2]]},"citation-key":"nimmerjahn_divergent_2005"}}],"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w:t>
      </w:r>
      <w:r w:rsidRPr="002A7128">
        <w:rPr>
          <w:rFonts w:ascii="Calibri" w:hAnsi="Calibri" w:cs="Calibri"/>
        </w:rPr>
        <w:fldChar w:fldCharType="end"/>
      </w:r>
      <w:r w:rsidRPr="002A7128">
        <w:rPr>
          <w:rFonts w:ascii="Calibri" w:hAnsi="Calibri" w:cs="Calibri"/>
        </w:rPr>
        <w:t xml:space="preserve">. Fc portion of IgG2 antibody is recognized by the Fc receptors of immune cells such as natural killer cells and results in the destruction of the target cell. This is critical for the clearance of cells that are infected with viruses in case of viral infections. </w:t>
      </w:r>
    </w:p>
    <w:p w14:paraId="3F9DC778" w14:textId="59DEF155" w:rsidR="00A27485" w:rsidRPr="002A7128" w:rsidRDefault="00A27485" w:rsidP="00A27485">
      <w:pPr>
        <w:spacing w:line="480" w:lineRule="auto"/>
        <w:jc w:val="both"/>
        <w:rPr>
          <w:rFonts w:ascii="Calibri" w:hAnsi="Calibri" w:cs="Calibri"/>
        </w:rPr>
      </w:pPr>
      <w:r w:rsidRPr="002A7128">
        <w:rPr>
          <w:rFonts w:ascii="Calibri" w:hAnsi="Calibri" w:cs="Calibri"/>
        </w:rPr>
        <w:t xml:space="preserve">Production of different types of antibodies are conveyed through the complex interactions of B cells and T helper (Th) cells. Th cells are specialized CD4 + T cells with distinct functionalities. They have different subtypes such as Th1 and Th2. As mentioned earlier, activated, and mature APCs interact with naïve T cells </w:t>
      </w:r>
      <w:r w:rsidRPr="002A7128">
        <w:rPr>
          <w:rFonts w:ascii="Calibri" w:hAnsi="Calibri" w:cs="Calibri"/>
          <w:b/>
          <w:bCs/>
        </w:rPr>
        <w:t>(Figure 1)</w:t>
      </w:r>
      <w:r w:rsidRPr="002A7128">
        <w:rPr>
          <w:rFonts w:ascii="Calibri" w:hAnsi="Calibri" w:cs="Calibri"/>
        </w:rPr>
        <w:t>. Co-stimulatory factors and release of different cytokines from APCs are decisive for Th cell differentiation. As a consequence of Th cell and B cell interaction, Th1 cells induce IgG2a production while Th2 cells induce IgG1 production from B cells. Induction of both Th1 and Th2 responses engage both humoral and cellular immunity to fight against infectious diseases and cancer.</w:t>
      </w:r>
    </w:p>
    <w:p w14:paraId="710E703E" w14:textId="2EC14A5C" w:rsidR="00A27485" w:rsidRPr="002A7128" w:rsidRDefault="00A27485" w:rsidP="00A27485">
      <w:pPr>
        <w:spacing w:line="480" w:lineRule="auto"/>
        <w:jc w:val="both"/>
        <w:rPr>
          <w:rFonts w:ascii="Calibri" w:hAnsi="Calibri" w:cs="Calibri"/>
        </w:rPr>
      </w:pPr>
      <w:r w:rsidRPr="002A7128">
        <w:rPr>
          <w:rFonts w:ascii="Calibri" w:hAnsi="Calibri" w:cs="Calibri"/>
        </w:rPr>
        <w:t>In the context of immune system activation, the following two terms referred to as immunogenicity and antigenicity are important to distinguish. Immunogenicity is defined as the ability of an entity to induce humoral and cellular response. Antigenicity is a term defined as the ability of an antigen to be recognized by secreted antibodies or T cell receptors</w:t>
      </w:r>
      <w:r w:rsidRPr="002A7128">
        <w:rPr>
          <w:rFonts w:ascii="Calibri" w:hAnsi="Calibri" w:cs="Calibri"/>
        </w:rPr>
        <w:fldChar w:fldCharType="begin"/>
      </w:r>
      <w:r w:rsidR="00317E7D" w:rsidRPr="002A7128">
        <w:rPr>
          <w:rFonts w:ascii="Calibri" w:hAnsi="Calibri" w:cs="Calibri"/>
        </w:rPr>
        <w:instrText xml:space="preserve"> ADDIN ZOTERO_ITEM CSL_CITATION {"citationID":"rUclHpkH","properties":{"unsorted":true,"formattedCitation":"\\super 6,7\\nosupersub{}","plainCitation":"6,7","noteIndex":0},"citationItems":[{"id":10606,"uris":["http://zotero.org/groups/2667333/items/XN2YKIZB"],"itemData":{"id":10606,"type":"chapter","container-title":"Allergy Bioinformatics","event-place":"Dordrecht","ISBN":"978-94-017-7442-0","language":"en","note":"collection-title: Translational Bioinformatics\nDOI: 10.1007/978-94-017-7444-4_11","page":"175-186","publisher":"Springer Netherlands","publisher-place":"Dordrecht","source":"DOI.org (Crossref)","title":"Antigenicity, Immunogenicity, Allergenicity","URL":"http://link.springer.com/10.1007/978-94-017-7444-4_11","volume":"8","editor":[{"family":"Tao","given":"Ailin"},{"family":"Raz","given":"Eyal"}],"author":[{"family":"Zhang","given":"Jianguo"},{"family":"Tao","given":"Ailin"}],"accessed":{"date-parts":[["2022",5,22]]},"issued":{"date-parts":[["2015"]]},"citation-key":"tao_antigenicity_2015"}},{"id":10604,"uris":["http://zotero.org/groups/2667333/items/RCD9M3J4"],"itemData":{"id":10604,"type":"article-journal","container-title":"Toxicology and Applied Pharmacology","DOI":"10.1016/j.taap.2016.01.005","ISSN":"0041008X","journalAbbreviation":"Toxicology and Applied Pharmacology","language":"en","page":"70-77","source":"DOI.org (Crossref)","title":"Understanding the immunogenicity and antigenicity of nanomaterials: Past, present and future","title-short":"Understanding the immunogenicity and antigenicity of nanomaterials","URL":"https://linkinghub.elsevier.com/retrieve/pii/S0041008X16300059","volume":"299","author":[{"family":"Ilinskaya","given":"Anna N."},{"family":"Dobrovolskaia","given":"Marina A."}],"accessed":{"date-parts":[["2022",5,22]]},"issued":{"date-parts":[["2016",5]]},"citation-key":"ilinskaya_understanding_2016"}}],"schema":"https://github.com/citation-style-language/schema/raw/master/csl-citation.json"}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6,7</w:t>
      </w:r>
      <w:r w:rsidRPr="002A7128">
        <w:rPr>
          <w:rFonts w:ascii="Calibri" w:hAnsi="Calibri" w:cs="Calibri"/>
        </w:rPr>
        <w:fldChar w:fldCharType="end"/>
      </w:r>
      <w:r w:rsidRPr="002A7128">
        <w:rPr>
          <w:rFonts w:ascii="Calibri" w:hAnsi="Calibri" w:cs="Calibri"/>
        </w:rPr>
        <w:t>. For example, in case of a dying cancer cell, immunogenicity is defined as the “cell”, while antigenicity is defined by a specific tumor associated antigen present in that “cell”. Most importantly, antigenicity alone is not sufficient to induce effective adaptive immunity</w:t>
      </w:r>
      <w:r w:rsidRPr="002A7128">
        <w:rPr>
          <w:rFonts w:ascii="Calibri" w:hAnsi="Calibri" w:cs="Calibri"/>
        </w:rPr>
        <w:fldChar w:fldCharType="begin"/>
      </w:r>
      <w:r w:rsidR="00317E7D" w:rsidRPr="002A7128">
        <w:rPr>
          <w:rFonts w:ascii="Calibri" w:hAnsi="Calibri" w:cs="Calibri"/>
        </w:rPr>
        <w:instrText xml:space="preserve"> ADDIN ZOTERO_ITEM CSL_CITATION {"citationID":"a2mateji8e5","properties":{"formattedCitation":"\\super 8,9\\nosupersub{}","plainCitation":"8,9","noteIndex":0},"citationItems":[{"id":10608,"uris":["http://zotero.org/groups/2667333/items/B5GLWC25"],"itemData":{"id":10608,"type":"article-journal","container-title":"Nature Immunology","DOI":"10.1038/s41590-022-01132-2","ISSN":"1529-2908, 1529-2916","issue":"4","journalAbbreviation":"Nat Immunol","language":"en","page":"487-500","source":"DOI.org (Crossref)","title":"Immunogenic cell stress and death","URL":"https://www.nature.com/articles/s41590-022-01132-2","volume":"23","author":[{"family":"Kroemer","given":"Guido"},{"family":"Galassi","given":"Claudia"},{"family":"Zitvogel","given":"Laurence"},{"family":"Galluzzi","given":"Lorenzo"}],"accessed":{"date-parts":[["2022",5,22]]},"issued":{"date-parts":[["2022",4]]},"citation-key":"kroemer_immunogenic_2022"}},{"id":10607,"uris":["http://zotero.org/groups/2667333/items/89EET537"],"itemData":{"id":10607,"type":"article-journal","container-title":"Nature Reviews Cancer","DOI":"10.1038/s41568-021-00339-z","ISSN":"1474-175X, 1474-1768","issue":"5","journalAbbreviation":"Nat Rev Cancer","language":"en","page":"298-312","source":"DOI.org (Crossref)","title":"Antigen presentation in cancer: insights into tumour immunogenicity and immune evasion","title-short":"Antigen presentation in cancer","URL":"http://www.nature.com/articles/s41568-021-00339-z","volume":"21","author":[{"family":"Jhunjhunwala","given":"Suchit"},{"family":"Hammer","given":"Christian"},{"family":"Delamarre","given":"Lélia"}],"accessed":{"date-parts":[["2022",5,22]]},"issued":{"date-parts":[["2021",5]]},"citation-key":"jhunjhunwala_antigen_2021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8,9</w:t>
      </w:r>
      <w:r w:rsidRPr="002A7128">
        <w:rPr>
          <w:rFonts w:ascii="Calibri" w:hAnsi="Calibri" w:cs="Calibri"/>
        </w:rPr>
        <w:fldChar w:fldCharType="end"/>
      </w:r>
      <w:r w:rsidRPr="002A7128">
        <w:rPr>
          <w:rFonts w:ascii="Calibri" w:hAnsi="Calibri" w:cs="Calibri"/>
        </w:rPr>
        <w:t>. This is because antigenicity alone does not stimulate co-stimulatory receptors on APCs, which are necessary for proper activation of the adaptive immunity</w:t>
      </w:r>
      <w:r w:rsidRPr="002A7128">
        <w:rPr>
          <w:rFonts w:ascii="Calibri" w:hAnsi="Calibri" w:cs="Calibri"/>
        </w:rPr>
        <w:fldChar w:fldCharType="begin"/>
      </w:r>
      <w:r w:rsidR="00317E7D" w:rsidRPr="002A7128">
        <w:rPr>
          <w:rFonts w:ascii="Calibri" w:hAnsi="Calibri" w:cs="Calibri"/>
        </w:rPr>
        <w:instrText xml:space="preserve"> ADDIN ZOTERO_ITEM CSL_CITATION {"citationID":"ausg7988gr","properties":{"formattedCitation":"\\super 10\\nosupersub{}","plainCitation":"10","noteIndex":0},"citationItems":[{"id":10633,"uris":["http://zotero.org/groups/2667333/items/NFHWQVPL"],"itemData":{"id":10633,"type":"article-journal","container-title":"Frontiers in Immunology","DOI":"10.3389/fimmu.2013.00082","ISSN":"1664-3224","journalAbbreviation":"Front. Immunol.","source":"DOI.org (Crossref)","title":"Costimulatory Molecules on Immunogenic Versus Tolerogenic Human Dendritic Cells","URL":"http://journal.frontiersin.org/article/10.3389/fimmu.2013.00082/abstract","volume":"4","author":[{"family":"Hubo","given":"Mario"},{"family":"Trinschek","given":"Bettina"},{"family":"Kryczanowsky","given":"Fanny"},{"family":"Tuettenberg","given":"Andrea"},{"family":"Steinbrink","given":"Kerstin"},{"family":"Jonuleit","given":"Helmut"}],"accessed":{"date-parts":[["2022",5,25]]},"issued":{"date-parts":[["2013"]]},"citation-key":"hubo_costimulatory_2013"}}],"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10</w:t>
      </w:r>
      <w:r w:rsidRPr="002A7128">
        <w:rPr>
          <w:rFonts w:ascii="Calibri" w:hAnsi="Calibri" w:cs="Calibri"/>
        </w:rPr>
        <w:fldChar w:fldCharType="end"/>
      </w:r>
      <w:r w:rsidRPr="002A7128">
        <w:rPr>
          <w:rFonts w:ascii="Calibri" w:hAnsi="Calibri" w:cs="Calibri"/>
        </w:rPr>
        <w:t xml:space="preserve">. In fact, the absence of co-stimulation rather renders immune system </w:t>
      </w:r>
      <w:r w:rsidRPr="002A7128">
        <w:rPr>
          <w:rFonts w:ascii="Calibri" w:hAnsi="Calibri" w:cs="Calibri"/>
        </w:rPr>
        <w:lastRenderedPageBreak/>
        <w:t>towards anergy and tolerance</w:t>
      </w:r>
      <w:r w:rsidRPr="002A7128">
        <w:rPr>
          <w:rFonts w:ascii="Calibri" w:hAnsi="Calibri" w:cs="Calibri"/>
        </w:rPr>
        <w:fldChar w:fldCharType="begin"/>
      </w:r>
      <w:r w:rsidR="00317E7D" w:rsidRPr="002A7128">
        <w:rPr>
          <w:rFonts w:ascii="Calibri" w:hAnsi="Calibri" w:cs="Calibri"/>
        </w:rPr>
        <w:instrText xml:space="preserve"> ADDIN ZOTERO_ITEM CSL_CITATION {"citationID":"amo25r2gcl","properties":{"formattedCitation":"\\super 11\\nosupersub{}","plainCitation":"11","noteIndex":0},"citationItems":[{"id":10610,"uris":["http://zotero.org/groups/2667333/items/JZYSH6A2"],"itemData":{"id":10610,"type":"article-journal","container-title":"Arthritis Research &amp; Therapy","DOI":"10.1186/ar2414","ISSN":"1478-6354","issue":"Suppl 1","journalAbbreviation":"Arthritis Res Ther","language":"en","page":"S3","source":"DOI.org (Crossref)","title":"T-cell co-stimulatory pathways in autoimmunity","URL":"http://arthritis-research.biomedcentral.com/articles/10.1186/ar2414","volume":"10","author":[{"family":"Goronzy","given":"Jörg J"},{"family":"Weyand","given":"Cornelia M"}],"accessed":{"date-parts":[["2022",5,22]]},"issued":{"date-parts":[["2008"]]},"citation-key":"goronzy_t-cell_2008"}}],"schema":"https://github.com/citation-style-language/schema/raw/master/csl-citation.json"}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11</w:t>
      </w:r>
      <w:r w:rsidRPr="002A7128">
        <w:rPr>
          <w:rFonts w:ascii="Calibri" w:hAnsi="Calibri" w:cs="Calibri"/>
        </w:rPr>
        <w:fldChar w:fldCharType="end"/>
      </w:r>
      <w:r w:rsidRPr="002A7128">
        <w:rPr>
          <w:rFonts w:ascii="Calibri" w:hAnsi="Calibri" w:cs="Calibri"/>
        </w:rPr>
        <w:t>. Co-stimulatory molecules are upregulated in APCs when these cells interact with their environment through the abundant expression of evolutionary conserved receptors called pattern recognition receptors (PRRs)</w:t>
      </w:r>
      <w:r w:rsidRPr="002A7128">
        <w:rPr>
          <w:rFonts w:ascii="Calibri" w:hAnsi="Calibri" w:cs="Calibri"/>
        </w:rPr>
        <w:fldChar w:fldCharType="begin"/>
      </w:r>
      <w:r w:rsidR="00317E7D" w:rsidRPr="002A7128">
        <w:rPr>
          <w:rFonts w:ascii="Calibri" w:hAnsi="Calibri" w:cs="Calibri"/>
        </w:rPr>
        <w:instrText xml:space="preserve"> ADDIN ZOTERO_ITEM CSL_CITATION {"citationID":"a1bu795a1q2","properties":{"formattedCitation":"\\super 12\\nosupersub{}","plainCitation":"12","noteIndex":0},"citationItems":[{"id":6545,"uris":["http://zotero.org/groups/2667333/items/DJJT3J2S"],"itemData":{"id":6545,"type":"article-journal","abstract":"The innate immune system has the capacity to detect ‘non-self’ molecules derived from pathogens, known as pathogen-associated molecular patterns, via pattern recognition receptors. In addition, an increasing number of endogenous host-derived molecules, termed damage-associated molecular patterns (DAMPs), have been found to be sensed by various innate immune receptors. The recognition of DAMPs, which are produced or released by damaged and dying cells, promotes sterile inflammation, which is important for tissue repair and regeneration, but can also lead to the development of numerous inflammatory diseases, such as metabolic disorders, neurodegenerative diseases, autoimmune diseases and cancer. Here we examine recent discoveries concerning the roles of DAMP-sensing receptors in sterile inflammation and in diseases resulting from dysregulated sterile inflammation, and then discuss insights into the cross-regulation of these receptors and their ligands.","container-title":"Nature Reviews Immunology","DOI":"10.1038/s41577-019-0215-7","ISSN":"1474-1741","issue":"2","journalAbbreviation":"Nat Rev Immunol","language":"en","license":"2019 Springer Nature Limited","note":"number: 2\npublisher: Nature Publishing Group\ntex.ids= gong_damp-sensing_2020-2","page":"95-112","source":"www.nature.com","title":"DAMP-sensing receptors in sterile inflammation and inflammatory diseases","URL":"https://www.nature.com/articles/s41577-019-0215-7","volume":"20","author":[{"family":"Gong","given":"Tao"},{"family":"Liu","given":"Lei"},{"family":"Jiang","given":"Wei"},{"family":"Zhou","given":"Rongbin"}],"accessed":{"date-parts":[["2021",6,6]]},"issued":{"date-parts":[["2020",2]]},"citation-key":"gong_damp-sensing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12</w:t>
      </w:r>
      <w:r w:rsidRPr="002A7128">
        <w:rPr>
          <w:rFonts w:ascii="Calibri" w:hAnsi="Calibri" w:cs="Calibri"/>
        </w:rPr>
        <w:fldChar w:fldCharType="end"/>
      </w:r>
      <w:r w:rsidRPr="002A7128">
        <w:rPr>
          <w:rFonts w:ascii="Calibri" w:hAnsi="Calibri" w:cs="Calibri"/>
        </w:rPr>
        <w:t xml:space="preserve">. For a long period of time, it was considered that these “patterns” refer only to “foreign entities” called, pathogen associated molecular patterns (PAMPs) as the immune system was thought to strictly discriminate self from non-self. In 1994, Polly </w:t>
      </w:r>
      <w:proofErr w:type="spellStart"/>
      <w:r w:rsidRPr="002A7128">
        <w:rPr>
          <w:rFonts w:ascii="Calibri" w:hAnsi="Calibri" w:cs="Calibri"/>
        </w:rPr>
        <w:t>Matzinger</w:t>
      </w:r>
      <w:proofErr w:type="spellEnd"/>
      <w:r w:rsidRPr="002A7128">
        <w:rPr>
          <w:rFonts w:ascii="Calibri" w:hAnsi="Calibri" w:cs="Calibri"/>
        </w:rPr>
        <w:t xml:space="preserve"> proposed the “Danger Theory”</w:t>
      </w:r>
      <w:r w:rsidRPr="002A7128">
        <w:rPr>
          <w:rFonts w:ascii="Calibri" w:hAnsi="Calibri" w:cs="Calibri"/>
        </w:rPr>
        <w:fldChar w:fldCharType="begin"/>
      </w:r>
      <w:r w:rsidR="00317E7D" w:rsidRPr="002A7128">
        <w:rPr>
          <w:rFonts w:ascii="Calibri" w:hAnsi="Calibri" w:cs="Calibri"/>
        </w:rPr>
        <w:instrText xml:space="preserve"> ADDIN ZOTERO_ITEM CSL_CITATION {"citationID":"a1nqrip0muf","properties":{"formattedCitation":"\\super 13\\nosupersub{}","plainCitation":"13","noteIndex":0},"citationItems":[{"id":1430,"uris":["http://zotero.org/groups/2667333/items/CGE3CW33"],"itemData":{"id":1430,"type":"article-journal","container-title":"Annual Review of Immunology","DOI":"10.1146/annurev.iy.12.040194.005015","issue":"1","note":"ZSCC: 0005407 \n_eprint: https://doi.org/10.1146/annurev.iy.12.040194.005015\nPMID: 8011301","page":"991-1045","source":"Annual Reviews","title":"Tolerance, Danger, and the Extended Family","URL":"https://doi.org/10.1146/annurev.iy.12.040194.005015","volume":"12","author":[{"family":"Matzinger","given":"P"}],"accessed":{"date-parts":[["2020",7,3]]},"issued":{"date-parts":[["1994"]]},"citation-key":"matzinger_tolerance_1994"}}],"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13</w:t>
      </w:r>
      <w:r w:rsidRPr="002A7128">
        <w:rPr>
          <w:rFonts w:ascii="Calibri" w:hAnsi="Calibri" w:cs="Calibri"/>
        </w:rPr>
        <w:fldChar w:fldCharType="end"/>
      </w:r>
      <w:r w:rsidRPr="002A7128">
        <w:rPr>
          <w:rFonts w:ascii="Calibri" w:hAnsi="Calibri" w:cs="Calibri"/>
        </w:rPr>
        <w:t xml:space="preserve">, suggesting that detection is not about self or non-self rather to detect to protect from danger. This model supports that, damaged/dying cells from the host organism release molecules that can activate immune cells. Now, it is accepted that majority of these molecules share the same pathways for activating immune cells similar to “foreign entities”. Today, these molecules are referred to as danger/damage associated molecular patterns (DAMPs) and cell death modalities involving, secretion, release or surface localization of DAMPs are referred to as immunogenic cell death (ICD). </w:t>
      </w:r>
    </w:p>
    <w:p w14:paraId="51F4F5DB" w14:textId="77777777" w:rsidR="00A27485" w:rsidRPr="002A7128" w:rsidRDefault="00A27485">
      <w:pPr>
        <w:pStyle w:val="Heading2"/>
        <w:numPr>
          <w:ilvl w:val="1"/>
          <w:numId w:val="2"/>
        </w:numPr>
        <w:spacing w:line="480" w:lineRule="auto"/>
        <w:ind w:left="792" w:hanging="432"/>
        <w:jc w:val="both"/>
        <w:rPr>
          <w:rFonts w:ascii="Calibri" w:hAnsi="Calibri" w:cs="Calibri"/>
        </w:rPr>
      </w:pPr>
      <w:bookmarkStart w:id="13" w:name="_Toc115787963"/>
      <w:bookmarkStart w:id="14" w:name="_Toc120794121"/>
      <w:r w:rsidRPr="002A7128">
        <w:rPr>
          <w:rFonts w:ascii="Calibri" w:hAnsi="Calibri" w:cs="Calibri"/>
        </w:rPr>
        <w:t>Immunogenic Cell Death and Damage Associated Molecular Patterns</w:t>
      </w:r>
      <w:bookmarkEnd w:id="13"/>
      <w:bookmarkEnd w:id="14"/>
    </w:p>
    <w:p w14:paraId="3D88ABCC" w14:textId="2AA4D67B" w:rsidR="00A27485" w:rsidRPr="002A7128" w:rsidRDefault="00A27485" w:rsidP="00A27485">
      <w:pPr>
        <w:spacing w:line="480" w:lineRule="auto"/>
        <w:jc w:val="both"/>
        <w:rPr>
          <w:rFonts w:ascii="Calibri" w:hAnsi="Calibri" w:cs="Calibri"/>
        </w:rPr>
      </w:pPr>
      <w:r w:rsidRPr="002A7128">
        <w:rPr>
          <w:rFonts w:ascii="Calibri" w:hAnsi="Calibri" w:cs="Calibri"/>
        </w:rPr>
        <w:t>Death is the eventual biological outcome for living organisms. Substantial effort has been made so far to elucidate the mechanisms of cell death and for a long period of time, cell death was viewed under two categories: regulated apoptosis and unregulated necrosis. Recent advances revealed that there are multiple different cell death modalities triggered through different signaling pathways</w:t>
      </w:r>
      <w:r w:rsidRPr="002A7128">
        <w:rPr>
          <w:rFonts w:ascii="Calibri" w:hAnsi="Calibri" w:cs="Calibri"/>
        </w:rPr>
        <w:fldChar w:fldCharType="begin"/>
      </w:r>
      <w:r w:rsidR="00317E7D" w:rsidRPr="002A7128">
        <w:rPr>
          <w:rFonts w:ascii="Calibri" w:hAnsi="Calibri" w:cs="Calibri"/>
        </w:rPr>
        <w:instrText xml:space="preserve"> ADDIN ZOTERO_ITEM CSL_CITATION {"citationID":"a10bfou26aa","properties":{"formattedCitation":"\\super 14\\nosupersub{}","plainCitation":"14","noteIndex":0},"citationItems":[{"id":1070,"uris":["http://zotero.org/groups/2667333/items/USDQ834X"],"itemData":{"id":1070,"type":"article-journal","abstract":"Over the past decade, the Nomenclature Committee on Cell Death (NCCD) has formulated guidelines for the deﬁnition and interpretation of cell death from morphological, biochemical, and functional perspectives. Since the ﬁeld continues to expand and novel mechanisms that orchestrate multiple cell death pathways are unveiled, we propose an updated classiﬁcation of cell death subroutines focusing on mechanistic and essential (as opposed to correlative and dispensable) aspects of the process. As we provide molecularly oriented deﬁnitions of terms including intrinsic apoptosis, extrinsic apoptosis, mitochondrial permeability transition (MPT)-driven necrosis, necroptosis, ferroptosis, pyroptosis, parthanatos, entotic cell death, NETotic cell death, lysosome-dependent cell death, autophagy-dependent cell death, immunogenic cell death, cellular senescence, and mitotic catastrophe, we discuss the utility of neologisms that refer to highly specialized instances of these processes. The mission of the NCCD is to provide a widely accepted nomenclature on cell death in support of the continued development of the ﬁeld.","container-title":"Cell Death &amp; Differentiation","DOI":"10.1038/s41418-017-0012-4","ISSN":"1350-9047, 1476-5403","issue":"3","journalAbbreviation":"Cell Death Differ","language":"en","note":"ZSCC: NoCitationData[s0]","page":"486-541","source":"DOI.org (Crossref)","title":"Molecular mechanisms of cell death: recommendations of the Nomenclature Committee on Cell Death 2018","title-short":"Molecular mechanisms of cell death","URL":"http://www.nature.com/articles/s41418-017-0012-4","volume":"25","author":[{"family":"Galluzzi","given":"Lorenzo"},{"family":"Vitale","given":"Ilio"},{"family":"Aaronson","given":"Stuart A."},{"family":"Abrams","given":"John M."},{"family":"Adam","given":"Dieter"},{"family":"Agostinis","given":"Patrizia"},{"family":"Alnemri","given":"Emad S."},{"family":"Altucci","given":"Lucia"},{"family":"Amelio","given":"Ivano"},{"family":"Andrews","given":"David W."},{"family":"Annicchiarico-Petruzzelli","given":"Margherita"},{"family":"Antonov","given":"Alexey V."},{"family":"Arama","given":"Eli"},{"family":"Baehrecke","given":"Eric H."},{"family":"Barlev","given":"Nickolai A."},{"family":"Bazan","given":"Nicolas G."},{"family":"Bernassola","given":"Francesca"},{"family":"Bertrand","given":"Mathieu J. M."},{"family":"Bianchi","given":"Katiuscia"},{"family":"Blagosklonny","given":"Mikhail V."},{"family":"Blomgren","given":"Klas"},{"family":"Borner","given":"Christoph"},{"family":"Boya","given":"Patricia"},{"family":"Brenner","given":"Catherine"},{"family":"Campanella","given":"Michelangelo"},{"family":"Candi","given":"Eleonora"},{"family":"Carmona-Gutierrez","given":"Didac"},{"family":"Cecconi","given":"Francesco"},{"family":"Chan","given":"Francis K.-M."},{"family":"Chandel","given":"Navdeep S."},{"family":"Cheng","given":"Emily H."},{"family":"Chipuk","given":"Jerry E."},{"family":"Cidlowski","given":"John A."},{"family":"Ciechanover","given":"Aaron"},{"family":"Cohen","given":"Gerald M."},{"family":"Conrad","given":"Marcus"},{"family":"Cubillos-Ruiz","given":"Juan R."},{"family":"Czabotar","given":"Peter E."},{"family":"D’Angiolella","given":"Vincenzo"},{"family":"Dawson","given":"Ted M."},{"family":"Dawson","given":"Valina L."},{"family":"De Laurenzi","given":"Vincenzo"},{"family":"De Maria","given":"Ruggero"},{"family":"Debatin","given":"Klaus-Michael"},{"family":"DeBerardinis","given":"Ralph J."},{"family":"Deshmukh","given":"Mohanish"},{"family":"Di Daniele","given":"Nicola"},{"family":"Di Virgilio","given":"Francesco"},{"family":"Dixit","given":"Vishva M."},{"family":"Dixon","given":"Scott J."},{"family":"Duckett","given":"Colin S."},{"family":"Dynlacht","given":"Brian D."},{"family":"El-Deiry","given":"Wafik S."},{"family":"Elrod","given":"John W."},{"family":"Fimia","given":"Gian Maria"},{"family":"Fulda","given":"Simone"},{"family":"García-Sáez","given":"Ana J."},{"family":"Garg","given":"Abhishek D."},{"family":"Garrido","given":"Carmen"},{"family":"Gavathiotis","given":"Evripidis"},{"family":"Golstein","given":"Pierre"},{"family":"Gottlieb","given":"Eyal"},{"family":"Green","given":"Douglas R."},{"family":"Greene","given":"Lloyd A."},{"family":"Gronemeyer","given":"Hinrich"},{"family":"Gross","given":"Atan"},{"family":"Hajnoczky","given":"Gyorgy"},{"family":"Hardwick","given":"J. Marie"},{"family":"Harris","given":"Isaac S."},{"family":"Hengartner","given":"Michael O."},{"family":"Hetz","given":"Claudio"},{"family":"Ichijo","given":"Hidenori"},{"family":"Jäättelä","given":"Marja"},{"family":"Joseph","given":"Bertrand"},{"family":"Jost","given":"Philipp J."},{"family":"Juin","given":"Philippe P."},{"family":"Kaiser","given":"William J."},{"family":"Karin","given":"Michael"},{"family":"Kaufmann","given":"Thomas"},{"family":"Kepp","given":"Oliver"},{"family":"Kimchi","given":"Adi"},{"family":"Kitsis","given":"Richard N."},{"family":"Klionsky","given":"Daniel J."},{"family":"Knight","given":"Richard A."},{"family":"Kumar","given":"Sharad"},{"family":"Lee","given":"Sam W."},{"family":"Lemasters","given":"John J."},{"family":"Levine","given":"Beth"},{"family":"Linkermann","given":"Andreas"},{"family":"Lipton","given":"Stuart A."},{"family":"Lockshin","given":"Richard A."},{"family":"López-Otín","given":"Carlos"},{"family":"Lowe","given":"Scott W."},{"family":"Luedde","given":"Tom"},{"family":"Lugli","given":"Enrico"},{"family":"MacFarlane","given":"Marion"},{"family":"Madeo","given":"Frank"},{"family":"Malewicz","given":"Michal"},{"family":"Malorni","given":"Walter"},{"family":"Manic","given":"Gwenola"},{"family":"Marine","given":"Jean-Christophe"},{"family":"Martin","given":"Seamus J."},{"family":"Martinou","given":"Jean-Claude"},{"family":"Medema","given":"Jan Paul"},{"family":"Mehlen","given":"Patrick"},{"family":"Meier","given":"Pascal"},{"family":"Melino","given":"Sonia"},{"family":"Miao","given":"Edward A."},{"family":"Molkentin","given":"Jeffery D."},{"family":"Moll","given":"Ute M."},{"family":"Muñoz-Pinedo","given":"Cristina"},{"family":"Nagata","given":"Shigekazu"},{"family":"Nuñez","given":"Gabriel"},{"family":"Oberst","given":"Andrew"},{"family":"Oren","given":"Moshe"},{"family":"Overholtzer","given":"Michael"},{"family":"Pagano","given":"Michele"},{"family":"Panaretakis","given":"Theocharis"},{"family":"Pasparakis","given":"Manolis"},{"family":"Penninger","given":"Josef M."},{"family":"Pereira","given":"David M."},{"family":"Pervaiz","given":"Shazib"},{"family":"Peter","given":"Marcus E."},{"family":"Piacentini","given":"Mauro"},{"family":"Pinton","given":"Paolo"},{"family":"Prehn","given":"Jochen H.M."},{"family":"Puthalakath","given":"Hamsa"},{"family":"Rabinovich","given":"Gabriel A."},{"family":"Rehm","given":"Markus"},{"family":"Rizzuto","given":"Rosario"},{"family":"Rodrigues","given":"Cecilia M.P."},{"family":"Rubinsztein","given":"David C."},{"family":"Rudel","given":"Thomas"},{"family":"Ryan","given":"Kevin M."},{"family":"Sayan","given":"Emre"},{"family":"Scorrano","given":"Luca"},{"family":"Shao","given":"Feng"},{"family":"Shi","given":"Yufang"},{"family":"Silke","given":"John"},{"family":"Simon","given":"Hans-Uwe"},{"family":"Sistigu","given":"Antonella"},{"family":"Stockwell","given":"Brent R."},{"family":"Strasser","given":"Andreas"},{"family":"Szabadkai","given":"Gyorgy"},{"family":"Tait","given":"Stephen W.G."},{"family":"Tang","given":"Daolin"},{"family":"Tavernarakis","given":"Nektarios"},{"family":"Thorburn","given":"Andrew"},{"family":"Tsujimoto","given":"Yoshihide"},{"family":"Turk","given":"Boris"},{"family":"Vanden Berghe","given":"Tom"},{"family":"Vandenabeele","given":"Peter"},{"family":"Vander Heiden","given":"Matthew G."},{"family":"Villunger","given":"Andreas"},{"family":"Virgin","given":"Herbert W."},{"family":"Vousden","given":"Karen H."},{"family":"Vucic","given":"Domagoj"},{"family":"Wagner","given":"Erwin F."},{"family":"Walczak","given":"Henning"},{"family":"Wallach","given":"David"},{"family":"Wang","given":"Ying"},{"family":"Wells","given":"James A."},{"family":"Wood","given":"Will"},{"family":"Yuan","given":"Junying"},{"family":"Zakeri","given":"Zahra"},{"family":"Zhivotovsky","given":"Boris"},{"family":"Zitvogel","given":"Laurence"},{"family":"Melino","given":"Gerry"},{"family":"Kroemer","given":"Guido"}],"accessed":{"date-parts":[["2020",7,18]]},"issued":{"date-parts":[["2018",3]]},"citation-key":"galluzzi_molecular_2018"}}],"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w:t>
      </w:r>
      <w:r w:rsidRPr="002A7128">
        <w:rPr>
          <w:rFonts w:ascii="Calibri" w:hAnsi="Calibri" w:cs="Calibri"/>
        </w:rPr>
        <w:fldChar w:fldCharType="end"/>
      </w:r>
      <w:r w:rsidRPr="002A7128">
        <w:rPr>
          <w:rFonts w:ascii="Calibri" w:hAnsi="Calibri" w:cs="Calibri"/>
        </w:rPr>
        <w:t xml:space="preserve">. Necrosis originally thought to be unregulated, have been identified to involve different regulated forms; necroptosis, pyroptosis and ferroptosis, all naturally occur within the body. These are non-apoptotic cell death modalities, and they are regulated. Signaling </w:t>
      </w:r>
      <w:r w:rsidRPr="002A7128">
        <w:rPr>
          <w:rFonts w:ascii="Calibri" w:hAnsi="Calibri" w:cs="Calibri"/>
        </w:rPr>
        <w:lastRenderedPageBreak/>
        <w:t>pathways and triggering mechanisms of these cell death modalities are explained elsewhere in detail</w:t>
      </w:r>
      <w:r w:rsidRPr="002A7128">
        <w:rPr>
          <w:rFonts w:ascii="Calibri" w:hAnsi="Calibri" w:cs="Calibri"/>
        </w:rPr>
        <w:fldChar w:fldCharType="begin"/>
      </w:r>
      <w:r w:rsidR="00317E7D" w:rsidRPr="002A7128">
        <w:rPr>
          <w:rFonts w:ascii="Calibri" w:hAnsi="Calibri" w:cs="Calibri"/>
        </w:rPr>
        <w:instrText xml:space="preserve"> ADDIN ZOTERO_ITEM CSL_CITATION {"citationID":"a1r6vqmva6h","properties":{"formattedCitation":"\\super 15,16\\nosupersub{}","plainCitation":"15,16","noteIndex":0},"citationItems":[{"id":5892,"uris":["http://zotero.org/groups/2667333/items/GMGXPHCT"],"itemData":{"id":5892,"type":"article-journal","abstract":"In recent years, cancer immunotherapy based on immune checkpoint inhibitors (ICIs) has achieved considerable success in the clinic. However, ICIs are significantly limited by the fact that only one third of patients with most types of cancer respond to these agents. The induction of cell death mechanisms other than apoptosis has gradually emerged as a new cancer treatment strategy because most tumors harbor innate resistance to apoptosis. However, to date, the possibility of combining these two modalities has not been discussed systematically. Recently, a few studies revealed crosstalk between distinct cell death mechanisms and antitumor immunity. The induction of pyroptosis, ferroptosis, and necroptosis combined with ICIs showed synergistically enhanced antitumor activity, even in ICI-resistant tumors. Immunotherapy-activated CD8+ T cells are traditionally believed to induce tumor cell death via the following two main pathways: (i) perforin-granzyme and (ii) Fas-FasL. However, recent studies identified a new mechanism by which CD8+ T cells suppress tumor growth by inducing ferroptosis and pyroptosis, which provoked a review of the relationship between tumor cell death mechanisms and immune system activation. Hence, in this review, we summarize knowledge of the reciprocal interaction between antitumor immunity and distinct cell death mechanisms, particularly necroptosis, ferroptosis, and pyroptosis, which are the three potentially novel mechanisms of immunogenic cell death. Because most evidence is derived from studies using animal and cell models, we also reviewed related bioinformatics data available for human tissues in public databases, which partially confirmed the presence of interactions between tumor cell death and the activation of antitumor immunity.","container-title":"Journal of Hematology &amp; Oncology","DOI":"10.1186/s13045-020-00946-7","ISSN":"1756-8722","issue":"1","journalAbbreviation":"Journal of Hematology &amp; Oncology","page":"110","source":"BioMed Central","title":"Ferroptosis, necroptosis, and pyroptosis in anticancer immunity","URL":"https://doi.org/10.1186/s13045-020-00946-7","volume":"13","author":[{"family":"Tang","given":"Rong"},{"family":"Xu","given":"Jin"},{"family":"Zhang","given":"Bo"},{"family":"Liu","given":"Jiang"},{"family":"Liang","given":"Chen"},{"family":"Hua","given":"Jie"},{"family":"Meng","given":"Qingcai"},{"family":"Yu","given":"Xianjun"},{"family":"Shi","given":"Si"}],"accessed":{"date-parts":[["2021",2,21]]},"issued":{"date-parts":[["2020",8,10]]},"citation-key":"tang_ferroptosis_2020"}},{"id":6937,"uris":["http://zotero.org/groups/2667333/items/SGDNB2DL"],"itemData":{"id":6937,"type":"article-journal","container-title":"Cell","DOI":"10.1016/j.cell.2019.04.024","ISSN":"00928674","issue":"5","journalAbbreviation":"Cell","language":"en","page":"1094-1107","source":"DOI.org (Crossref)","title":"The Coming Decade of Cell Death Research: Five Riddles","title-short":"The Coming Decade of Cell Death Research","URL":"https://linkinghub.elsevier.com/retrieve/pii/S009286741930443X","volume":"177","author":[{"family":"Green","given":"Douglas R."}],"accessed":{"date-parts":[["2021",8,3]]},"issued":{"date-parts":[["2019",5]]},"citation-key":"green_coming_2019"}}],"schema":"https://github.com/citation-style-language/schema/raw/master/csl-citation.json"}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15,16</w:t>
      </w:r>
      <w:r w:rsidRPr="002A7128">
        <w:rPr>
          <w:rFonts w:ascii="Calibri" w:hAnsi="Calibri" w:cs="Calibri"/>
        </w:rPr>
        <w:fldChar w:fldCharType="end"/>
      </w:r>
      <w:r w:rsidRPr="002A7128">
        <w:rPr>
          <w:rFonts w:ascii="Calibri" w:hAnsi="Calibri" w:cs="Calibri"/>
        </w:rPr>
        <w:t>. However, the eventual outcome of all of them is the release of DAMPs.</w:t>
      </w:r>
    </w:p>
    <w:p w14:paraId="3F3397C3" w14:textId="2B02F96F" w:rsidR="00A27485" w:rsidRPr="002A7128" w:rsidRDefault="00A27485" w:rsidP="00A27485">
      <w:pPr>
        <w:spacing w:line="480" w:lineRule="auto"/>
        <w:jc w:val="both"/>
        <w:rPr>
          <w:rFonts w:ascii="Calibri" w:hAnsi="Calibri" w:cs="Calibri"/>
        </w:rPr>
      </w:pPr>
      <w:r w:rsidRPr="002A7128">
        <w:rPr>
          <w:rFonts w:ascii="Calibri" w:hAnsi="Calibri" w:cs="Calibri"/>
        </w:rPr>
        <w:t>Normally, DAMPs are contained within the cells, however, upon membrane damage they are released to the extracellular matrix or localized to the cell surface. They interact with local immune cells and can have immunomodulatory roles. Additionally, it is necessary to point out that DAMPs also interact with local non-immune cells such as epithelial cells, fibroblasts and endothelial cells, and take part in regulating inflammation</w:t>
      </w:r>
      <w:r w:rsidRPr="002A7128">
        <w:rPr>
          <w:rFonts w:ascii="Calibri" w:hAnsi="Calibri" w:cs="Calibri"/>
        </w:rPr>
        <w:fldChar w:fldCharType="begin"/>
      </w:r>
      <w:r w:rsidR="00317E7D" w:rsidRPr="002A7128">
        <w:rPr>
          <w:rFonts w:ascii="Calibri" w:hAnsi="Calibri" w:cs="Calibri"/>
        </w:rPr>
        <w:instrText xml:space="preserve"> ADDIN ZOTERO_ITEM CSL_CITATION {"citationID":"a2mcs0vv3nd","properties":{"formattedCitation":"\\super 12\\nosupersub{}","plainCitation":"12","noteIndex":0},"citationItems":[{"id":6545,"uris":["http://zotero.org/groups/2667333/items/DJJT3J2S"],"itemData":{"id":6545,"type":"article-journal","abstract":"The innate immune system has the capacity to detect ‘non-self’ molecules derived from pathogens, known as pathogen-associated molecular patterns, via pattern recognition receptors. In addition, an increasing number of endogenous host-derived molecules, termed damage-associated molecular patterns (DAMPs), have been found to be sensed by various innate immune receptors. The recognition of DAMPs, which are produced or released by damaged and dying cells, promotes sterile inflammation, which is important for tissue repair and regeneration, but can also lead to the development of numerous inflammatory diseases, such as metabolic disorders, neurodegenerative diseases, autoimmune diseases and cancer. Here we examine recent discoveries concerning the roles of DAMP-sensing receptors in sterile inflammation and in diseases resulting from dysregulated sterile inflammation, and then discuss insights into the cross-regulation of these receptors and their ligands.","container-title":"Nature Reviews Immunology","DOI":"10.1038/s41577-019-0215-7","ISSN":"1474-1741","issue":"2","journalAbbreviation":"Nat Rev Immunol","language":"en","license":"2019 Springer Nature Limited","note":"number: 2\npublisher: Nature Publishing Group\ntex.ids= gong_damp-sensing_2020-2","page":"95-112","source":"www.nature.com","title":"DAMP-sensing receptors in sterile inflammation and inflammatory diseases","URL":"https://www.nature.com/articles/s41577-019-0215-7","volume":"20","author":[{"family":"Gong","given":"Tao"},{"family":"Liu","given":"Lei"},{"family":"Jiang","given":"Wei"},{"family":"Zhou","given":"Rongbin"}],"accessed":{"date-parts":[["2021",6,6]]},"issued":{"date-parts":[["2020",2]]},"citation-key":"gong_damp-sensing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12</w:t>
      </w:r>
      <w:r w:rsidRPr="002A7128">
        <w:rPr>
          <w:rFonts w:ascii="Calibri" w:hAnsi="Calibri" w:cs="Calibri"/>
        </w:rPr>
        <w:fldChar w:fldCharType="end"/>
      </w:r>
      <w:r w:rsidRPr="002A7128">
        <w:rPr>
          <w:rFonts w:ascii="Calibri" w:hAnsi="Calibri" w:cs="Calibri"/>
        </w:rPr>
        <w:t xml:space="preserve">. </w:t>
      </w:r>
    </w:p>
    <w:p w14:paraId="3951E7D6" w14:textId="5DEA45DE" w:rsidR="00A27485" w:rsidRPr="002A7128" w:rsidRDefault="00A27485" w:rsidP="00A27485">
      <w:pPr>
        <w:spacing w:line="480" w:lineRule="auto"/>
        <w:jc w:val="both"/>
        <w:rPr>
          <w:rFonts w:ascii="Calibri" w:hAnsi="Calibri" w:cs="Calibri"/>
        </w:rPr>
      </w:pPr>
      <w:r w:rsidRPr="002A7128">
        <w:rPr>
          <w:rFonts w:ascii="Calibri" w:hAnsi="Calibri" w:cs="Calibri"/>
        </w:rPr>
        <w:t xml:space="preserve">Diverse set of molecules have been classified as DAMPs including but not limited to; high-mobility group box protein-1 (HMGB-1), ATP, </w:t>
      </w:r>
      <w:r w:rsidR="00AD6EF4">
        <w:rPr>
          <w:rFonts w:ascii="Calibri" w:hAnsi="Calibri" w:cs="Calibri"/>
        </w:rPr>
        <w:t>Calreticulin (CRT)</w:t>
      </w:r>
      <w:r w:rsidRPr="002A7128">
        <w:rPr>
          <w:rFonts w:ascii="Calibri" w:hAnsi="Calibri" w:cs="Calibri"/>
        </w:rPr>
        <w:t>, heat shock protein-70 (HSP70), HSP90 and IL-1 family cytokines. Each of these DAMPs are capable of activating immune cells through different receptor interactions</w:t>
      </w:r>
      <w:r w:rsidRPr="002A7128">
        <w:rPr>
          <w:rFonts w:ascii="Calibri" w:hAnsi="Calibri" w:cs="Calibri"/>
        </w:rPr>
        <w:fldChar w:fldCharType="begin"/>
      </w:r>
      <w:r w:rsidR="00317E7D" w:rsidRPr="002A7128">
        <w:rPr>
          <w:rFonts w:ascii="Calibri" w:hAnsi="Calibri" w:cs="Calibri"/>
        </w:rPr>
        <w:instrText xml:space="preserve"> ADDIN ZOTERO_ITEM CSL_CITATION {"citationID":"JshlrLhO","properties":{"formattedCitation":"\\super 17\\nosupersub{}","plainCitation":"17","noteIndex":0},"citationItems":[{"id":10001,"uris":["http://zotero.org/groups/2667333/items/KPHE3GGS"],"itemData":{"id":10001,"type":"article-journal","container-title":"Nature Reviews Cancer","DOI":"10.1038/nrc3380","ISSN":"1474-175X, 1474-1768","issue":"12","journalAbbreviation":"Nat Rev Cancer","language":"en","page":"860-875","source":"DOI.org (Crossref)","title":"Immunogenic cell death and DAMPs in cancer therapy","URL":"http://www.nature.com/articles/nrc3380","volume":"12","author":[{"family":"Krysko","given":"Dmitri V."},{"family":"Garg","given":"Abhishek D."},{"family":"Kaczmarek","given":"Agnieszka"},{"family":"Krysko","given":"Olga"},{"family":"Agostinis","given":"Patrizia"},{"family":"Vandenabeele","given":"Peter"}],"accessed":{"date-parts":[["2022",2,12]]},"issued":{"date-parts":[["2012",12]]},"citation-key":"krysko_immunogenic_2012"}}],"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17</w:t>
      </w:r>
      <w:r w:rsidRPr="002A7128">
        <w:rPr>
          <w:rFonts w:ascii="Calibri" w:hAnsi="Calibri" w:cs="Calibri"/>
        </w:rPr>
        <w:fldChar w:fldCharType="end"/>
      </w:r>
      <w:r w:rsidRPr="002A7128">
        <w:rPr>
          <w:rFonts w:ascii="Calibri" w:hAnsi="Calibri" w:cs="Calibri"/>
        </w:rPr>
        <w:t xml:space="preserve"> </w:t>
      </w:r>
      <w:r w:rsidRPr="002A7128">
        <w:rPr>
          <w:rFonts w:ascii="Calibri" w:hAnsi="Calibri" w:cs="Calibri"/>
          <w:b/>
          <w:bCs/>
        </w:rPr>
        <w:t>(Table 1)</w:t>
      </w:r>
      <w:r w:rsidRPr="002A7128">
        <w:rPr>
          <w:rFonts w:ascii="Calibri" w:hAnsi="Calibri" w:cs="Calibri"/>
        </w:rPr>
        <w:t xml:space="preserve">.  </w:t>
      </w:r>
    </w:p>
    <w:p w14:paraId="1637C7F9" w14:textId="77777777" w:rsidR="00A27485" w:rsidRPr="002A7128" w:rsidRDefault="00A27485" w:rsidP="00A27485">
      <w:pPr>
        <w:spacing w:line="480" w:lineRule="auto"/>
        <w:jc w:val="both"/>
        <w:rPr>
          <w:rFonts w:ascii="Calibri" w:hAnsi="Calibri" w:cs="Calibri"/>
        </w:rPr>
      </w:pPr>
    </w:p>
    <w:p w14:paraId="018FD338" w14:textId="2FC94300" w:rsidR="00664501" w:rsidRPr="002A7128" w:rsidRDefault="00664501" w:rsidP="00664501">
      <w:pPr>
        <w:pStyle w:val="Caption"/>
        <w:keepNext/>
        <w:rPr>
          <w:rFonts w:ascii="Calibri" w:hAnsi="Calibri" w:cs="Calibri"/>
          <w:i w:val="0"/>
          <w:iCs w:val="0"/>
          <w:color w:val="000000" w:themeColor="text1"/>
          <w:sz w:val="24"/>
          <w:szCs w:val="24"/>
        </w:rPr>
      </w:pPr>
      <w:bookmarkStart w:id="15" w:name="_Toc120787083"/>
      <w:r w:rsidRPr="002A7128">
        <w:rPr>
          <w:rFonts w:ascii="Calibri" w:hAnsi="Calibri" w:cs="Calibri"/>
          <w:b/>
          <w:bCs/>
          <w:i w:val="0"/>
          <w:iCs w:val="0"/>
          <w:color w:val="000000" w:themeColor="text1"/>
          <w:sz w:val="24"/>
          <w:szCs w:val="24"/>
        </w:rPr>
        <w:t xml:space="preserve">Table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Table \* ARABIC </w:instrText>
      </w:r>
      <w:r w:rsidRPr="002A7128">
        <w:rPr>
          <w:rFonts w:ascii="Calibri" w:hAnsi="Calibri" w:cs="Calibri"/>
          <w:b/>
          <w:bCs/>
          <w:i w:val="0"/>
          <w:iCs w:val="0"/>
          <w:color w:val="000000" w:themeColor="text1"/>
          <w:sz w:val="24"/>
          <w:szCs w:val="24"/>
        </w:rPr>
        <w:fldChar w:fldCharType="separate"/>
      </w:r>
      <w:r w:rsidR="00FA204E">
        <w:rPr>
          <w:rFonts w:ascii="Calibri" w:hAnsi="Calibri" w:cs="Calibri"/>
          <w:b/>
          <w:bCs/>
          <w:i w:val="0"/>
          <w:iCs w:val="0"/>
          <w:noProof/>
          <w:color w:val="000000" w:themeColor="text1"/>
          <w:sz w:val="24"/>
          <w:szCs w:val="24"/>
        </w:rPr>
        <w:t>1</w:t>
      </w:r>
      <w:r w:rsidRPr="002A7128">
        <w:rPr>
          <w:rFonts w:ascii="Calibri" w:hAnsi="Calibri" w:cs="Calibri"/>
          <w:b/>
          <w:bCs/>
          <w:i w:val="0"/>
          <w:iCs w:val="0"/>
          <w:color w:val="000000" w:themeColor="text1"/>
          <w:sz w:val="24"/>
          <w:szCs w:val="24"/>
        </w:rPr>
        <w:fldChar w:fldCharType="end"/>
      </w:r>
      <w:r w:rsidRPr="002A7128">
        <w:rPr>
          <w:rFonts w:ascii="Calibri" w:hAnsi="Calibri" w:cs="Calibri"/>
          <w:i w:val="0"/>
          <w:iCs w:val="0"/>
          <w:color w:val="000000" w:themeColor="text1"/>
          <w:sz w:val="24"/>
          <w:szCs w:val="24"/>
        </w:rPr>
        <w:t xml:space="preserve"> DAMPs, detection methods, receptor interactions and resulting immune functionalities.</w:t>
      </w:r>
      <w:bookmarkEnd w:id="15"/>
    </w:p>
    <w:tbl>
      <w:tblPr>
        <w:tblStyle w:val="GridTable1Light"/>
        <w:tblW w:w="0" w:type="auto"/>
        <w:tblLook w:val="04A0" w:firstRow="1" w:lastRow="0" w:firstColumn="1" w:lastColumn="0" w:noHBand="0" w:noVBand="1"/>
      </w:tblPr>
      <w:tblGrid>
        <w:gridCol w:w="1271"/>
        <w:gridCol w:w="2345"/>
        <w:gridCol w:w="1413"/>
        <w:gridCol w:w="3661"/>
        <w:gridCol w:w="660"/>
      </w:tblGrid>
      <w:tr w:rsidR="00A27485" w:rsidRPr="002A7128" w14:paraId="6F8DB95C" w14:textId="77777777" w:rsidTr="00A04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4" w:type="dxa"/>
          </w:tcPr>
          <w:p w14:paraId="03A06030" w14:textId="77777777" w:rsidR="00A27485" w:rsidRPr="002A7128" w:rsidRDefault="00A27485" w:rsidP="00987778">
            <w:pPr>
              <w:spacing w:line="276" w:lineRule="auto"/>
              <w:jc w:val="both"/>
              <w:rPr>
                <w:rFonts w:ascii="Calibri" w:hAnsi="Calibri" w:cs="Calibri"/>
              </w:rPr>
            </w:pPr>
            <w:r w:rsidRPr="002A7128">
              <w:rPr>
                <w:rFonts w:ascii="Calibri" w:hAnsi="Calibri" w:cs="Calibri"/>
              </w:rPr>
              <w:t>DAMPs</w:t>
            </w:r>
          </w:p>
        </w:tc>
        <w:tc>
          <w:tcPr>
            <w:tcW w:w="1941" w:type="dxa"/>
          </w:tcPr>
          <w:p w14:paraId="3A96BD1F" w14:textId="77777777" w:rsidR="00A27485" w:rsidRPr="002A7128" w:rsidRDefault="00A27485" w:rsidP="00987778">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Detection Method</w:t>
            </w:r>
          </w:p>
        </w:tc>
        <w:tc>
          <w:tcPr>
            <w:tcW w:w="1388" w:type="dxa"/>
          </w:tcPr>
          <w:p w14:paraId="43E22421" w14:textId="77777777" w:rsidR="00A27485" w:rsidRPr="002A7128" w:rsidRDefault="00A27485" w:rsidP="00987778">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Receptor Interactions</w:t>
            </w:r>
          </w:p>
        </w:tc>
        <w:tc>
          <w:tcPr>
            <w:tcW w:w="4208" w:type="dxa"/>
          </w:tcPr>
          <w:p w14:paraId="5590E5F8" w14:textId="77777777" w:rsidR="00A27485" w:rsidRPr="002A7128" w:rsidRDefault="00A27485" w:rsidP="00987778">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Immune Functions</w:t>
            </w:r>
          </w:p>
        </w:tc>
        <w:tc>
          <w:tcPr>
            <w:tcW w:w="519" w:type="dxa"/>
          </w:tcPr>
          <w:p w14:paraId="32D34F15" w14:textId="77777777" w:rsidR="00A27485" w:rsidRPr="002A7128" w:rsidRDefault="00A27485" w:rsidP="00987778">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Ref</w:t>
            </w:r>
          </w:p>
        </w:tc>
      </w:tr>
      <w:tr w:rsidR="00A27485" w:rsidRPr="002A7128" w14:paraId="391183FD" w14:textId="77777777" w:rsidTr="00A0457F">
        <w:tc>
          <w:tcPr>
            <w:cnfStyle w:val="001000000000" w:firstRow="0" w:lastRow="0" w:firstColumn="1" w:lastColumn="0" w:oddVBand="0" w:evenVBand="0" w:oddHBand="0" w:evenHBand="0" w:firstRowFirstColumn="0" w:firstRowLastColumn="0" w:lastRowFirstColumn="0" w:lastRowLastColumn="0"/>
            <w:tcW w:w="1294" w:type="dxa"/>
          </w:tcPr>
          <w:p w14:paraId="2B0CEB5F" w14:textId="77777777" w:rsidR="00A27485" w:rsidRPr="002A7128" w:rsidRDefault="00A27485" w:rsidP="00987778">
            <w:pPr>
              <w:spacing w:line="276" w:lineRule="auto"/>
              <w:jc w:val="both"/>
              <w:rPr>
                <w:rFonts w:ascii="Calibri" w:hAnsi="Calibri" w:cs="Calibri"/>
                <w:b w:val="0"/>
                <w:bCs w:val="0"/>
              </w:rPr>
            </w:pPr>
            <w:r w:rsidRPr="002A7128">
              <w:rPr>
                <w:rFonts w:ascii="Calibri" w:hAnsi="Calibri" w:cs="Calibri"/>
                <w:b w:val="0"/>
                <w:bCs w:val="0"/>
              </w:rPr>
              <w:t>ATP</w:t>
            </w:r>
          </w:p>
        </w:tc>
        <w:tc>
          <w:tcPr>
            <w:tcW w:w="1941" w:type="dxa"/>
          </w:tcPr>
          <w:p w14:paraId="29AE532F"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Luminescence (luciferin/luciferase assay)</w:t>
            </w:r>
          </w:p>
        </w:tc>
        <w:tc>
          <w:tcPr>
            <w:tcW w:w="1388" w:type="dxa"/>
          </w:tcPr>
          <w:p w14:paraId="1FBA0A58"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vertAlign w:val="subscript"/>
              </w:rPr>
            </w:pPr>
            <w:r w:rsidRPr="002A7128">
              <w:rPr>
                <w:rFonts w:ascii="Calibri" w:hAnsi="Calibri" w:cs="Calibri"/>
              </w:rPr>
              <w:t>P2X</w:t>
            </w:r>
            <w:r w:rsidRPr="002A7128">
              <w:rPr>
                <w:rFonts w:ascii="Calibri" w:hAnsi="Calibri" w:cs="Calibri"/>
                <w:vertAlign w:val="subscript"/>
              </w:rPr>
              <w:t>7</w:t>
            </w:r>
            <w:r w:rsidRPr="002A7128">
              <w:rPr>
                <w:rFonts w:ascii="Calibri" w:hAnsi="Calibri" w:cs="Calibri"/>
              </w:rPr>
              <w:t>, P2Y</w:t>
            </w:r>
            <w:r w:rsidRPr="002A7128">
              <w:rPr>
                <w:rFonts w:ascii="Calibri" w:hAnsi="Calibri" w:cs="Calibri"/>
                <w:vertAlign w:val="subscript"/>
              </w:rPr>
              <w:t>2</w:t>
            </w:r>
          </w:p>
        </w:tc>
        <w:tc>
          <w:tcPr>
            <w:tcW w:w="4208" w:type="dxa"/>
          </w:tcPr>
          <w:p w14:paraId="3F2B8465"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NLRP3 inflammasome activation and IL-1</w:t>
            </w:r>
            <w:r w:rsidRPr="005140F7">
              <w:rPr>
                <w:rFonts w:ascii="Symbol" w:hAnsi="Symbol" w:cs="Calibri"/>
              </w:rPr>
              <w:t>b</w:t>
            </w:r>
            <w:r w:rsidRPr="002A7128">
              <w:rPr>
                <w:rFonts w:ascii="Calibri" w:hAnsi="Calibri" w:cs="Calibri"/>
              </w:rPr>
              <w:t xml:space="preserve"> release from DCs and neutrophils</w:t>
            </w:r>
          </w:p>
          <w:p w14:paraId="0382F9E7"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Recruitment of myeloid cells, serving as “find-me” signal for macrophages</w:t>
            </w:r>
          </w:p>
        </w:tc>
        <w:tc>
          <w:tcPr>
            <w:tcW w:w="519" w:type="dxa"/>
          </w:tcPr>
          <w:p w14:paraId="52B9B2E9" w14:textId="250D1F3E"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fldChar w:fldCharType="begin"/>
            </w:r>
            <w:r w:rsidR="00317E7D" w:rsidRPr="002A7128">
              <w:rPr>
                <w:rFonts w:ascii="Calibri" w:hAnsi="Calibri" w:cs="Calibri"/>
              </w:rPr>
              <w:instrText xml:space="preserve"> ADDIN ZOTERO_ITEM CSL_CITATION {"citationID":"7dFwY7B2","properties":{"formattedCitation":"\\super 18\\uc0\\u8211{}22\\nosupersub{}","plainCitation":"18–22","noteIndex":0},"citationItems":[{"id":10566,"uris":["http://zotero.org/groups/2667333/items/3C8PI57N"],"itemData":{"id":10566,"type":"article-journal","container-title":"Frontiers in Molecular Neuroscience","DOI":"10.3389/fnmol.2019.00183","ISSN":"1662-5099","journalAbbreviation":"Front. Mol. Neurosci.","page":"183","source":"DOI.org (Crossref)","title":"P2X7 Interactions and Signaling – Making Head or Tail of It","URL":"https://www.frontiersin.org/article/10.3389/fnmol.2019.00183/full","volume":"12","author":[{"family":"Kopp","given":"Robin"},{"family":"Krautloher","given":"Anna"},{"family":"Ramírez-Fernández","given":"Antonio"},{"family":"Nicke","given":"Annette"}],"accessed":{"date-parts":[["2022",5,17]]},"issued":{"date-parts":[["2019",8,7]]},"citation-key":"kopp_p2x7_2019"}},{"id":6618,"uris":["http://zotero.org/groups/2667333/items/5BYX35U5"],"itemData":{"id":6618,"type":"article-journal","abstract":"Although extracellular ATP is abundant at sites of inflammation, its role in activating inflammasome signalling in neutrophils is not well characterized. In the current study, we demonstrate that human and murine neutrophils express functional cell-surface P2X7R, which leads to ATP-induced loss of intracellular K+, NLRP3 inflammasome activation and IL-1β secretion. ATP-induced P2X7R activation caused a sustained increase in intracellular [Ca2+], which is indicative of P2X7R channel opening. Although there are multiple polymorphic variants of P2X7R, we found that neutrophils from multiple donors express P2X7R, but with differential efficacies in ATP-induced increase in cytosolic [Ca2+]. Neutrophils were also the predominant P2X7R-expressing cells during Streptococcus pneumoniae corneal infection, and P2X7R was required for bacterial clearance. Given the ubiquitous presence of neutrophils and extracellular ATP in multiple inflammatory conditions, ATP-induced P2X7R activation and IL-1β secretion by neutrophils likely has a significant, wide ranging clinical impact.","container-title":"Nature Communications","DOI":"10.1038/ncomms10555","ISSN":"2041-1723","issue":"1","journalAbbreviation":"Nat Commun","language":"en","license":"2016 The Author(s)","note":"number: 1\npublisher: Nature Publishing Group","page":"10555","source":"www.nature.com","title":"Neutrophil P2X 7 receptors mediate NLRP3 inflammasome-dependent IL-1β secretion in response to ATP","URL":"https://www.nature.com/articles/ncomms10555","volume":"7","author":[{"family":"Karmakar","given":"Mausita"},{"family":"Katsnelson","given":"Michael A."},{"family":"Dubyak","given":"George R."},{"family":"Pearlman","given":"Eric"}],"accessed":{"date-parts":[["2021",6,8]]},"issued":{"date-parts":[["2016",2,15]]},"citation-key":"karmakar_neutrophil_2016"},"locator":"3"},{"id":6657,"uris":["http://zotero.org/groups/2667333/items/KQE4FK7H"],"itemData":{"id":6657,"type":"article-journal","abstract":"Dying tumor cells release ATP, which activates the NLRP3 inflammasome in dendritic cells, enabling the secretion of interleukin-1β and the subsequent priming of tumor-specific interferon-γ-producing T lymphocytes.","container-title":"Nature Medicine","DOI":"10.1038/nm.2028","ISSN":"1546-170X","issue":"10","journalAbbreviation":"Nat Med","language":"en","license":"2009 Nature Publishing Group","note":"number: 10\npublisher: Nature Publishing Group","page":"1170-1178","source":"www.nature.com","title":"Activation of the NLRP3 inflammasome in dendritic cells induces IL-1β–dependent adaptive immunity against tumors","URL":"https://www.nature.com/articles/nm.2028","volume":"15","author":[{"family":"Ghiringhelli","given":"François"},{"family":"Apetoh","given":"Lionel"},{"family":"Tesniere","given":"Antoine"},{"family":"Aymeric","given":"Laetitia"},{"family":"Ma","given":"Yuting"},{"family":"Ortiz","given":"Carla"},{"family":"Vermaelen","given":"Karim"},{"family":"Panaretakis","given":"Theocharis"},{"family":"Mignot","given":"Grégoire"},{"family":"Ullrich","given":"Evelyn"},{"family":"Perfettini","given":"Jean-Luc"},{"family":"Schlemmer","given":"Frédéric"},{"family":"Tasdemir","given":"Ezgi"},{"family":"Uhl","given":"Martin"},{"family":"Génin","given":"Pierre"},{"family":"Civas","given":"Ahmet"},{"family":"Ryffel","given":"Bernhard"},{"family":"Kanellopoulos","given":"Jean"},{"family":"Tschopp","given":"Jürg"},{"family":"André","given":"Fabrice"},{"family":"Lidereau","given":"Rosette"},{"family":"McLaughlin","given":"Nicole M."},{"family":"Haynes","given":"Nicole M."},{"family":"Smyth","given":"Mark J."},{"family":"Kroemer","given":"Guido"},{"family":"Zitvogel","given":"Laurence"}],"accessed":{"date-parts":[["2021",6,8]]},"issued":{"date-parts":[["2009",10]]},"citation-key":"ghiringhelli_activation_2009"}},{"id":6655,"uris":["http://zotero.org/groups/2667333/items/EQJI2SED"],"itemData":{"id":6655,"type":"article-journal","abstract":"Apoptosis occurs in essentially all tissues as part of normal development and homeostasis. Yet even in tissues with high cellular turnover, apoptotic cells are rarely seen; this has been attributed to the ability of apoptotic cells to advertise their presence via release of 'find-me' signals to recruit phagocytes and initiate prompt clearance. It has been unclear, however, what type of find-me signals are released by apoptotic cells and how these are sensed by phagocytes. In this paper apoptotic cells are shown to release ATP and UTP that act as a 'find me ' signal and chemoattractant for phagocytes expressing the P2Y2 ATP/UTP receptor.","container-title":"Nature","DOI":"10.1038/nature08296","ISSN":"1476-4687","issue":"7261","language":"en","license":"2009 Macmillan Publishers Limited. All rights reserved","note":"number: 7261\npublisher: Nature Publishing Group","page":"282-286","source":"www.nature.com","title":"Nucleotides released by apoptotic cells act as a find-me signal to promote phagocytic clearance","URL":"https://www.nature.com/articles/nature08296","volume":"461","author":[{"family":"Elliott","given":"Michael R."},{"family":"Chekeni","given":"Faraaz B."},{"family":"Trampont","given":"Paul C."},{"family":"Lazarowski","given":"Eduardo R."},{"family":"Kadl","given":"Alexandra"},{"family":"Walk","given":"Scott F."},{"family":"Park","given":"Daeho"},{"family":"Woodson","given":"Robin I."},{"family":"Ostankovich","given":"Marina"},{"family":"Sharma","given":"Poonam"},{"family":"Lysiak","given":"Jeffrey J."},{"family":"Harden","given":"T. Kendall"},{"family":"Leitinger","given":"Norbert"},{"family":"Ravichandran","given":"Kodi S."}],"accessed":{"date-parts":[["2021",6,8]]},"issued":{"date-parts":[["2009",9]]},"citation-key":"elliott_nucleotides_2009"}},{"id":6674,"uris":["http://zotero.org/groups/2667333/items/5CPZ44BT"],"itemData":{"id":6674,"type":"article-journal","abstract":"Chemotherapy, radiation therapy, as well as targeted anticancer agents can induce clinically relevant tumor-targeting immune responses, which critically rely on the antigenicity of malignant cells and their capacity to generate adjuvant signals. In particular, immunogenic cell death (ICD) is accompanied by the exposure and release of numerous damage-associated molecular patterns (DAMPs), which altogether confer a robust adjuvanticity to dying cancer cells, as they favor the recruitment and activation of antigen-presenting cells. ICD-associated DAMPs include surface-exposed calreticulin (CALR) as well as secreted ATP, annexin A1 (ANXA1), type I interferon, and high-mobility group box 1 (HMGB1). Additional hallmarks of ICD encompass the phosphorylation of eukaryotic translation initiation factor 2 subunit-α (EIF2S1, better known as eIF2α), the activation of autophagy, and a global arrest in transcription and translation. Here, we outline methodological approaches for measuring ICD markers in vitro and ex vivo for the discovery of next-generation antineoplastic agents, the development of personalized anticancer regimens, and the identification of optimal therapeutic combinations for the clinical management of cancer.","container-title":"Cell Death &amp; Disease","DOI":"10.1038/s41419-020-03221-2","ISSN":"2041-4889","issue":"11","journalAbbreviation":"Cell Death Dis","language":"en","license":"2020 The Author(s)","note":"number: 11\npublisher: Nature Publishing Group","page":"1-13","source":"www.nature.com","title":"Detection of immunogenic cell death and its relevance for cancer therapy","URL":"https://www.nature.com/articles/s41419-020-03221-2","volume":"11","author":[{"family":"Fucikova","given":"Jitka"},{"family":"Kepp","given":"Oliver"},{"family":"Kasikova","given":"Lenka"},{"family":"Petroni","given":"Giulia"},{"family":"Yamazaki","given":"Takahiro"},{"family":"Liu","given":"Peng"},{"family":"Zhao","given":"Liwei"},{"family":"Spisek","given":"Radek"},{"family":"Kroemer","given":"Guido"},{"family":"Galluzzi","given":"Lorenzo"}],"accessed":{"date-parts":[["2021",6,8]]},"issued":{"date-parts":[["2020",11,26]]},"citation-key":"fucikova_detection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18–22</w:t>
            </w:r>
            <w:r w:rsidRPr="002A7128">
              <w:rPr>
                <w:rFonts w:ascii="Calibri" w:hAnsi="Calibri" w:cs="Calibri"/>
              </w:rPr>
              <w:fldChar w:fldCharType="end"/>
            </w:r>
          </w:p>
        </w:tc>
      </w:tr>
      <w:tr w:rsidR="00A27485" w:rsidRPr="002A7128" w14:paraId="195F6693" w14:textId="77777777" w:rsidTr="00A0457F">
        <w:tc>
          <w:tcPr>
            <w:cnfStyle w:val="001000000000" w:firstRow="0" w:lastRow="0" w:firstColumn="1" w:lastColumn="0" w:oddVBand="0" w:evenVBand="0" w:oddHBand="0" w:evenHBand="0" w:firstRowFirstColumn="0" w:firstRowLastColumn="0" w:lastRowFirstColumn="0" w:lastRowLastColumn="0"/>
            <w:tcW w:w="1294" w:type="dxa"/>
          </w:tcPr>
          <w:p w14:paraId="70015799" w14:textId="77777777" w:rsidR="00A27485" w:rsidRPr="002A7128" w:rsidRDefault="00A27485" w:rsidP="00987778">
            <w:pPr>
              <w:spacing w:line="276" w:lineRule="auto"/>
              <w:jc w:val="both"/>
              <w:rPr>
                <w:rFonts w:ascii="Calibri" w:hAnsi="Calibri" w:cs="Calibri"/>
                <w:b w:val="0"/>
                <w:bCs w:val="0"/>
              </w:rPr>
            </w:pPr>
            <w:r w:rsidRPr="002A7128">
              <w:rPr>
                <w:rFonts w:ascii="Calibri" w:hAnsi="Calibri" w:cs="Calibri"/>
                <w:b w:val="0"/>
                <w:bCs w:val="0"/>
              </w:rPr>
              <w:t>HMGB-1</w:t>
            </w:r>
          </w:p>
        </w:tc>
        <w:tc>
          <w:tcPr>
            <w:tcW w:w="1941" w:type="dxa"/>
          </w:tcPr>
          <w:p w14:paraId="7E8A8EDA"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Immunofluorescence, western blot, ELISA, mass spectrometry</w:t>
            </w:r>
          </w:p>
        </w:tc>
        <w:tc>
          <w:tcPr>
            <w:tcW w:w="1388" w:type="dxa"/>
          </w:tcPr>
          <w:p w14:paraId="24972E38"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TLR-2, TLR-4, RAGE</w:t>
            </w:r>
          </w:p>
        </w:tc>
        <w:tc>
          <w:tcPr>
            <w:tcW w:w="4208" w:type="dxa"/>
          </w:tcPr>
          <w:p w14:paraId="56D4D8E8"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Induction of macrophage pyroptosis through RAGE</w:t>
            </w:r>
          </w:p>
          <w:p w14:paraId="3E922FD2"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Processing and presentation of tumor antigens by DCs</w:t>
            </w:r>
          </w:p>
          <w:p w14:paraId="09416894"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Migration, maturation, and activation of DCs</w:t>
            </w:r>
          </w:p>
          <w:p w14:paraId="2D55AEB6"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519" w:type="dxa"/>
          </w:tcPr>
          <w:p w14:paraId="4B1C57C1" w14:textId="104579D8"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fldChar w:fldCharType="begin"/>
            </w:r>
            <w:r w:rsidR="00317E7D" w:rsidRPr="002A7128">
              <w:rPr>
                <w:rFonts w:ascii="Calibri" w:hAnsi="Calibri" w:cs="Calibri"/>
              </w:rPr>
              <w:instrText xml:space="preserve"> ADDIN ZOTERO_ITEM CSL_CITATION {"citationID":"aqq1iulnus","properties":{"formattedCitation":"\\super 23\\uc0\\u8211{}30\\nosupersub{}","plainCitation":"23–30","noteIndex":0},"citationItems":[{"id":10568,"uris":["http://zotero.org/groups/2667333/items/4JNRUUEU"],"itemData":{"id":10568,"type":"article-journal","container-title":"Shock","DOI":"10.1097/01.shk.0000225404.51320.82","ISSN":"1073-2322","issue":"2","language":"en","page":"174-179","source":"DOI.org (Crossref)","title":"HMGB1 SIGNALS THROUGH TOLL-LIKE RECEPTOR (TLR) 4 AND TLR2","URL":"https://journals.lww.com/00024382-200608000-00011","volume":"26","author":[{"family":"Yu","given":"Man"},{"family":"Wang","given":"Haichao"},{"family":"Ding","given":"Aihao"},{"family":"Golenbock","given":"Douglas T."},{"family":"Latz","given":"Eicke"},{"family":"Czura","given":"Christopher J."},{"family":"Fenton","given":"Matthew J."},{"family":"Tracey","given":"Kevin J."},{"family":"Yang","given":"Huan"}],"accessed":{"date-parts":[["2022",5,17]]},"issued":{"date-parts":[["2006",8]]},"citation-key":"yu_hmgb1_2006"}},{"id":10569,"uris":["http://zotero.org/groups/2667333/items/FR3UNC95"],"itemData":{"id":10569,"type":"article-journal","container-title":"Cell Death &amp; Differentiation","DOI":"10.1038/cdd.2014.40","ISSN":"1350-9047, 1476-5403","issue":"8","journalAbbreviation":"Cell Death Differ","language":"en","page":"1229-1239","source":"DOI.org (Crossref)","title":"Macrophage endocytosis of high-mobility group box 1 triggers pyroptosis","URL":"http://www.nature.com/articles/cdd201440","volume":"21","author":[{"family":"Xu","given":"J"},{"family":"Jiang","given":"Y"},{"family":"Wang","given":"J"},{"family":"Shi","given":"X"},{"family":"Liu","given":"Q"},{"family":"Liu","given":"Z"},{"family":"Li","given":"Y"},{"family":"Scott","given":"M J"},{"family":"Xiao","given":"G"},{"family":"Li","given":"S"},{"family":"Fan","given":"L"},{"family":"Billiar","given":"T R"},{"family":"Wilson","given":"M A"},{"family":"Fan","given":"J"}],"accessed":{"date-parts":[["2022",5,17]]},"issued":{"date-parts":[["2014",8]]},"citation-key":"xu_macrophage_2014"}},{"id":10524,"uris":["http://zotero.org/groups/2667333/items/5GXMXBJD"],"itemData":{"id":10524,"type":"article-journal","container-title":"Frontiers in Immunology","DOI":"10.3389/fimmu.2020.00484","ISSN":"1664-3224","journalAbbreviation":"Front. Immunol.","page":"484","source":"DOI.org (Crossref)","title":"Targeting Inflammation Driven by HMGB1","URL":"https://www.frontiersin.org/article/10.3389/fimmu.2020.00484/full","volume":"11","author":[{"family":"Yang","given":"Huan"},{"family":"Wang","given":"Haichao"},{"family":"Andersson","given":"Ulf"}],"accessed":{"date-parts":[["2022",5,10]]},"issued":{"date-parts":[["2020",3,20]]},"citation-key":"yang_targeting_2020"},"locator":"2020-1"},{"id":9288,"uris":["http://zotero.org/groups/2667333/items/RM88JPID"],"itemData":{"id":9288,"type":"article-journal","container-title":"The Journal of Immunology","DOI":"10.4049/jimmunol.173.1.307","ISSN":"0022-1767, 1550-6606","issue":"1","journalAbbreviation":"J Immunol","language":"en","page":"307-313","source":"DOI.org (Crossref)","title":"High Mobility Group Box Protein 1: An Endogenous Signal for Dendritic Cell Maturation and Th1 Polarization","title-short":"High Mobility Group Box Protein 1","URL":"http://www.jimmunol.org/lookup/doi/10.4049/jimmunol.173.1.307","volume":"173","author":[{"family":"Messmer","given":"Davorka"},{"family":"Yang","given":"Huan"},{"family":"Telusma","given":"Gloria"},{"family":"Knoll","given":"Faye"},{"family":"Li","given":"Jianhua"},{"family":"Messmer","given":"Bradley"},{"family":"Tracey","given":"Kevin J."},{"family":"Chiorazzi","given":"Nicholas"}],"accessed":{"date-parts":[["2021",10,25]]},"issued":{"date-parts":[["2004",7,1]]},"citation-key":"messmer_high_2004"}},{"id":10576,"uris":["http://zotero.org/groups/2667333/items/G2YJRM3K"],"itemData":{"id":10576,"type":"article-journal","container-title":"Journal of Leukocyte Biology","DOI":"10.1189/jlb.0306180","ISSN":"07415400","issue":"1","journalAbbreviation":"Journal of Leukocyte Biology","language":"en","page":"59-66","source":"DOI.org (Crossref)","title":"High mobility group box-1 protein induces the migration and activation of human dendritic cells and acts as an alarmin","URL":"http://doi.wiley.com/10.1189/jlb.0306180","volume":"81","author":[{"family":"Yang","given":"De"},{"family":"Chen","given":"Qian"},{"family":"Yang","given":"Huan"},{"family":"Tracey","given":"Kevin J."},{"family":"Bustin","given":"Michael"},{"family":"Oppenheim","given":"Joost J."}],"accessed":{"date-parts":[["2022",5,18]]},"issued":{"date-parts":[["2007",1]]},"citation-key":"yang_high_2007"}},{"id":10578,"uris":["http://zotero.org/groups/2667333/items/CDK7BXIB"],"itemData":{"id":10578,"type":"article-journal","container-title":"Yonsei Medical Journal","DOI":"10.3349/ymj.2014.55.5.1165","ISSN":"0513-5796, 1976-2437","issue":"5","journalAbbreviation":"Yonsei Med J","language":"en","page":"1165","source":"DOI.org (Crossref)","title":"The Role of High Mobility Group Box 1 in Innate Immunity","URL":"https://eymj.org/DOIx.php?id=10.3349/ymj.2014.55.5.1165","volume":"55","author":[{"family":"Lee","given":"Shin-Ae"},{"family":"Kwak","given":"Man Sup"},{"family":"Kim","given":"Sol"},{"family":"Shin","given":"Jeon-Soo"}],"accessed":{"date-parts":[["2022",5,18]]},"issued":{"date-parts":[["2014"]]},"citation-key":"lee_role_2014"}},{"id":10587,"uris":["http://zotero.org/groups/2667333/items/9DK82BFC"],"itemData":{"id":10587,"type":"article-journal","container-title":"Immunological Reviews","DOI":"10.1111/j.1600-065X.2007.00573.x","ISSN":"0105-2896, 1600-065X","issue":"1","journalAbbreviation":"Immunol Rev","language":"en","page":"47-59","source":"DOI.org (Crossref)","title":"The interaction between HMGB1 and TLR4 dictates the outcome of anticancer chemotherapy and radiotherapy","URL":"https://onlinelibrary.wiley.com/doi/10.1111/j.1600-065X.2007.00573.x","volume":"220","author":[{"family":"Apetoh","given":"Lionel"},{"family":"Ghiringhelli","given":"François"},{"family":"Tesniere","given":"Antoine"},{"family":"Criollo","given":"Alfredo"},{"family":"Ortiz","given":"Carla"},{"family":"Lidereau","given":"Rosette"},{"family":"Mariette","given":"Christophe"},{"family":"Chaput","given":"Nathalie"},{"family":"Mira","given":"Jean-Paul"},{"family":"Delaloge","given":"Suzette"},{"family":"André","given":"Fabrice"},{"family":"Tursz","given":"Thomas"},{"family":"Kroemer","given":"Guido"},{"family":"Zitvogel","given":"Laurence"}],"accessed":{"date-parts":[["2022",5,19]]},"issued":{"date-parts":[["2007",12]]},"citation-key":"apetoh_interaction_2007"}},{"id":9669,"uris":["http://zotero.org/groups/2667333/items/Z4YLJ2ZH"],"itemData":{"id":9669,"type":"article-journal","abstract":"Abstract\n            \n              Induction of tumor cell death is the therapeutic goal for most anticancer drugs. Yet, a mode of drug-induced cell death, known as immunogenic cell death (ICD), can propagate antitumoral immunity to augment therapeutic efficacy. Currently, the molecular hallmark of ICD features the release of damage-associated molecular patterns (DAMPs) by dying cancer cells. Here, we show that gemcitabine, a standard chemotherapy for various solid tumors, triggers hallmark immunostimualtory DAMP release (e.g., calreticulin, HSP70, and HMGB1); however, is unable to induce ICD. Mechanistic studies reveal gemcitabine concurrently triggers prostaglandin E\n              2\n              release as an inhibitory DAMP to counterpoise the adjuvanticity of immunostimulatory DAMPs. Pharmacological blockade of prostaglandin E\n              2\n              biosythesis favors CD103\n              +\n              dendritic cell activation that primes a Tc1-polarized CD8\n              +\n              T cell response to bolster tumor rejection. Herein, we postulate that an intricate balance between immunostimulatory and inhibitory DAMPs could determine the outcome of drug-induced ICD and pose COX-2/prostaglandin E\n              2\n              blockade as a strategy to harness ICD.","container-title":"Nature Communications","DOI":"10.1038/s41467-020-19970-9","ISSN":"2041-1723","issue":"1","journalAbbreviation":"Nat Commun","language":"en","page":"6299","source":"DOI.org (Crossref)","title":"Tipping the immunostimulatory and inhibitory DAMP balance to harness immunogenic cell death","URL":"http://www.nature.com/articles/s41467-020-19970-9","volume":"11","author":[{"family":"Hayashi","given":"K."},{"family":"Nikolos","given":"F."},{"family":"Lee","given":"Y. C."},{"family":"Jain","given":"A."},{"family":"Tsouko","given":"E."},{"family":"Gao","given":"H."},{"family":"Kasabyan","given":"A."},{"family":"Leung","given":"H. E."},{"family":"Osipov","given":"A."},{"family":"Jung","given":"S. Y."},{"family":"Kurtova","given":"A. V."},{"family":"Chan","given":"K. S."}],"accessed":{"date-parts":[["2021",12,4]]},"issued":{"date-parts":[["2020",12]]},"citation-key":"hayashi_tipping_2020"}}],"schema":"https://github.com/citation-style-language/schema/raw/master/csl-citation.json"}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23–30</w:t>
            </w:r>
            <w:r w:rsidRPr="002A7128">
              <w:rPr>
                <w:rFonts w:ascii="Calibri" w:hAnsi="Calibri" w:cs="Calibri"/>
              </w:rPr>
              <w:fldChar w:fldCharType="end"/>
            </w:r>
          </w:p>
        </w:tc>
      </w:tr>
      <w:tr w:rsidR="00A27485" w:rsidRPr="002A7128" w14:paraId="02C20BA9" w14:textId="77777777" w:rsidTr="00A0457F">
        <w:tc>
          <w:tcPr>
            <w:cnfStyle w:val="001000000000" w:firstRow="0" w:lastRow="0" w:firstColumn="1" w:lastColumn="0" w:oddVBand="0" w:evenVBand="0" w:oddHBand="0" w:evenHBand="0" w:firstRowFirstColumn="0" w:firstRowLastColumn="0" w:lastRowFirstColumn="0" w:lastRowLastColumn="0"/>
            <w:tcW w:w="1294" w:type="dxa"/>
          </w:tcPr>
          <w:p w14:paraId="7BEED89C" w14:textId="77777777" w:rsidR="00A27485" w:rsidRPr="002A7128" w:rsidRDefault="00A27485" w:rsidP="00987778">
            <w:pPr>
              <w:spacing w:line="276" w:lineRule="auto"/>
              <w:jc w:val="both"/>
              <w:rPr>
                <w:rFonts w:ascii="Calibri" w:hAnsi="Calibri" w:cs="Calibri"/>
                <w:b w:val="0"/>
                <w:bCs w:val="0"/>
              </w:rPr>
            </w:pPr>
            <w:r w:rsidRPr="002A7128">
              <w:rPr>
                <w:rFonts w:ascii="Calibri" w:hAnsi="Calibri" w:cs="Calibri"/>
                <w:b w:val="0"/>
                <w:bCs w:val="0"/>
              </w:rPr>
              <w:lastRenderedPageBreak/>
              <w:t>CRT</w:t>
            </w:r>
          </w:p>
        </w:tc>
        <w:tc>
          <w:tcPr>
            <w:tcW w:w="1941" w:type="dxa"/>
          </w:tcPr>
          <w:p w14:paraId="14F8D641"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Immunofluorescence, flow cytometry, mass spectrometry</w:t>
            </w:r>
          </w:p>
        </w:tc>
        <w:tc>
          <w:tcPr>
            <w:tcW w:w="1388" w:type="dxa"/>
          </w:tcPr>
          <w:p w14:paraId="29403F93"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LRP-1 (CD91)</w:t>
            </w:r>
          </w:p>
        </w:tc>
        <w:tc>
          <w:tcPr>
            <w:tcW w:w="4208" w:type="dxa"/>
          </w:tcPr>
          <w:p w14:paraId="20D3BA94"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Surface localization (</w:t>
            </w:r>
            <w:proofErr w:type="spellStart"/>
            <w:r w:rsidRPr="002A7128">
              <w:rPr>
                <w:rFonts w:ascii="Calibri" w:hAnsi="Calibri" w:cs="Calibri"/>
              </w:rPr>
              <w:t>ecto</w:t>
            </w:r>
            <w:proofErr w:type="spellEnd"/>
            <w:r w:rsidRPr="002A7128">
              <w:rPr>
                <w:rFonts w:ascii="Calibri" w:hAnsi="Calibri" w:cs="Calibri"/>
              </w:rPr>
              <w:t>-CRT) initiates phagocytosis of tumor cells by DCs and macrophages</w:t>
            </w:r>
          </w:p>
        </w:tc>
        <w:tc>
          <w:tcPr>
            <w:tcW w:w="519" w:type="dxa"/>
          </w:tcPr>
          <w:p w14:paraId="75A980E0" w14:textId="16E0E3F8"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fldChar w:fldCharType="begin"/>
            </w:r>
            <w:r w:rsidR="00317E7D" w:rsidRPr="002A7128">
              <w:rPr>
                <w:rFonts w:ascii="Calibri" w:hAnsi="Calibri" w:cs="Calibri"/>
              </w:rPr>
              <w:instrText xml:space="preserve"> ADDIN ZOTERO_ITEM CSL_CITATION {"citationID":"a1cttu8s7sc","properties":{"formattedCitation":"\\super 30\\uc0\\u8211{}32\\nosupersub{}","plainCitation":"30–32","noteIndex":0},"citationItems":[{"id":10573,"uris":["http://zotero.org/groups/2667333/items/BZIXIPEV"],"itemData":{"id":10573,"type":"article-journal","container-title":"Cell","DOI":"10.1016/j.cell.2005.08.032","ISSN":"00928674","issue":"2","journalAbbreviation":"Cell","language":"en","page":"321-334","source":"DOI.org (Crossref)","title":"Cell-Surface Calreticulin Initiates Clearance of Viable or Apoptotic Cells through trans-Activation of LRP on the Phagocyte","URL":"https://linkinghub.elsevier.com/retrieve/pii/S009286740500869X","volume":"123","author":[{"family":"Gardai","given":"Shyra J."},{"family":"McPhillips","given":"Kathleen A."},{"family":"Frasch","given":"S. Courtney"},{"family":"Janssen","given":"William J."},{"family":"Starefeldt","given":"Anna"},{"family":"Murphy-Ullrich","given":"Joanne E."},{"family":"Bratton","given":"Donna L."},{"family":"Oldenborg","given":"Per-Arne"},{"family":"Michalak","given":"Marek"},{"family":"Henson","given":"Peter M."}],"accessed":{"date-parts":[["2022",5,17]]},"issued":{"date-parts":[["2005",10]]},"citation-key":"gardai_cell-surface_2005"}},{"id":10378,"uris":["http://zotero.org/groups/2667333/items/6N2IEINE"],"itemData":{"id":10378,"type":"article-journal","container-title":"Nature Medicine","DOI":"10.1038/nm1523","ISSN":"1078-8956, 1546-170X","issue":"1","journalAbbreviation":"Nat Med","language":"en","page":"54-61","source":"DOI.org (Crossref)","title":"Calreticulin exposure dictates the immunogenicity of cancer cell death","URL":"http://www.nature.com/articles/nm1523","volume":"13","author":[{"family":"Obeid","given":"Michel"},{"family":"Tesniere","given":"Antoine"},{"family":"Ghiringhelli","given":"François"},{"family":"Fimia","given":"Gian Maria"},{"family":"Apetoh","given":"Lionel"},{"family":"Perfettini","given":"Jean-Luc"},{"family":"Castedo","given":"Maria"},{"family":"Mignot","given":"Grégoire"},{"family":"Panaretakis","given":"Theoharis"},{"family":"Casares","given":"Noelia"},{"family":"Métivier","given":"Didier"},{"family":"Larochette","given":"Nathanael"},{"family":"Endert","given":"Peter","non-dropping-particle":"van"},{"family":"Ciccosanti","given":"Fabiola"},{"family":"Piacentini","given":"Mauro"},{"family":"Zitvogel","given":"Laurence"},{"family":"Kroemer","given":"Guido"}],"accessed":{"date-parts":[["2022",4,26]]},"issued":{"date-parts":[["2007",1]]},"citation-key":"obeid_calreticulin_2007-1"}},{"id":9669,"uris":["http://zotero.org/groups/2667333/items/Z4YLJ2ZH"],"itemData":{"id":9669,"type":"article-journal","abstract":"Abstract\n            \n              Induction of tumor cell death is the therapeutic goal for most anticancer drugs. Yet, a mode of drug-induced cell death, known as immunogenic cell death (ICD), can propagate antitumoral immunity to augment therapeutic efficacy. Currently, the molecular hallmark of ICD features the release of damage-associated molecular patterns (DAMPs) by dying cancer cells. Here, we show that gemcitabine, a standard chemotherapy for various solid tumors, triggers hallmark immunostimualtory DAMP release (e.g., calreticulin, HSP70, and HMGB1); however, is unable to induce ICD. Mechanistic studies reveal gemcitabine concurrently triggers prostaglandin E\n              2\n              release as an inhibitory DAMP to counterpoise the adjuvanticity of immunostimulatory DAMPs. Pharmacological blockade of prostaglandin E\n              2\n              biosythesis favors CD103\n              +\n              dendritic cell activation that primes a Tc1-polarized CD8\n              +\n              T cell response to bolster tumor rejection. Herein, we postulate that an intricate balance between immunostimulatory and inhibitory DAMPs could determine the outcome of drug-induced ICD and pose COX-2/prostaglandin E\n              2\n              blockade as a strategy to harness ICD.","container-title":"Nature Communications","DOI":"10.1038/s41467-020-19970-9","ISSN":"2041-1723","issue":"1","journalAbbreviation":"Nat Commun","language":"en","page":"6299","source":"DOI.org (Crossref)","title":"Tipping the immunostimulatory and inhibitory DAMP balance to harness immunogenic cell death","URL":"http://www.nature.com/articles/s41467-020-19970-9","volume":"11","author":[{"family":"Hayashi","given":"K."},{"family":"Nikolos","given":"F."},{"family":"Lee","given":"Y. C."},{"family":"Jain","given":"A."},{"family":"Tsouko","given":"E."},{"family":"Gao","given":"H."},{"family":"Kasabyan","given":"A."},{"family":"Leung","given":"H. E."},{"family":"Osipov","given":"A."},{"family":"Jung","given":"S. Y."},{"family":"Kurtova","given":"A. V."},{"family":"Chan","given":"K. S."}],"accessed":{"date-parts":[["2021",12,4]]},"issued":{"date-parts":[["2020",12]]},"citation-key":"hayashi_tipping_2020"}}],"schema":"https://github.com/citation-style-language/schema/raw/master/csl-citation.json"}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30–32</w:t>
            </w:r>
            <w:r w:rsidRPr="002A7128">
              <w:rPr>
                <w:rFonts w:ascii="Calibri" w:hAnsi="Calibri" w:cs="Calibri"/>
              </w:rPr>
              <w:fldChar w:fldCharType="end"/>
            </w:r>
          </w:p>
        </w:tc>
      </w:tr>
      <w:tr w:rsidR="00A27485" w:rsidRPr="002A7128" w14:paraId="3F5804C0" w14:textId="77777777" w:rsidTr="00A0457F">
        <w:tc>
          <w:tcPr>
            <w:cnfStyle w:val="001000000000" w:firstRow="0" w:lastRow="0" w:firstColumn="1" w:lastColumn="0" w:oddVBand="0" w:evenVBand="0" w:oddHBand="0" w:evenHBand="0" w:firstRowFirstColumn="0" w:firstRowLastColumn="0" w:lastRowFirstColumn="0" w:lastRowLastColumn="0"/>
            <w:tcW w:w="1294" w:type="dxa"/>
          </w:tcPr>
          <w:p w14:paraId="694616A7" w14:textId="77777777" w:rsidR="00A27485" w:rsidRPr="002A7128" w:rsidRDefault="00A27485" w:rsidP="00987778">
            <w:pPr>
              <w:spacing w:line="276" w:lineRule="auto"/>
              <w:jc w:val="both"/>
              <w:rPr>
                <w:rFonts w:ascii="Calibri" w:hAnsi="Calibri" w:cs="Calibri"/>
                <w:b w:val="0"/>
                <w:bCs w:val="0"/>
              </w:rPr>
            </w:pPr>
            <w:r w:rsidRPr="002A7128">
              <w:rPr>
                <w:rFonts w:ascii="Calibri" w:hAnsi="Calibri" w:cs="Calibri"/>
                <w:b w:val="0"/>
                <w:bCs w:val="0"/>
              </w:rPr>
              <w:t>HSP70, HSP90</w:t>
            </w:r>
          </w:p>
        </w:tc>
        <w:tc>
          <w:tcPr>
            <w:tcW w:w="1941" w:type="dxa"/>
          </w:tcPr>
          <w:p w14:paraId="40DFF0B8"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Immunofluorescence, western blot, ELISA, mass spectrometry</w:t>
            </w:r>
          </w:p>
        </w:tc>
        <w:tc>
          <w:tcPr>
            <w:tcW w:w="1388" w:type="dxa"/>
          </w:tcPr>
          <w:p w14:paraId="6A228A79"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CD14</w:t>
            </w:r>
          </w:p>
        </w:tc>
        <w:tc>
          <w:tcPr>
            <w:tcW w:w="4208" w:type="dxa"/>
          </w:tcPr>
          <w:p w14:paraId="4A2736AC"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Cytokine production from human monocytes</w:t>
            </w:r>
          </w:p>
          <w:p w14:paraId="5D6941D8"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Translocation of chaperoned antigens for cross presentation by DCs</w:t>
            </w:r>
          </w:p>
          <w:p w14:paraId="2A0FE1BF"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519" w:type="dxa"/>
          </w:tcPr>
          <w:p w14:paraId="3E5433E7" w14:textId="4FE96484"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fldChar w:fldCharType="begin"/>
            </w:r>
            <w:r w:rsidR="00317E7D" w:rsidRPr="002A7128">
              <w:rPr>
                <w:rFonts w:ascii="Calibri" w:hAnsi="Calibri" w:cs="Calibri"/>
              </w:rPr>
              <w:instrText xml:space="preserve"> ADDIN ZOTERO_ITEM CSL_CITATION {"citationID":"a1d67h2d4d6","properties":{"formattedCitation":"\\super 30,33\\uc0\\u8211{}35\\nosupersub{}","plainCitation":"30,33–35","noteIndex":0},"citationItems":[{"id":10575,"uris":["http://zotero.org/groups/2667333/items/YIWT73QN"],"itemData":{"id":10575,"type":"article-journal","container-title":"Nature Medicine","DOI":"10.1038/74697","ISSN":"1078-8956, 1546-170X","issue":"4","journalAbbreviation":"Nat Med","language":"en","page":"435-442","source":"DOI.org (Crossref)","title":"HSP70 stimulates cytokine production through a CD14-dependant pathway, demonstrating its dual role as a chaperone and cytokine","URL":"http://www.nature.com/articles/nm0400_435","volume":"6","author":[{"family":"Asea","given":"Alexzander"},{"family":"Kraeft","given":"Stine-Kathrein"},{"family":"Kurt-Jones","given":"Evelyn A."},{"family":"Stevenson","given":"Mary Ann"},{"family":"Chen","given":"Lan Bo"},{"family":"Finberg","given":"Robert W."},{"family":"Koo","given":"Gloria C."},{"family":"Calderwood","given":"Stuart K."}],"accessed":{"date-parts":[["2022",5,17]]},"issued":{"date-parts":[["2000",4]]},"citation-key":"asea_hsp70_2000"}},{"id":5705,"uris":["http://zotero.org/groups/2667333/items/W66JDSIS"],"itemData":{"id":5705,"type":"article-journal","abstract":"In antigen (Ag) cross-presentation, dendritic cells (DCs) take up extracellular Ag and translocate them from the endosome to the cytosol for proteasomal degradation. The processed peptides can enter the conventional MHC I pathway. The molecules responsible for the translocation of Ag across the endosomal membrane into the cytosol are unknown. Here we demonstrate that heat shock protein 90 (HSP90) is critical for this step. Cross-presentation and -priming were decreased in both HSP90α-null DCs and mice. CD8α+ DC apoptosis mediated by translocation of exogenous cytochrome c to the cytosol was also eliminated in HSP90α-null mice. Ag translocation into the cytosol was diminished in HSP90α-null DCs and in DCs treated with an HSP90 inhibitor. Internalized Ag was associated with HSP90 and translocated to the cytosol, a process abrogated by the HSP90 inhibitor. Ag within purified phagosomes was released in an HSP90-dependent manner. These results demonstrate the important role of HSP90 in cross-presentation by pulling endosomal Ag out into the cytosol.","container-title":"Proceedings of the National Academy of Sciences","DOI":"10.1073/pnas.1108372108","ISSN":"0027-8424, 1091-6490","issue":"39","journalAbbreviation":"PNAS","language":"en","license":"©  . Freely available online through the PNAS open access option.","note":"publisher: National Academy of Sciences\nsection: Biological Sciences\nPMID: 21930907","page":"16363-16368","source":"www.pnas.org","title":"Heat shock protein 90 (HSP90) contributes to cytosolic translocation of extracellular antigen for cross-presentation by dendritic cells","URL":"https://www.pnas.org/content/108/39/16363","volume":"108","author":[{"family":"Imai","given":"Takashi"},{"family":"Kato","given":"Yu"},{"family":"Kajiwara","given":"Chiaki"},{"family":"Mizukami","given":"Shusaku"},{"family":"Ishige","given":"Ikuo"},{"family":"Ichiyanagi","given":"Tomoko"},{"family":"Hikida","given":"Masaki"},{"family":"Wang","given":"Ji-Yang"},{"family":"Udono","given":"Heiichiro"}],"accessed":{"date-parts":[["2021",1,28]]},"issued":{"date-parts":[["2011",9,27]]},"citation-key":"imai_heat_2011"}},{"id":6865,"uris":["http://zotero.org/groups/2667333/items/PQ53DVPH"],"itemData":{"id":6865,"type":"article-journal","abstract":"BACKGROUND: Laser immunotherapy is a new anti-cancer therapy combining photothermal therapy and immunostimulation. It can eliminate the tumours by damaging tumour cells directly and promoting the release of damage-associated molecular patterns (DAMPs) to enhance tumour immunogenicity. The aim of this study was to investigate the thermal effects of laser immunotherapy and to evaluate the effectiveness and safety of laser immunotherapy for cutaneous squamous cell carcinoma (cSCC).\nMETHODS: The cell viability and the DAMPs productions of heat-treated cSCC A431 cells in different temperatures were investigated. Laser immunotherapy with the optimal thermal effect for DAMPs production was performed on SKH-1 mice bearing ultraviolet-induced cSCC and a patient suffering from a large refractory cSCC.\nRESULTS: The temperature in the range of 45-50 °C killing half of A431 cells had an optimal thermal effect for the productions of DAMPs. The thermal effect could be further enhanced by local application of imiquimod, an immunoadjuvant. Laser immunotherapy eliminated most tumours and improved the survival rate of the ultraviolet-induced cSCC-bearing SKH-1 mice (p &lt; 0.05). The patient with cSCC treated by laser immunotherapy experienced a significant tumour reduction after laser immunotherapy increased the amounts of infiltrating lymphocytes in the tumour. No obviously adverse effect was observed in the mice experiment or in the clinical application.\nCONCLUSIONS: Our results strongly indicate that laser immunotherapy with optimal thermal effects is an effective and safe treatment modality for cSCC.","container-title":"International Journal of Hyperthermia: The Official Journal of European Society for Hyperthermic Oncology, North American Hyperthermia Group","DOI":"10.1080/02656736.2018.1446221","ISSN":"1464-5157","issue":"8","journalAbbreviation":"Int J Hyperthermia","language":"eng","note":"PMID: 29482392\nPMCID: PMC6136962","page":"1337-1350","source":"PubMed","title":"Laser immunotherapy for cutaneous squamous cell carcinoma with optimal thermal effects to enhance tumour immunogenicity","volume":"34","author":[{"family":"Luo","given":"Min"},{"family":"Shi","given":"Lei"},{"family":"Zhang","given":"Fuhe"},{"family":"Zhou","given":"Feifan"},{"family":"Zhang","given":"Linglin"},{"family":"Wang","given":"Bo"},{"family":"Wang","given":"Peiru"},{"family":"Zhang","given":"Yunfeng"},{"family":"Zhang","given":"Haiyan"},{"family":"Yang","given":"Degang"},{"family":"Zhang","given":"Guolong"},{"family":"Chen","given":"Wei R."},{"family":"Wang","given":"Xiuli"}],"issued":{"date-parts":[["2018",12]]},"citation-key":"luo_laser_2018"}},{"id":9669,"uris":["http://zotero.org/groups/2667333/items/Z4YLJ2ZH"],"itemData":{"id":9669,"type":"article-journal","abstract":"Abstract\n            \n              Induction of tumor cell death is the therapeutic goal for most anticancer drugs. Yet, a mode of drug-induced cell death, known as immunogenic cell death (ICD), can propagate antitumoral immunity to augment therapeutic efficacy. Currently, the molecular hallmark of ICD features the release of damage-associated molecular patterns (DAMPs) by dying cancer cells. Here, we show that gemcitabine, a standard chemotherapy for various solid tumors, triggers hallmark immunostimualtory DAMP release (e.g., calreticulin, HSP70, and HMGB1); however, is unable to induce ICD. Mechanistic studies reveal gemcitabine concurrently triggers prostaglandin E\n              2\n              release as an inhibitory DAMP to counterpoise the adjuvanticity of immunostimulatory DAMPs. Pharmacological blockade of prostaglandin E\n              2\n              biosythesis favors CD103\n              +\n              dendritic cell activation that primes a Tc1-polarized CD8\n              +\n              T cell response to bolster tumor rejection. Herein, we postulate that an intricate balance between immunostimulatory and inhibitory DAMPs could determine the outcome of drug-induced ICD and pose COX-2/prostaglandin E\n              2\n              blockade as a strategy to harness ICD.","container-title":"Nature Communications","DOI":"10.1038/s41467-020-19970-9","ISSN":"2041-1723","issue":"1","journalAbbreviation":"Nat Commun","language":"en","page":"6299","source":"DOI.org (Crossref)","title":"Tipping the immunostimulatory and inhibitory DAMP balance to harness immunogenic cell death","URL":"http://www.nature.com/articles/s41467-020-19970-9","volume":"11","author":[{"family":"Hayashi","given":"K."},{"family":"Nikolos","given":"F."},{"family":"Lee","given":"Y. C."},{"family":"Jain","given":"A."},{"family":"Tsouko","given":"E."},{"family":"Gao","given":"H."},{"family":"Kasabyan","given":"A."},{"family":"Leung","given":"H. E."},{"family":"Osipov","given":"A."},{"family":"Jung","given":"S. Y."},{"family":"Kurtova","given":"A. V."},{"family":"Chan","given":"K. S."}],"accessed":{"date-parts":[["2021",12,4]]},"issued":{"date-parts":[["2020",12]]},"citation-key":"hayashi_tipping_2020"}}],"schema":"https://github.com/citation-style-language/schema/raw/master/csl-citation.json"}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30,33–35</w:t>
            </w:r>
            <w:r w:rsidRPr="002A7128">
              <w:rPr>
                <w:rFonts w:ascii="Calibri" w:hAnsi="Calibri" w:cs="Calibri"/>
              </w:rPr>
              <w:fldChar w:fldCharType="end"/>
            </w:r>
          </w:p>
        </w:tc>
      </w:tr>
      <w:tr w:rsidR="00A27485" w:rsidRPr="002A7128" w14:paraId="43B1756B" w14:textId="77777777" w:rsidTr="00A0457F">
        <w:tc>
          <w:tcPr>
            <w:cnfStyle w:val="001000000000" w:firstRow="0" w:lastRow="0" w:firstColumn="1" w:lastColumn="0" w:oddVBand="0" w:evenVBand="0" w:oddHBand="0" w:evenHBand="0" w:firstRowFirstColumn="0" w:firstRowLastColumn="0" w:lastRowFirstColumn="0" w:lastRowLastColumn="0"/>
            <w:tcW w:w="1294" w:type="dxa"/>
          </w:tcPr>
          <w:p w14:paraId="2EBB1FCE" w14:textId="77777777" w:rsidR="00A27485" w:rsidRPr="002A7128" w:rsidRDefault="00A27485" w:rsidP="00987778">
            <w:pPr>
              <w:spacing w:line="276" w:lineRule="auto"/>
              <w:jc w:val="both"/>
              <w:rPr>
                <w:rFonts w:ascii="Calibri" w:hAnsi="Calibri" w:cs="Calibri"/>
                <w:b w:val="0"/>
                <w:bCs w:val="0"/>
              </w:rPr>
            </w:pPr>
            <w:proofErr w:type="spellStart"/>
            <w:r w:rsidRPr="002A7128">
              <w:rPr>
                <w:rFonts w:ascii="Calibri" w:hAnsi="Calibri" w:cs="Calibri"/>
                <w:b w:val="0"/>
                <w:bCs w:val="0"/>
              </w:rPr>
              <w:t>mtDNA</w:t>
            </w:r>
            <w:proofErr w:type="spellEnd"/>
          </w:p>
        </w:tc>
        <w:tc>
          <w:tcPr>
            <w:tcW w:w="1941" w:type="dxa"/>
          </w:tcPr>
          <w:p w14:paraId="5BBFE472"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Real-time PCR</w:t>
            </w:r>
          </w:p>
        </w:tc>
        <w:tc>
          <w:tcPr>
            <w:tcW w:w="1388" w:type="dxa"/>
          </w:tcPr>
          <w:p w14:paraId="6BABD59C"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TLR9</w:t>
            </w:r>
          </w:p>
        </w:tc>
        <w:tc>
          <w:tcPr>
            <w:tcW w:w="4208" w:type="dxa"/>
          </w:tcPr>
          <w:p w14:paraId="3A2EA69A"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 xml:space="preserve">Degraded </w:t>
            </w:r>
            <w:proofErr w:type="spellStart"/>
            <w:r w:rsidRPr="002A7128">
              <w:rPr>
                <w:rFonts w:ascii="Calibri" w:hAnsi="Calibri" w:cs="Calibri"/>
              </w:rPr>
              <w:t>mtDNA</w:t>
            </w:r>
            <w:proofErr w:type="spellEnd"/>
            <w:r w:rsidRPr="002A7128">
              <w:rPr>
                <w:rFonts w:ascii="Calibri" w:hAnsi="Calibri" w:cs="Calibri"/>
              </w:rPr>
              <w:t xml:space="preserve"> activates astrocytes to release IL-6, MCP-1, TNF-</w:t>
            </w:r>
            <w:r w:rsidRPr="005140F7">
              <w:rPr>
                <w:rFonts w:ascii="Symbol" w:hAnsi="Symbol" w:cs="Calibri"/>
              </w:rPr>
              <w:t>a</w:t>
            </w:r>
            <w:r w:rsidRPr="002A7128">
              <w:rPr>
                <w:rFonts w:ascii="Calibri" w:hAnsi="Calibri" w:cs="Calibri"/>
              </w:rPr>
              <w:t xml:space="preserve"> and IL-1</w:t>
            </w:r>
            <w:r w:rsidRPr="005140F7">
              <w:rPr>
                <w:rFonts w:ascii="Symbol" w:hAnsi="Symbol" w:cs="Calibri"/>
              </w:rPr>
              <w:t>b</w:t>
            </w:r>
            <w:r w:rsidRPr="002A7128">
              <w:rPr>
                <w:rFonts w:ascii="Calibri" w:hAnsi="Calibri" w:cs="Calibri"/>
              </w:rPr>
              <w:t>,</w:t>
            </w:r>
          </w:p>
        </w:tc>
        <w:tc>
          <w:tcPr>
            <w:tcW w:w="519" w:type="dxa"/>
          </w:tcPr>
          <w:p w14:paraId="2ABA2F33" w14:textId="6193F5DB"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fldChar w:fldCharType="begin"/>
            </w:r>
            <w:r w:rsidR="00317E7D" w:rsidRPr="002A7128">
              <w:rPr>
                <w:rFonts w:ascii="Calibri" w:hAnsi="Calibri" w:cs="Calibri"/>
              </w:rPr>
              <w:instrText xml:space="preserve"> ADDIN ZOTERO_ITEM CSL_CITATION {"citationID":"a9bdi6b2on","properties":{"formattedCitation":"\\super 36\\uc0\\u8211{}38\\nosupersub{}","plainCitation":"36–38","noteIndex":0},"citationItems":[{"id":10486,"uris":["http://zotero.org/groups/2667333/items/F7IZFUNX"],"itemData":{"id":10486,"type":"article-journal","container-title":"Journal of Alzheimer's Disease","DOI":"10.3233/JAD-2012-120145","ISSN":"18758908, 13872877","issue":"3","journalAbbreviation":"JAD","page":"617-627","source":"DOI.org (Crossref)","title":"Degraded Mitochondrial DNA is a Newly Identified Subtype of the Damage Associated Molecular Pattern (DAMP) Family and Possible Trigger of Neurodegeneration","URL":"https://www.medra.org/servlet/aliasResolver?alias=iospress&amp;doi=10.3233/JAD-2012-120145","volume":"30","author":[{"family":"Mathew","given":"Alex"},{"family":"Lindsley","given":"Tara A."},{"family":"Sheridan","given":"Anna"},{"family":"Bhoiwala","given":"Devang L."},{"family":"Hushmendy","given":"Shazaan F."},{"family":"Yager","given":"Eric J."},{"family":"Ruggiero","given":"Elizabeth A."},{"family":"Crawford","given":"Dana R."}],"accessed":{"date-parts":[["2022",5,3]]},"issued":{"date-parts":[["2012",6,4]]},"citation-key":"mathew_degraded_2012"}},{"id":11299,"uris":["http://zotero.org/groups/2667333/items/5EMRM77N"],"itemData":{"id":11299,"type":"article-journal","container-title":"International Journal of Molecular Medicine","DOI":"10.3892/ijmm.2014.1650","ISSN":"1107-3756, 1791-244X","issue":"4","language":"en","page":"817-824","source":"DOI.org (Crossref)","title":"Mitochondrial DNA induces inflammation and increases TLR9/NF-κB expression in lung tissue","URL":"https://www.spandidos-publications.com/10.3892/ijmm.2014.1650","volume":"33","author":[{"family":"Zhang","given":"Jian-Zheng"},{"family":"Liu","given":"Zhi"},{"family":"Liu","given":"Jia"},{"family":"Ren","given":"Ji-Xin"},{"family":"Sun","given":"Tian-Sheng"}],"accessed":{"date-parts":[["2022",7,21]]},"issued":{"date-parts":[["2014",4]]},"citation-key":"zhang_mitochondrial_2014"}},{"id":11395,"uris":["http://zotero.org/groups/2667333/items/UVXQ77RU"],"itemData":{"id":11395,"type":"article-journal","container-title":"Annals of Surgery","DOI":"10.1097/SLA.0b013e3182a4ea46","ISSN":"0003-4932","issue":"4","language":"en","page":"591-598","source":"DOI.org (Crossref)","title":"Elevated Levels of Plasma Mitochondrial DNA DAMPs Are Linked to Clinical Outcome in Severely Injured Human Subjects","URL":"https://journals.lww.com/00000658-201310000-00009","volume":"258","author":[{"family":"Simmons","given":"Jon D."},{"family":"Lee","given":"Yann-Leei"},{"family":"Mulekar","given":"Sujata"},{"family":"Kuck","given":"Jamie L."},{"family":"Brevard","given":"Sidney B."},{"family":"Gonzalez","given":"Richard P."},{"family":"Gillespie","given":"Mark N."},{"family":"Richards","given":"William O."}],"accessed":{"date-parts":[["2022",7,25]]},"issued":{"date-parts":[["2013",10]]},"citation-key":"simmons_elevated_2013"}}],"schema":"https://github.com/citation-style-language/schema/raw/master/csl-citation.json"}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36–38</w:t>
            </w:r>
            <w:r w:rsidRPr="002A7128">
              <w:rPr>
                <w:rFonts w:ascii="Calibri" w:hAnsi="Calibri" w:cs="Calibri"/>
              </w:rPr>
              <w:fldChar w:fldCharType="end"/>
            </w:r>
          </w:p>
        </w:tc>
      </w:tr>
      <w:tr w:rsidR="00A27485" w:rsidRPr="002A7128" w14:paraId="26E0A0D1" w14:textId="77777777" w:rsidTr="00A0457F">
        <w:tc>
          <w:tcPr>
            <w:cnfStyle w:val="001000000000" w:firstRow="0" w:lastRow="0" w:firstColumn="1" w:lastColumn="0" w:oddVBand="0" w:evenVBand="0" w:oddHBand="0" w:evenHBand="0" w:firstRowFirstColumn="0" w:firstRowLastColumn="0" w:lastRowFirstColumn="0" w:lastRowLastColumn="0"/>
            <w:tcW w:w="1294" w:type="dxa"/>
          </w:tcPr>
          <w:p w14:paraId="09F26510" w14:textId="77777777" w:rsidR="00A27485" w:rsidRPr="002A7128" w:rsidRDefault="00A27485" w:rsidP="00987778">
            <w:pPr>
              <w:spacing w:line="276" w:lineRule="auto"/>
              <w:jc w:val="both"/>
              <w:rPr>
                <w:rFonts w:ascii="Calibri" w:hAnsi="Calibri" w:cs="Calibri"/>
                <w:b w:val="0"/>
                <w:bCs w:val="0"/>
              </w:rPr>
            </w:pPr>
            <w:r w:rsidRPr="002A7128">
              <w:rPr>
                <w:rFonts w:ascii="Calibri" w:hAnsi="Calibri" w:cs="Calibri"/>
                <w:b w:val="0"/>
                <w:bCs w:val="0"/>
              </w:rPr>
              <w:t>DNA</w:t>
            </w:r>
          </w:p>
        </w:tc>
        <w:tc>
          <w:tcPr>
            <w:tcW w:w="1941" w:type="dxa"/>
          </w:tcPr>
          <w:p w14:paraId="331BCC76"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proofErr w:type="spellStart"/>
            <w:r w:rsidRPr="002A7128">
              <w:rPr>
                <w:rFonts w:ascii="Calibri" w:hAnsi="Calibri" w:cs="Calibri"/>
              </w:rPr>
              <w:t>Fluorimetric</w:t>
            </w:r>
            <w:proofErr w:type="spellEnd"/>
            <w:r w:rsidRPr="002A7128">
              <w:rPr>
                <w:rFonts w:ascii="Calibri" w:hAnsi="Calibri" w:cs="Calibri"/>
              </w:rPr>
              <w:t xml:space="preserve"> dyes, PCR</w:t>
            </w:r>
          </w:p>
        </w:tc>
        <w:tc>
          <w:tcPr>
            <w:tcW w:w="1388" w:type="dxa"/>
          </w:tcPr>
          <w:p w14:paraId="4C7FA6CE"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TLR-9, RAGE</w:t>
            </w:r>
          </w:p>
        </w:tc>
        <w:tc>
          <w:tcPr>
            <w:tcW w:w="4208" w:type="dxa"/>
          </w:tcPr>
          <w:p w14:paraId="582F01CE"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DNA-HMGB-1 complex induces type I IFNs and activate plasmacytoid DCs</w:t>
            </w:r>
          </w:p>
        </w:tc>
        <w:tc>
          <w:tcPr>
            <w:tcW w:w="519" w:type="dxa"/>
          </w:tcPr>
          <w:p w14:paraId="1E6514EE" w14:textId="5E93E1BD"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fldChar w:fldCharType="begin"/>
            </w:r>
            <w:r w:rsidR="00317E7D" w:rsidRPr="002A7128">
              <w:rPr>
                <w:rFonts w:ascii="Calibri" w:hAnsi="Calibri" w:cs="Calibri"/>
              </w:rPr>
              <w:instrText xml:space="preserve"> ADDIN ZOTERO_ITEM CSL_CITATION {"citationID":"a2p0re90hb4","properties":{"formattedCitation":"\\super 39\\nosupersub{}","plainCitation":"39","noteIndex":0},"citationItems":[{"id":6549,"uris":["http://zotero.org/groups/2667333/items/78NTA7Y2"],"itemData":{"id":6549,"type":"article-journal","abstract":"Increased concentrations of DNA-containing immune complexes in the serum are associated with systemic autoimmune diseases such as lupus. Stimulation of Toll-like receptor 9 (TLR9) by DNA is important in the activation of plasmacytoid dendritic cells and B cells. Here we show that HMGB1, a nuclear DNA-binding protein released from necrotic cells, was an essential component of DNA-containing immune complexes that stimulated cytokine production through a TLR9–MyD88 pathway involving the multivalent receptor RAGE. Moreover, binding of HMGB1 to class A CpG oligodeoxynucleotides considerably augmented cytokine production by means of TLR9 and RAGE. Our data demonstrate a mechanism by which HMGB1 and RAGE activate plasmacytoid dendritic cells and B cells in response to DNA and contribute to autoimmune pathogenesis.","container-title":"Nature Immunology","DOI":"10.1038/ni1457","ISSN":"1529-2916","issue":"5","journalAbbreviation":"Nat Immunol","language":"en","license":"2007 Nature Publishing Group","note":"number: 5\npublisher: Nature Publishing Group\ntex.ids= tian_toll-like_2007-1","page":"487-496","source":"www.nature.com","title":"Toll-like receptor 9–dependent activation by DNA-containing immune complexes is mediated by HMGB1 and RAGE","URL":"https://www.nature.com/articles/ni1457","volume":"8","author":[{"family":"Tian","given":"Jane"},{"family":"Avalos","given":"Ana Maria"},{"family":"Mao","given":"Su-Yau"},{"family":"Chen","given":"Bo"},{"family":"Senthil","given":"Kannaki"},{"family":"Wu","given":"Herren"},{"family":"Parroche","given":"Peggy"},{"family":"Drabic","given":"Stacey"},{"family":"Golenbock","given":"Douglas"},{"family":"Sirois","given":"Cherilyn"},{"family":"Hua","given":"Jing"},{"family":"An","given":"Ling Ling"},{"family":"Audoly","given":"Laurent"},{"family":"La Rosa","given":"Greg"},{"family":"Bierhaus","given":"Angelika"},{"family":"Naworth","given":"Peter"},{"family":"Marshak-Rothstein","given":"Ann"},{"family":"Crow","given":"Mary K."},{"family":"Fitzgerald","given":"Katherine A."},{"family":"Latz","given":"Eicke"},{"family":"Kiener","given":"Peter A."},{"family":"Coyle","given":"Anthony J."}],"accessed":{"date-parts":[["2021",6,6]]},"issued":{"date-parts":[["2007",5]]},"citation-key":"tian_toll-like_2007"}}],"schema":"https://github.com/citation-style-language/schema/raw/master/csl-citation.json"}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39</w:t>
            </w:r>
            <w:r w:rsidRPr="002A7128">
              <w:rPr>
                <w:rFonts w:ascii="Calibri" w:hAnsi="Calibri" w:cs="Calibri"/>
              </w:rPr>
              <w:fldChar w:fldCharType="end"/>
            </w:r>
          </w:p>
        </w:tc>
      </w:tr>
      <w:tr w:rsidR="00A27485" w:rsidRPr="002A7128" w14:paraId="5E6B643F" w14:textId="77777777" w:rsidTr="00A0457F">
        <w:tc>
          <w:tcPr>
            <w:cnfStyle w:val="001000000000" w:firstRow="0" w:lastRow="0" w:firstColumn="1" w:lastColumn="0" w:oddVBand="0" w:evenVBand="0" w:oddHBand="0" w:evenHBand="0" w:firstRowFirstColumn="0" w:firstRowLastColumn="0" w:lastRowFirstColumn="0" w:lastRowLastColumn="0"/>
            <w:tcW w:w="1294" w:type="dxa"/>
          </w:tcPr>
          <w:p w14:paraId="128627CD" w14:textId="77777777" w:rsidR="00A27485" w:rsidRPr="002A7128" w:rsidRDefault="00A27485" w:rsidP="00987778">
            <w:pPr>
              <w:spacing w:line="276" w:lineRule="auto"/>
              <w:jc w:val="both"/>
              <w:rPr>
                <w:rFonts w:ascii="Calibri" w:hAnsi="Calibri" w:cs="Calibri"/>
              </w:rPr>
            </w:pPr>
            <w:r w:rsidRPr="002A7128">
              <w:rPr>
                <w:rFonts w:ascii="Calibri" w:hAnsi="Calibri" w:cs="Calibri"/>
                <w:b w:val="0"/>
                <w:bCs w:val="0"/>
              </w:rPr>
              <w:t>IL-1 family cytokines: IL-1</w:t>
            </w:r>
            <w:r w:rsidRPr="005140F7">
              <w:rPr>
                <w:rFonts w:ascii="Symbol" w:hAnsi="Symbol" w:cs="Calibri"/>
                <w:b w:val="0"/>
                <w:bCs w:val="0"/>
              </w:rPr>
              <w:t>a</w:t>
            </w:r>
            <w:r w:rsidRPr="002A7128">
              <w:rPr>
                <w:rFonts w:ascii="Calibri" w:hAnsi="Calibri" w:cs="Calibri"/>
                <w:b w:val="0"/>
                <w:bCs w:val="0"/>
              </w:rPr>
              <w:t>, IL-1</w:t>
            </w:r>
            <w:r w:rsidRPr="005140F7">
              <w:rPr>
                <w:rFonts w:ascii="Symbol" w:hAnsi="Symbol" w:cs="Calibri"/>
                <w:b w:val="0"/>
                <w:bCs w:val="0"/>
              </w:rPr>
              <w:t>b</w:t>
            </w:r>
            <w:r w:rsidRPr="002A7128">
              <w:rPr>
                <w:rFonts w:ascii="Calibri" w:hAnsi="Calibri" w:cs="Calibri"/>
                <w:b w:val="0"/>
                <w:bCs w:val="0"/>
              </w:rPr>
              <w:t>, IL-18, Il-33</w:t>
            </w:r>
          </w:p>
        </w:tc>
        <w:tc>
          <w:tcPr>
            <w:tcW w:w="1941" w:type="dxa"/>
          </w:tcPr>
          <w:p w14:paraId="3FB1ADF4"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ELISA, western blot</w:t>
            </w:r>
          </w:p>
        </w:tc>
        <w:tc>
          <w:tcPr>
            <w:tcW w:w="1388" w:type="dxa"/>
          </w:tcPr>
          <w:p w14:paraId="1E6B3240" w14:textId="77777777"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IL-1R, IL-18Ra, IL-33R</w:t>
            </w:r>
          </w:p>
        </w:tc>
        <w:tc>
          <w:tcPr>
            <w:tcW w:w="4208" w:type="dxa"/>
          </w:tcPr>
          <w:p w14:paraId="1173751B"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IL-1</w:t>
            </w:r>
            <w:r w:rsidRPr="005140F7">
              <w:rPr>
                <w:rFonts w:ascii="Symbol" w:hAnsi="Symbol" w:cs="Calibri"/>
              </w:rPr>
              <w:t>a</w:t>
            </w:r>
            <w:r w:rsidRPr="002A7128">
              <w:rPr>
                <w:rFonts w:ascii="Calibri" w:hAnsi="Calibri" w:cs="Calibri"/>
              </w:rPr>
              <w:t>, IL-1</w:t>
            </w:r>
            <w:r w:rsidRPr="005140F7">
              <w:rPr>
                <w:rFonts w:ascii="Symbol" w:hAnsi="Symbol" w:cs="Calibri"/>
              </w:rPr>
              <w:t>b</w:t>
            </w:r>
            <w:r w:rsidRPr="002A7128">
              <w:rPr>
                <w:rFonts w:ascii="Calibri" w:hAnsi="Calibri" w:cs="Calibri"/>
              </w:rPr>
              <w:t xml:space="preserve"> and IL-33 potentiates alums </w:t>
            </w:r>
            <w:proofErr w:type="spellStart"/>
            <w:r w:rsidRPr="002A7128">
              <w:rPr>
                <w:rFonts w:ascii="Calibri" w:hAnsi="Calibri" w:cs="Calibri"/>
              </w:rPr>
              <w:t>adjuvancy</w:t>
            </w:r>
            <w:proofErr w:type="spellEnd"/>
            <w:r w:rsidRPr="002A7128">
              <w:rPr>
                <w:rFonts w:ascii="Calibri" w:hAnsi="Calibri" w:cs="Calibri"/>
              </w:rPr>
              <w:t xml:space="preserve"> </w:t>
            </w:r>
          </w:p>
          <w:p w14:paraId="15603499" w14:textId="77777777" w:rsidR="00A27485" w:rsidRPr="002A7128" w:rsidRDefault="00A27485">
            <w:pPr>
              <w:pStyle w:val="ListParagraph"/>
              <w:numPr>
                <w:ilvl w:val="0"/>
                <w:numId w:val="1"/>
              </w:num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t>IL-18 induces Th1 response through inducing IFN</w:t>
            </w:r>
            <w:r w:rsidRPr="005140F7">
              <w:rPr>
                <w:rFonts w:ascii="Symbol" w:hAnsi="Symbol" w:cs="Calibri"/>
              </w:rPr>
              <w:t>g</w:t>
            </w:r>
          </w:p>
        </w:tc>
        <w:tc>
          <w:tcPr>
            <w:tcW w:w="519" w:type="dxa"/>
          </w:tcPr>
          <w:p w14:paraId="26CE965E" w14:textId="58586D22" w:rsidR="00A27485" w:rsidRPr="002A7128" w:rsidRDefault="00A27485" w:rsidP="00987778">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A7128">
              <w:rPr>
                <w:rFonts w:ascii="Calibri" w:hAnsi="Calibri" w:cs="Calibri"/>
              </w:rPr>
              <w:fldChar w:fldCharType="begin"/>
            </w:r>
            <w:r w:rsidR="00317E7D" w:rsidRPr="002A7128">
              <w:rPr>
                <w:rFonts w:ascii="Calibri" w:hAnsi="Calibri" w:cs="Calibri"/>
              </w:rPr>
              <w:instrText xml:space="preserve"> ADDIN ZOTERO_ITEM CSL_CITATION {"citationID":"a21js2d6oor","properties":{"formattedCitation":"\\super 40\\uc0\\u8211{}43\\nosupersub{}","plainCitation":"40–43","noteIndex":0},"citationItems":[{"id":11158,"uris":["http://zotero.org/groups/2667333/items/B9GI8KFL"],"itemData":{"id":11158,"type":"article-journal","container-title":"Scientific Reports","DOI":"10.1038/srep13146","ISSN":"2045-2322","issue":"1","journalAbbreviation":"Sci Rep","language":"en","page":"13146","source":"DOI.org (Crossref)","title":"IL-33 released by alum is responsible for early cytokine production and has adjuvant properties","URL":"http://www.nature.com/articles/srep13146","volume":"5","author":[{"family":"Rose II","given":"William A."},{"family":"Okragly","given":"Angela J."},{"family":"Patel","given":"Chetan N."},{"family":"Benschop","given":"Robert J."}],"accessed":{"date-parts":[["2022",7,7]]},"issued":{"date-parts":[["2015",10]]},"citation-key":"rose_ii_il-33_2015"}},{"id":11303,"uris":["http://zotero.org/groups/2667333/items/BXVZSA4F"],"itemData":{"id":11303,"type":"article-journal","container-title":"FEBS Journal","DOI":"10.1111/febs.13546","ISSN":"1742464X","issue":"1","journalAbbreviation":"FEBS J","language":"en","page":"9-24","source":"DOI.org (Crossref)","title":"IL-1α and inflammasome-independent IL-1β promote neutrophil infiltration following alum vaccination","URL":"https://onlinelibrary.wiley.com/doi/10.1111/febs.13546","volume":"283","author":[{"family":"Oleszycka","given":"Ewa"},{"family":"Moran","given":"Hannah B.T."},{"family":"Tynan","given":"Graham A."},{"family":"Hearnden","given":"Claire H."},{"family":"Coutts","given":"Graham"},{"family":"Campbell","given":"Matthew"},{"family":"Allan","given":"Stuart M."},{"family":"Scott","given":"Christopher J."},{"family":"Lavelle","given":"Ed C."}],"accessed":{"date-parts":[["2022",7,21]]},"issued":{"date-parts":[["2016",1]]},"citation-key":"oleszycka_il-1_2016"}},{"id":5824,"uris":["http://zotero.org/groups/2667333/items/3NAQDUWJ"],"itemData":{"id":5824,"type":"article-journal","abstract":"Pyroptosis, a form of programmed cell death (PCD), has garnered increasing attention as it relates to innate immunity and diseases. However, the involvement of pyroptosis in the mechanism by which lobaplatin acts against colorectal cancer (CRC) is unclear. Our study revealed that treatment with lobaplatin reduced the viability of HT-29 and HCT116 cells in a dose-dependent manner. Morphologically, HT-29 and HCT116 cells treated with lobaplatin exhibited microscopic features of cell swelling and large bubbles emerging from the plasma membrane, and transmission electron microscopy (TEM) revealed multiple pores in the membrane. GSDME, rather than GSDMD, was cleaved in lobaplatin-induced pyroptosis in HT-29 and HCT116 cells due to caspase-3 activation. Knocking out GSDME switched lobaplatin-induced cell death from pyroptosis to apoptosis but did not affect lobaplatin-mediated inhibition of growth and tumour formation of HT-29 and HCT116 cells in vivo and in vitro. Further investigation indicates that lobaplatin induced reactive oxygen species (ROS) elevation and JNK phosphorylation. NAC, a ROS scavenger, completely reversed the pyroptosis of lobaplatin-treated HT-29 and HCT116 and JNK phosphorylation. Activated JNK recruited Bax to mitochondria, and thereby stimulated cytochrome c release to cytosol, followed by caspase-3/-9 cleavage and pyroptosis induction. Therefore, in colon cancer cells, GSDME mediates lobaplatin-induced pyroptosis downstream of the ROS/JNK/Bax-mitochondrial apoptotic pathway and caspase-3/-9 activation. Our study indicated that GSDME-dependent pyroptosis is an unrecognized mechanism by which lobaplatin eradicates neoplastic cells, which may have important implications for the clinical application of anticancer therapeutics.","container-title":"Cell Death &amp; Disease","DOI":"10.1038/s41419-019-1441-4","ISSN":"2041-4889","issue":"3","language":"en","license":"2019 The Author(s)","note":"number: 3\npublisher: Nature Publishing Group","page":"1-20","source":"www.nature.com","title":"Cleavage of GSDME by caspase-3 determines lobaplatin-induced pyroptosis in colon cancer cells","URL":"https://www.nature.com/articles/s41419-019-1441-4","volume":"10","author":[{"family":"Yu","given":"Junhui"},{"family":"Li","given":"Shan"},{"family":"Qi","given":"Jie"},{"family":"Chen","given":"Zilu"},{"family":"Wu","given":"Yunhua"},{"family":"Guo","given":"Jing"},{"family":"Wang","given":"Kai"},{"family":"Sun","given":"Xuejun"},{"family":"Zheng","given":"Jianbao"}],"accessed":{"date-parts":[["2021",2,14]]},"issued":{"date-parts":[["2019",2,25]]},"citation-key":"yu_cleavage_2019"}},{"id":11397,"uris":["http://zotero.org/groups/2667333/items/M4JVPG64"],"itemData":{"id":11397,"type":"article-journal","container-title":"Journal of Allergy and Clinical Immunology","DOI":"10.1016/S0091-6749(99)70518-X","ISSN":"00916749","issue":"1","journalAbbreviation":"Journal of Allergy and Clinical Immunology","language":"en","page":"11-24","source":"DOI.org (Crossref)","title":"IL-18: A TH1 -inducing, proinflammatory cytokine and new member of the IL-1 family","title-short":"IL-18","URL":"https://linkinghub.elsevier.com/retrieve/pii/S009167499970518X","volume":"103","author":[{"family":"Dinarello","given":"Charles A."}],"accessed":{"date-parts":[["2022",7,25]]},"issued":{"date-parts":[["1999",1]]},"citation-key":"dinarello_il-18_1999"}}],"schema":"https://github.com/citation-style-language/schema/raw/master/csl-citation.json"}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40–43</w:t>
            </w:r>
            <w:r w:rsidRPr="002A7128">
              <w:rPr>
                <w:rFonts w:ascii="Calibri" w:hAnsi="Calibri" w:cs="Calibri"/>
              </w:rPr>
              <w:fldChar w:fldCharType="end"/>
            </w:r>
          </w:p>
        </w:tc>
      </w:tr>
    </w:tbl>
    <w:p w14:paraId="58F1A565" w14:textId="12279D03" w:rsidR="00A27485" w:rsidRPr="002A7128" w:rsidRDefault="00A27485" w:rsidP="00A27485">
      <w:pPr>
        <w:spacing w:line="480" w:lineRule="auto"/>
        <w:jc w:val="both"/>
        <w:rPr>
          <w:rFonts w:ascii="Calibri" w:hAnsi="Calibri" w:cs="Calibri"/>
        </w:rPr>
      </w:pPr>
      <w:r w:rsidRPr="002A7128">
        <w:rPr>
          <w:rFonts w:ascii="Calibri" w:hAnsi="Calibri" w:cs="Calibri"/>
        </w:rPr>
        <w:t xml:space="preserve">TLRs, Toll-like receptors; HSPs, heat shock protein; NLRP3, NLR (Nod-like receptor) family pyrin domain containing 3; ILs, interleukins; </w:t>
      </w:r>
      <w:proofErr w:type="spellStart"/>
      <w:r w:rsidRPr="002A7128">
        <w:rPr>
          <w:rFonts w:ascii="Calibri" w:hAnsi="Calibri" w:cs="Calibri"/>
        </w:rPr>
        <w:t>mtDNA</w:t>
      </w:r>
      <w:proofErr w:type="spellEnd"/>
      <w:r w:rsidRPr="002A7128">
        <w:rPr>
          <w:rFonts w:ascii="Calibri" w:hAnsi="Calibri" w:cs="Calibri"/>
        </w:rPr>
        <w:t>, mitochondrial DNA; CDs, cluster of differentiations; HMGB-1, high mobility group box-1; RAGE, receptor for advanced glycation end products; TNF-</w:t>
      </w:r>
      <w:r w:rsidRPr="006A1E55">
        <w:rPr>
          <w:rFonts w:ascii="Symbol" w:hAnsi="Symbol" w:cs="Calibri"/>
        </w:rPr>
        <w:t>a</w:t>
      </w:r>
      <w:r w:rsidRPr="002A7128">
        <w:rPr>
          <w:rFonts w:ascii="Calibri" w:hAnsi="Calibri" w:cs="Calibri"/>
        </w:rPr>
        <w:t xml:space="preserve">, tumor necrosis factor alpha; IFNs, interferons; LRP-1, low density lipoprotein receptor-related protein 1; DCs, dendritic cells; DAMPs, damage-associated molecular patterns; MCP-1, monocyte chemoattractant protein-1; ELISA, enzyme-linked immunosorbent assay; CRT, </w:t>
      </w:r>
      <w:r w:rsidR="00AD6EF4">
        <w:rPr>
          <w:rFonts w:ascii="Calibri" w:hAnsi="Calibri" w:cs="Calibri"/>
        </w:rPr>
        <w:t>CRT</w:t>
      </w:r>
      <w:r w:rsidRPr="002A7128">
        <w:rPr>
          <w:rFonts w:ascii="Calibri" w:hAnsi="Calibri" w:cs="Calibri"/>
        </w:rPr>
        <w:t xml:space="preserve">. </w:t>
      </w:r>
    </w:p>
    <w:p w14:paraId="4962EBBB" w14:textId="77777777" w:rsidR="00A27485" w:rsidRPr="002A7128" w:rsidRDefault="00A27485">
      <w:pPr>
        <w:pStyle w:val="Heading2"/>
        <w:numPr>
          <w:ilvl w:val="2"/>
          <w:numId w:val="2"/>
        </w:numPr>
        <w:spacing w:line="480" w:lineRule="auto"/>
        <w:ind w:left="1224" w:hanging="504"/>
        <w:jc w:val="both"/>
        <w:rPr>
          <w:rFonts w:ascii="Calibri" w:hAnsi="Calibri" w:cs="Calibri"/>
        </w:rPr>
      </w:pPr>
      <w:bookmarkStart w:id="16" w:name="_Toc115787964"/>
      <w:bookmarkStart w:id="17" w:name="_Toc120794122"/>
      <w:r w:rsidRPr="002A7128">
        <w:rPr>
          <w:rFonts w:ascii="Calibri" w:hAnsi="Calibri" w:cs="Calibri"/>
        </w:rPr>
        <w:t>HMGB-1</w:t>
      </w:r>
      <w:bookmarkEnd w:id="16"/>
      <w:bookmarkEnd w:id="17"/>
    </w:p>
    <w:p w14:paraId="07BC8748" w14:textId="484E6976" w:rsidR="00A27485" w:rsidRPr="002A7128" w:rsidRDefault="00A27485" w:rsidP="00A27485">
      <w:pPr>
        <w:spacing w:line="480" w:lineRule="auto"/>
        <w:jc w:val="both"/>
        <w:rPr>
          <w:rFonts w:ascii="Calibri" w:hAnsi="Calibri" w:cs="Calibri"/>
        </w:rPr>
      </w:pPr>
      <w:r w:rsidRPr="002A7128">
        <w:rPr>
          <w:rFonts w:ascii="Calibri" w:hAnsi="Calibri" w:cs="Calibri"/>
        </w:rPr>
        <w:t>HMGB-1 is a constitutively expressed protein found in nucleus and released upon ICD</w:t>
      </w:r>
      <w:r w:rsidRPr="002A7128">
        <w:rPr>
          <w:rFonts w:ascii="Calibri" w:hAnsi="Calibri" w:cs="Calibri"/>
        </w:rPr>
        <w:fldChar w:fldCharType="begin"/>
      </w:r>
      <w:r w:rsidR="00317E7D" w:rsidRPr="002A7128">
        <w:rPr>
          <w:rFonts w:ascii="Calibri" w:hAnsi="Calibri" w:cs="Calibri"/>
        </w:rPr>
        <w:instrText xml:space="preserve"> ADDIN ZOTERO_ITEM CSL_CITATION {"citationID":"0Gs2h477","properties":{"formattedCitation":"\\super 44\\nosupersub{}","plainCitation":"44","noteIndex":0},"citationItems":[{"id":10580,"uris":["http://zotero.org/groups/2667333/items/7L8B86FZ"],"itemData":{"id":10580,"type":"article-journal","container-title":"Molecular Medicine","DOI":"10.2119/molmed.2015.00087","ISSN":"1076-1551, 1528-3658","issue":"S1","journalAbbreviation":"Mol Med","language":"en","page":"S6-S12","source":"DOI.org (Crossref)","title":"High Mobility Group Box Protein 1 (HMGB1): The Prototypical Endogenous Danger Molecule","title-short":"High Mobility Group Box Protein 1 (HMGB1)","URL":"https://molmed.biomedcentral.com/articles/10.2119/molmed.2015.00087","volume":"21","author":[{"family":"Yang","given":"Huan"},{"family":"Wang","given":"Haichao"},{"family":"Chavan","given":"Sangeeta S."},{"family":"Andersson","given":"Ulf"}],"accessed":{"date-parts":[["2022",5,18]]},"issued":{"date-parts":[["2015",1]]},"citation-key":"yang_high_2015"}}],"schema":"https://github.com/citation-style-language/schema/raw/master/csl-citation.json"}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44</w:t>
      </w:r>
      <w:r w:rsidRPr="002A7128">
        <w:rPr>
          <w:rFonts w:ascii="Calibri" w:hAnsi="Calibri" w:cs="Calibri"/>
        </w:rPr>
        <w:fldChar w:fldCharType="end"/>
      </w:r>
      <w:r w:rsidRPr="002A7128">
        <w:rPr>
          <w:rFonts w:ascii="Calibri" w:hAnsi="Calibri" w:cs="Calibri"/>
        </w:rPr>
        <w:t xml:space="preserve">. Its role in ICD predominantly conveys through its interaction with TLR-4 receptor on immune cells. </w:t>
      </w:r>
      <w:r w:rsidRPr="002A7128">
        <w:rPr>
          <w:rFonts w:ascii="Calibri" w:hAnsi="Calibri" w:cs="Calibri"/>
        </w:rPr>
        <w:lastRenderedPageBreak/>
        <w:t>During chemotherapy and radiotherapy HMGB-1-TLR4 interaction has been shown to be vital for the induction of antigen-specific T cell immunity</w:t>
      </w:r>
      <w:r w:rsidRPr="002A7128">
        <w:rPr>
          <w:rFonts w:ascii="Calibri" w:hAnsi="Calibri" w:cs="Calibri"/>
        </w:rPr>
        <w:fldChar w:fldCharType="begin"/>
      </w:r>
      <w:r w:rsidR="00317E7D" w:rsidRPr="002A7128">
        <w:rPr>
          <w:rFonts w:ascii="Calibri" w:hAnsi="Calibri" w:cs="Calibri"/>
        </w:rPr>
        <w:instrText xml:space="preserve"> ADDIN ZOTERO_ITEM CSL_CITATION {"citationID":"PqbaDhM4","properties":{"formattedCitation":"\\super 29\\nosupersub{}","plainCitation":"29","noteIndex":0},"citationItems":[{"id":10587,"uris":["http://zotero.org/groups/2667333/items/9DK82BFC"],"itemData":{"id":10587,"type":"article-journal","container-title":"Immunological Reviews","DOI":"10.1111/j.1600-065X.2007.00573.x","ISSN":"0105-2896, 1600-065X","issue":"1","journalAbbreviation":"Immunol Rev","language":"en","page":"47-59","source":"DOI.org (Crossref)","title":"The interaction between HMGB1 and TLR4 dictates the outcome of anticancer chemotherapy and radiotherapy","URL":"https://onlinelibrary.wiley.com/doi/10.1111/j.1600-065X.2007.00573.x","volume":"220","author":[{"family":"Apetoh","given":"Lionel"},{"family":"Ghiringhelli","given":"François"},{"family":"Tesniere","given":"Antoine"},{"family":"Criollo","given":"Alfredo"},{"family":"Ortiz","given":"Carla"},{"family":"Lidereau","given":"Rosette"},{"family":"Mariette","given":"Christophe"},{"family":"Chaput","given":"Nathalie"},{"family":"Mira","given":"Jean-Paul"},{"family":"Delaloge","given":"Suzette"},{"family":"André","given":"Fabrice"},{"family":"Tursz","given":"Thomas"},{"family":"Kroemer","given":"Guido"},{"family":"Zitvogel","given":"Laurence"}],"accessed":{"date-parts":[["2022",5,19]]},"issued":{"date-parts":[["2007",12]]},"citation-key":"apetoh_interaction_2007"}}],"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29</w:t>
      </w:r>
      <w:r w:rsidRPr="002A7128">
        <w:rPr>
          <w:rFonts w:ascii="Calibri" w:hAnsi="Calibri" w:cs="Calibri"/>
        </w:rPr>
        <w:fldChar w:fldCharType="end"/>
      </w:r>
      <w:r w:rsidRPr="002A7128">
        <w:rPr>
          <w:rFonts w:ascii="Calibri" w:hAnsi="Calibri" w:cs="Calibri"/>
        </w:rPr>
        <w:t>. TLR-4 agonists are able to restore the protective immunity in the absence of HMGB-1 during chemotherapeutic (oxaliplatin) induced ICD</w:t>
      </w:r>
      <w:r w:rsidRPr="002A7128">
        <w:rPr>
          <w:rFonts w:ascii="Calibri" w:hAnsi="Calibri" w:cs="Calibri"/>
        </w:rPr>
        <w:fldChar w:fldCharType="begin"/>
      </w:r>
      <w:r w:rsidR="00317E7D" w:rsidRPr="002A7128">
        <w:rPr>
          <w:rFonts w:ascii="Calibri" w:hAnsi="Calibri" w:cs="Calibri"/>
        </w:rPr>
        <w:instrText xml:space="preserve"> ADDIN ZOTERO_ITEM CSL_CITATION {"citationID":"UXXeZDTF","properties":{"formattedCitation":"\\super 45\\nosupersub{}","plainCitation":"45","noteIndex":0},"citationItems":[{"id":10594,"uris":["http://zotero.org/groups/2667333/items/LKI425U7"],"itemData":{"id":10594,"type":"article-journal","container-title":"Cell Death &amp; Differentiation","DOI":"10.1038/cdd.2013.72","ISSN":"1350-9047, 1476-5403","issue":"1","journalAbbreviation":"Cell Death Differ","language":"en","page":"69-78","source":"DOI.org (Crossref)","title":"Defective immunogenic cell death of HMGB1-deficient tumors: compensatory therapy with TLR4 agonists","title-short":"Defective immunogenic cell death of HMGB1-deficient tumors","URL":"http://www.nature.com/articles/cdd201372","volume":"21","author":[{"family":"Yamazaki","given":"T"},{"family":"Hannani","given":"D"},{"family":"Poirier-Colame","given":"V"},{"family":"Ladoire","given":"S"},{"family":"Locher","given":"C"},{"family":"Sistigu","given":"A"},{"family":"Prada","given":"N"},{"family":"Adjemian","given":"S"},{"family":"Catani","given":"J Pp"},{"family":"Freudenberg","given":"M"},{"family":"Galanos","given":"C"},{"family":"André","given":"F"},{"family":"Kroemer","given":"G"},{"family":"Zitvogel","given":"L"}],"accessed":{"date-parts":[["2022",5,21]]},"issued":{"date-parts":[["2014",1]]},"citation-key":"yamazaki_defective_2014"}}],"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45</w:t>
      </w:r>
      <w:r w:rsidRPr="002A7128">
        <w:rPr>
          <w:rFonts w:ascii="Calibri" w:hAnsi="Calibri" w:cs="Calibri"/>
        </w:rPr>
        <w:fldChar w:fldCharType="end"/>
      </w:r>
      <w:r w:rsidRPr="002A7128">
        <w:rPr>
          <w:rFonts w:ascii="Calibri" w:hAnsi="Calibri" w:cs="Calibri"/>
        </w:rPr>
        <w:t xml:space="preserve">. Comparably, knock down of </w:t>
      </w:r>
      <w:r w:rsidRPr="002A7128">
        <w:rPr>
          <w:rFonts w:ascii="Calibri" w:hAnsi="Calibri" w:cs="Calibri"/>
          <w:i/>
          <w:iCs/>
        </w:rPr>
        <w:t>tlr4</w:t>
      </w:r>
      <w:r w:rsidRPr="002A7128">
        <w:rPr>
          <w:rFonts w:ascii="Calibri" w:hAnsi="Calibri" w:cs="Calibri"/>
        </w:rPr>
        <w:t xml:space="preserve"> gene completely abolished the protective effects of oxaliplatin in prophylactic vaccination model</w:t>
      </w:r>
      <w:r w:rsidRPr="002A7128">
        <w:rPr>
          <w:rFonts w:ascii="Calibri" w:hAnsi="Calibri" w:cs="Calibri"/>
        </w:rPr>
        <w:fldChar w:fldCharType="begin"/>
      </w:r>
      <w:r w:rsidR="00317E7D" w:rsidRPr="002A7128">
        <w:rPr>
          <w:rFonts w:ascii="Calibri" w:hAnsi="Calibri" w:cs="Calibri"/>
        </w:rPr>
        <w:instrText xml:space="preserve"> ADDIN ZOTERO_ITEM CSL_CITATION {"citationID":"15qa3X0C","properties":{"formattedCitation":"\\super 46\\nosupersub{}","plainCitation":"46","noteIndex":0},"citationItems":[{"id":9987,"uris":["http://zotero.org/groups/2667333/items/UZR9IXT3"],"itemData":{"id":9987,"type":"article-journal","container-title":"Oncogene","DOI":"10.1038/onc.2009.356","ISSN":"0950-9232,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46</w:t>
      </w:r>
      <w:r w:rsidRPr="002A7128">
        <w:rPr>
          <w:rFonts w:ascii="Calibri" w:hAnsi="Calibri" w:cs="Calibri"/>
        </w:rPr>
        <w:fldChar w:fldCharType="end"/>
      </w:r>
      <w:r w:rsidRPr="002A7128">
        <w:rPr>
          <w:rFonts w:ascii="Calibri" w:hAnsi="Calibri" w:cs="Calibri"/>
        </w:rPr>
        <w:t xml:space="preserve">. This activation is predominantly related with the migration, maturation, and activation DCs. Clinically, mutation in </w:t>
      </w:r>
      <w:r w:rsidRPr="002A7128">
        <w:rPr>
          <w:rFonts w:ascii="Calibri" w:hAnsi="Calibri" w:cs="Calibri"/>
          <w:i/>
          <w:iCs/>
        </w:rPr>
        <w:t>tlr4</w:t>
      </w:r>
      <w:r w:rsidRPr="002A7128">
        <w:rPr>
          <w:rFonts w:ascii="Calibri" w:hAnsi="Calibri" w:cs="Calibri"/>
        </w:rPr>
        <w:t xml:space="preserve"> allele is correlated to higher metastasis rate in breast cancer patients</w:t>
      </w:r>
      <w:r w:rsidRPr="002A7128">
        <w:rPr>
          <w:rFonts w:ascii="Calibri" w:hAnsi="Calibri" w:cs="Calibri"/>
        </w:rPr>
        <w:fldChar w:fldCharType="begin"/>
      </w:r>
      <w:r w:rsidR="00317E7D" w:rsidRPr="002A7128">
        <w:rPr>
          <w:rFonts w:ascii="Calibri" w:hAnsi="Calibri" w:cs="Calibri"/>
        </w:rPr>
        <w:instrText xml:space="preserve"> ADDIN ZOTERO_ITEM CSL_CITATION {"citationID":"iN9s5n9o","properties":{"formattedCitation":"\\super 47\\nosupersub{}","plainCitation":"47","noteIndex":0},"citationItems":[{"id":9060,"uris":["http://zotero.org/groups/2667333/items/U3YWK2LM"],"itemData":{"id":9060,"type":"article-journal","container-title":"Nature Medicine","DOI":"10.1038/nm1622","ISSN":"1078-8956, 1546-170X","issue":"9","journalAbbreviation":"Nat Med","language":"en","page":"1050-1059","source":"DOI.org (Crossref)","title":"Toll-like receptor 4–dependent contribution of the immune system to anticancer chemotherapy and radiotherapy","URL":"http://www.nature.com/articles/nm1622","volume":"13","author":[{"family":"Apetoh","given":"Lionel"},{"family":"Ghiringhelli","given":"François"},{"family":"Tesniere","given":"Antoine"},{"family":"Obeid","given":"Michel"},{"family":"Ortiz","given":"Carla"},{"family":"Criollo","given":"Alfredo"},{"family":"Mignot","given":"Grégoire"},{"family":"Maiuri","given":"M Chiara"},{"family":"Ullrich","given":"Evelyn"},{"family":"Saulnier","given":"Patrick"},{"family":"Yang","given":"Huan"},{"family":"Amigorena","given":"Sebastian"},{"family":"Ryffel","given":"Bernard"},{"family":"Barrat","given":"Franck J"},{"family":"Saftig","given":"Paul"},{"family":"Levi","given":"Francis"},{"family":"Lidereau","given":"Rosette"},{"family":"Nogues","given":"Catherine"},{"family":"Mira","given":"Jean-Paul"},{"family":"Chompret","given":"Agnès"},{"family":"Joulin","given":"Virginie"},{"family":"Clavel-Chapelon","given":"Françoise"},{"family":"Bourhis","given":"Jean"},{"family":"André","given":"Fabrice"},{"family":"Delaloge","given":"Suzette"},{"family":"Tursz","given":"Thomas"},{"family":"Kroemer","given":"Guido"},{"family":"Zitvogel","given":"Laurence"}],"accessed":{"date-parts":[["2021",9,13]]},"issued":{"date-parts":[["2007",9]]},"citation-key":"apetoh_toll-like_2007"},"locator":"4"}],"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47</w:t>
      </w:r>
      <w:r w:rsidRPr="002A7128">
        <w:rPr>
          <w:rFonts w:ascii="Calibri" w:hAnsi="Calibri" w:cs="Calibri"/>
        </w:rPr>
        <w:fldChar w:fldCharType="end"/>
      </w:r>
      <w:r w:rsidRPr="002A7128">
        <w:rPr>
          <w:rFonts w:ascii="Calibri" w:hAnsi="Calibri" w:cs="Calibri"/>
        </w:rPr>
        <w:t xml:space="preserve"> and reduced disease-free and overall survival in head and neck squamous cell carcinoma patients</w:t>
      </w:r>
      <w:r w:rsidRPr="002A7128">
        <w:rPr>
          <w:rFonts w:ascii="Calibri" w:hAnsi="Calibri" w:cs="Calibri"/>
        </w:rPr>
        <w:fldChar w:fldCharType="begin"/>
      </w:r>
      <w:r w:rsidR="00317E7D" w:rsidRPr="002A7128">
        <w:rPr>
          <w:rFonts w:ascii="Calibri" w:hAnsi="Calibri" w:cs="Calibri"/>
        </w:rPr>
        <w:instrText xml:space="preserve"> ADDIN ZOTERO_ITEM CSL_CITATION {"citationID":"rSwgWqZG","properties":{"formattedCitation":"\\super 48\\nosupersub{}","plainCitation":"48","noteIndex":0},"citationItems":[{"id":10598,"uris":["http://zotero.org/groups/2667333/items/7B8F2A9D"],"itemData":{"id":10598,"type":"article-journal","container-title":"Journal of Translational Medicine","DOI":"10.1186/1479-5876-9-139","ISSN":"1479-5876","issue":"1","journalAbbreviation":"J Transl Med","language":"en","page":"139","source":"DOI.org (Crossref)","title":"Toll-like receptor 4 single-nucleotide polymorphisms Asp299Gly and Thr399Ile in head and neck squamous cell carcinomas","URL":"https://translational-medicine.biomedcentral.com/articles/10.1186/1479-5876-9-139","volume":"9","author":[{"family":"Bergmann","given":"Christoph"},{"family":"Bachmann","given":"Hagen S"},{"family":"Bankfalvi","given":"Agnes"},{"family":"Lotfi","given":"Ramin"},{"family":"Pütter","given":"Carolin"},{"family":"Wild","given":"Clarissa A"},{"family":"Schuler","given":"Patrick J"},{"family":"Greve","given":"Jens"},{"family":"Hoffmann","given":"Thomas K"},{"family":"Lang","given":"Stephan"},{"family":"Scherag","given":"André"},{"family":"Lehnerdt","given":"Götz F"}],"accessed":{"date-parts":[["2022",5,21]]},"issued":{"date-parts":[["2011",12]]},"citation-key":"bergmann_toll-like_2011"}}],"schema":"https://github.com/citation-style-language/schema/raw/master/csl-citation.json"}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48</w:t>
      </w:r>
      <w:r w:rsidRPr="002A7128">
        <w:rPr>
          <w:rFonts w:ascii="Calibri" w:hAnsi="Calibri" w:cs="Calibri"/>
        </w:rPr>
        <w:fldChar w:fldCharType="end"/>
      </w:r>
      <w:r w:rsidRPr="002A7128">
        <w:rPr>
          <w:rFonts w:ascii="Calibri" w:hAnsi="Calibri" w:cs="Calibri"/>
        </w:rPr>
        <w:t xml:space="preserve">. Similarly, in oxaliplatin treated colorectal cancer patients, loss of function in </w:t>
      </w:r>
      <w:r w:rsidRPr="002A7128">
        <w:rPr>
          <w:rFonts w:ascii="Calibri" w:hAnsi="Calibri" w:cs="Calibri"/>
          <w:i/>
          <w:iCs/>
        </w:rPr>
        <w:t>tlr4</w:t>
      </w:r>
      <w:r w:rsidRPr="002A7128">
        <w:rPr>
          <w:rFonts w:ascii="Calibri" w:hAnsi="Calibri" w:cs="Calibri"/>
        </w:rPr>
        <w:t xml:space="preserve"> allele reduced progression free and overall survival</w:t>
      </w:r>
      <w:r w:rsidRPr="002A7128">
        <w:rPr>
          <w:rFonts w:ascii="Calibri" w:hAnsi="Calibri" w:cs="Calibri"/>
        </w:rPr>
        <w:fldChar w:fldCharType="begin"/>
      </w:r>
      <w:r w:rsidR="00317E7D" w:rsidRPr="002A7128">
        <w:rPr>
          <w:rFonts w:ascii="Calibri" w:hAnsi="Calibri" w:cs="Calibri"/>
        </w:rPr>
        <w:instrText xml:space="preserve"> ADDIN ZOTERO_ITEM CSL_CITATION {"citationID":"ALcRfEXs","properties":{"formattedCitation":"\\super 46\\nosupersub{}","plainCitation":"46","noteIndex":0},"citationItems":[{"id":9987,"uris":["http://zotero.org/groups/2667333/items/UZR9IXT3"],"itemData":{"id":9987,"type":"article-journal","container-title":"Oncogene","DOI":"10.1038/onc.2009.356","ISSN":"0950-9232,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46</w:t>
      </w:r>
      <w:r w:rsidRPr="002A7128">
        <w:rPr>
          <w:rFonts w:ascii="Calibri" w:hAnsi="Calibri" w:cs="Calibri"/>
        </w:rPr>
        <w:fldChar w:fldCharType="end"/>
      </w:r>
      <w:r w:rsidRPr="002A7128">
        <w:rPr>
          <w:rFonts w:ascii="Calibri" w:hAnsi="Calibri" w:cs="Calibri"/>
        </w:rPr>
        <w:t>. HMGB-1 also interacts with receptor for advanced glycation end products (RAGE). Endocytosis of HMGB-1 through RAGE induced pyroptosis (caspase-1 dependent pathway) in macrophages</w:t>
      </w:r>
      <w:r w:rsidRPr="002A7128">
        <w:rPr>
          <w:rFonts w:ascii="Calibri" w:hAnsi="Calibri" w:cs="Calibri"/>
        </w:rPr>
        <w:fldChar w:fldCharType="begin"/>
      </w:r>
      <w:r w:rsidR="00317E7D" w:rsidRPr="002A7128">
        <w:rPr>
          <w:rFonts w:ascii="Calibri" w:hAnsi="Calibri" w:cs="Calibri"/>
        </w:rPr>
        <w:instrText xml:space="preserve"> ADDIN ZOTERO_ITEM CSL_CITATION {"citationID":"moO6MOGM","properties":{"formattedCitation":"\\super 24\\nosupersub{}","plainCitation":"24","noteIndex":0},"citationItems":[{"id":10569,"uris":["http://zotero.org/groups/2667333/items/FR3UNC95"],"itemData":{"id":10569,"type":"article-journal","container-title":"Cell Death &amp; Differentiation","DOI":"10.1038/cdd.2014.40","ISSN":"1350-9047, 1476-5403","issue":"8","journalAbbreviation":"Cell Death Differ","language":"en","page":"1229-1239","source":"DOI.org (Crossref)","title":"Macrophage endocytosis of high-mobility group box 1 triggers pyroptosis","URL":"http://www.nature.com/articles/cdd201440","volume":"21","author":[{"family":"Xu","given":"J"},{"family":"Jiang","given":"Y"},{"family":"Wang","given":"J"},{"family":"Shi","given":"X"},{"family":"Liu","given":"Q"},{"family":"Liu","given":"Z"},{"family":"Li","given":"Y"},{"family":"Scott","given":"M J"},{"family":"Xiao","given":"G"},{"family":"Li","given":"S"},{"family":"Fan","given":"L"},{"family":"Billiar","given":"T R"},{"family":"Wilson","given":"M A"},{"family":"Fan","given":"J"}],"accessed":{"date-parts":[["2022",5,17]]},"issued":{"date-parts":[["2014",8]]},"citation-key":"xu_macrophage_2014"}}],"schema":"https://github.com/citation-style-language/schema/raw/master/csl-citation.json"}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24</w:t>
      </w:r>
      <w:r w:rsidRPr="002A7128">
        <w:rPr>
          <w:rFonts w:ascii="Calibri" w:hAnsi="Calibri" w:cs="Calibri"/>
        </w:rPr>
        <w:fldChar w:fldCharType="end"/>
      </w:r>
      <w:r w:rsidRPr="002A7128">
        <w:rPr>
          <w:rFonts w:ascii="Calibri" w:hAnsi="Calibri" w:cs="Calibri"/>
        </w:rPr>
        <w:t xml:space="preserve">. However, expression of RAGE receptor is low in majority of tissues except lung tissue. </w:t>
      </w:r>
    </w:p>
    <w:p w14:paraId="669E9A77" w14:textId="77777777" w:rsidR="00A27485" w:rsidRPr="002A7128" w:rsidRDefault="00A27485">
      <w:pPr>
        <w:pStyle w:val="Heading2"/>
        <w:numPr>
          <w:ilvl w:val="2"/>
          <w:numId w:val="2"/>
        </w:numPr>
        <w:spacing w:line="480" w:lineRule="auto"/>
        <w:ind w:left="1224" w:hanging="504"/>
        <w:jc w:val="both"/>
        <w:rPr>
          <w:rFonts w:ascii="Calibri" w:hAnsi="Calibri" w:cs="Calibri"/>
        </w:rPr>
      </w:pPr>
      <w:bookmarkStart w:id="18" w:name="_Toc115787965"/>
      <w:bookmarkStart w:id="19" w:name="_Toc120794123"/>
      <w:r w:rsidRPr="002A7128">
        <w:rPr>
          <w:rFonts w:ascii="Calibri" w:hAnsi="Calibri" w:cs="Calibri"/>
        </w:rPr>
        <w:t>ATP</w:t>
      </w:r>
      <w:bookmarkEnd w:id="18"/>
      <w:bookmarkEnd w:id="19"/>
    </w:p>
    <w:p w14:paraId="6D98A1BE" w14:textId="7F80EDC6" w:rsidR="00A27485" w:rsidRPr="002A7128" w:rsidRDefault="00A27485" w:rsidP="00A27485">
      <w:pPr>
        <w:spacing w:line="480" w:lineRule="auto"/>
        <w:jc w:val="both"/>
        <w:rPr>
          <w:rFonts w:ascii="Calibri" w:hAnsi="Calibri" w:cs="Calibri"/>
        </w:rPr>
      </w:pPr>
      <w:r w:rsidRPr="002A7128">
        <w:rPr>
          <w:rFonts w:ascii="Calibri" w:hAnsi="Calibri" w:cs="Calibri"/>
        </w:rPr>
        <w:t>Stressed or dying cells release ATP into the extracellular environment</w:t>
      </w:r>
      <w:r w:rsidRPr="002A7128">
        <w:rPr>
          <w:rFonts w:ascii="Calibri" w:hAnsi="Calibri" w:cs="Calibri"/>
        </w:rPr>
        <w:fldChar w:fldCharType="begin"/>
      </w:r>
      <w:r w:rsidR="00317E7D" w:rsidRPr="002A7128">
        <w:rPr>
          <w:rFonts w:ascii="Calibri" w:hAnsi="Calibri" w:cs="Calibri"/>
        </w:rPr>
        <w:instrText xml:space="preserve"> ADDIN ZOTERO_ITEM CSL_CITATION {"citationID":"c8s2Km4z","properties":{"formattedCitation":"\\super 49\\nosupersub{}","plainCitation":"49","noteIndex":0},"citationItems":[{"id":10584,"uris":["http://zotero.org/groups/2667333/items/AJSGVAPK"],"itemData":{"id":10584,"type":"article-journal","container-title":"Cell Death &amp; Differentiation","DOI":"10.1038/sj.cdd.4401505","ISSN":"1350-9047, 1476-5403","issue":"S2","journalAbbreviation":"Cell Death Differ","language":"en","page":"S172-S180","source":"DOI.org (Crossref)","title":"Water induces autocrine stimulation of tumor cell killing through ATP release and P2 receptor binding","URL":"http://www.nature.com/articles/4401505","volume":"11","author":[{"family":"Selzner","given":"N"},{"family":"Selzner","given":"M"},{"family":"Graf","given":"R"},{"family":"Ungethuem","given":"U"},{"family":"Fitz","given":"J G"},{"family":"Clavien","given":"P-A"}],"accessed":{"date-parts":[["2022",5,19]]},"issued":{"date-parts":[["2004",12]]},"citation-key":"selzner_water_2004"}}],"schema":"https://github.com/citation-style-language/schema/raw/master/csl-citation.json"}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49</w:t>
      </w:r>
      <w:r w:rsidRPr="002A7128">
        <w:rPr>
          <w:rFonts w:ascii="Calibri" w:hAnsi="Calibri" w:cs="Calibri"/>
        </w:rPr>
        <w:fldChar w:fldCharType="end"/>
      </w:r>
      <w:r w:rsidRPr="002A7128">
        <w:rPr>
          <w:rFonts w:ascii="Calibri" w:hAnsi="Calibri" w:cs="Calibri"/>
        </w:rPr>
        <w:t>. Multiple chemotherapeutic drugs have been shown to induce ATP release and this effect was reported to be concentration dependent</w:t>
      </w:r>
      <w:r w:rsidRPr="002A7128">
        <w:rPr>
          <w:rFonts w:ascii="Calibri" w:hAnsi="Calibri" w:cs="Calibri"/>
        </w:rPr>
        <w:fldChar w:fldCharType="begin"/>
      </w:r>
      <w:r w:rsidR="00317E7D" w:rsidRPr="002A7128">
        <w:rPr>
          <w:rFonts w:ascii="Calibri" w:hAnsi="Calibri" w:cs="Calibri"/>
        </w:rPr>
        <w:instrText xml:space="preserve"> ADDIN ZOTERO_ITEM CSL_CITATION {"citationID":"lCqS5zQq","properties":{"formattedCitation":"\\super 50\\nosupersub{}","plainCitation":"50","noteIndex":0},"citationItems":[{"id":9977,"uris":["http://zotero.org/groups/2667333/items/BI5NJEN7"],"itemData":{"id":9977,"type":"article-journal","container-title":"Cell Cycle","DOI":"10.4161/cc.8.22.10026","ISSN":"1538-4101, 1551-4005","issue":"22","journalAbbreviation":"Cell Cycle","language":"en","page":"3723-3728","source":"DOI.org (Crossref)","title":"Chemotherapy induces ATP release from tumor cells","URL":"http://www.tandfonline.com/doi/abs/10.4161/cc.8.22.10026","volume":"8","author":[{"family":"Martins","given":"Isabelle"},{"family":"Tesniere","given":"Antoine"},{"family":"Kepp","given":"Oliver"},{"family":"Michaud","given":"Mickael"},{"family":"Schlemmer","given":"Frederic"},{"family":"Senovilla","given":"Laura"},{"family":"Séror","given":"Claire"},{"family":"Métivier","given":"Didier"},{"family":"Perfettini","given":"Jean-Luc"},{"family":"Zitvogel","given":"Laurence"},{"family":"Kroemer","given":"Guido"}],"accessed":{"date-parts":[["2022",2,10]]},"issued":{"date-parts":[["2009",11,15]]},"citation-key":"martins_chemotherapy_2009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50</w:t>
      </w:r>
      <w:r w:rsidRPr="002A7128">
        <w:rPr>
          <w:rFonts w:ascii="Calibri" w:hAnsi="Calibri" w:cs="Calibri"/>
        </w:rPr>
        <w:fldChar w:fldCharType="end"/>
      </w:r>
      <w:r w:rsidRPr="002A7128">
        <w:rPr>
          <w:rFonts w:ascii="Calibri" w:hAnsi="Calibri" w:cs="Calibri"/>
        </w:rPr>
        <w:t>. Extracellularly, ATP acts through purinergic receptors P2X</w:t>
      </w:r>
      <w:r w:rsidRPr="002A7128">
        <w:rPr>
          <w:rFonts w:ascii="Calibri" w:hAnsi="Calibri" w:cs="Calibri"/>
          <w:vertAlign w:val="subscript"/>
        </w:rPr>
        <w:t>7</w:t>
      </w:r>
      <w:r w:rsidRPr="002A7128">
        <w:rPr>
          <w:rFonts w:ascii="Calibri" w:hAnsi="Calibri" w:cs="Calibri"/>
        </w:rPr>
        <w:t xml:space="preserve"> and P2Y</w:t>
      </w:r>
      <w:r w:rsidRPr="002A7128">
        <w:rPr>
          <w:rFonts w:ascii="Calibri" w:hAnsi="Calibri" w:cs="Calibri"/>
          <w:vertAlign w:val="subscript"/>
        </w:rPr>
        <w:t>2</w:t>
      </w:r>
      <w:r w:rsidRPr="002A7128">
        <w:rPr>
          <w:rFonts w:ascii="Calibri" w:hAnsi="Calibri" w:cs="Calibri"/>
        </w:rPr>
        <w:t xml:space="preserve"> and contributes to the immunogenicity of dying cells. It induces inflammasome (NLRP3 pathway) formation in DCs</w:t>
      </w:r>
      <w:r w:rsidRPr="002A7128">
        <w:rPr>
          <w:rFonts w:ascii="Calibri" w:hAnsi="Calibri" w:cs="Calibri"/>
        </w:rPr>
        <w:fldChar w:fldCharType="begin"/>
      </w:r>
      <w:r w:rsidR="00317E7D" w:rsidRPr="002A7128">
        <w:rPr>
          <w:rFonts w:ascii="Calibri" w:hAnsi="Calibri" w:cs="Calibri"/>
        </w:rPr>
        <w:instrText xml:space="preserve"> ADDIN ZOTERO_ITEM CSL_CITATION {"citationID":"WLBrPxt8","properties":{"formattedCitation":"\\super 20\\nosupersub{}","plainCitation":"20","noteIndex":0},"citationItems":[{"id":6657,"uris":["http://zotero.org/groups/2667333/items/KQE4FK7H"],"itemData":{"id":6657,"type":"article-journal","abstract":"Dying tumor cells release ATP, which activates the NLRP3 inflammasome in dendritic cells, enabling the secretion of interleukin-1β and the subsequent priming of tumor-specific interferon-γ-producing T lymphocytes.","container-title":"Nature Medicine","DOI":"10.1038/nm.2028","ISSN":"1546-170X","issue":"10","journalAbbreviation":"Nat Med","language":"en","license":"2009 Nature Publishing Group","note":"number: 10\npublisher: Nature Publishing Group","page":"1170-1178","source":"www.nature.com","title":"Activation of the NLRP3 inflammasome in dendritic cells induces IL-1β–dependent adaptive immunity against tumors","URL":"https://www.nature.com/articles/nm.2028","volume":"15","author":[{"family":"Ghiringhelli","given":"François"},{"family":"Apetoh","given":"Lionel"},{"family":"Tesniere","given":"Antoine"},{"family":"Aymeric","given":"Laetitia"},{"family":"Ma","given":"Yuting"},{"family":"Ortiz","given":"Carla"},{"family":"Vermaelen","given":"Karim"},{"family":"Panaretakis","given":"Theocharis"},{"family":"Mignot","given":"Grégoire"},{"family":"Ullrich","given":"Evelyn"},{"family":"Perfettini","given":"Jean-Luc"},{"family":"Schlemmer","given":"Frédéric"},{"family":"Tasdemir","given":"Ezgi"},{"family":"Uhl","given":"Martin"},{"family":"Génin","given":"Pierre"},{"family":"Civas","given":"Ahmet"},{"family":"Ryffel","given":"Bernhard"},{"family":"Kanellopoulos","given":"Jean"},{"family":"Tschopp","given":"Jürg"},{"family":"André","given":"Fabrice"},{"family":"Lidereau","given":"Rosette"},{"family":"McLaughlin","given":"Nicole M."},{"family":"Haynes","given":"Nicole M."},{"family":"Smyth","given":"Mark J."},{"family":"Kroemer","given":"Guido"},{"family":"Zitvogel","given":"Laurence"}],"accessed":{"date-parts":[["2021",6,8]]},"issued":{"date-parts":[["2009",10]]},"citation-key":"ghiringhelli_activation_2009"},"locator":"3"}],"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20</w:t>
      </w:r>
      <w:r w:rsidRPr="002A7128">
        <w:rPr>
          <w:rFonts w:ascii="Calibri" w:hAnsi="Calibri" w:cs="Calibri"/>
        </w:rPr>
        <w:fldChar w:fldCharType="end"/>
      </w:r>
      <w:r w:rsidRPr="002A7128">
        <w:rPr>
          <w:rFonts w:ascii="Calibri" w:hAnsi="Calibri" w:cs="Calibri"/>
        </w:rPr>
        <w:t xml:space="preserve"> and neutrophils</w:t>
      </w:r>
      <w:r w:rsidRPr="002A7128">
        <w:rPr>
          <w:rFonts w:ascii="Calibri" w:hAnsi="Calibri" w:cs="Calibri"/>
        </w:rPr>
        <w:fldChar w:fldCharType="begin"/>
      </w:r>
      <w:r w:rsidR="00317E7D" w:rsidRPr="002A7128">
        <w:rPr>
          <w:rFonts w:ascii="Calibri" w:hAnsi="Calibri" w:cs="Calibri"/>
        </w:rPr>
        <w:instrText xml:space="preserve"> ADDIN ZOTERO_ITEM CSL_CITATION {"citationID":"92JZI2uI","properties":{"formattedCitation":"\\super 19\\nosupersub{}","plainCitation":"19","noteIndex":0},"citationItems":[{"id":6618,"uris":["http://zotero.org/groups/2667333/items/5BYX35U5"],"itemData":{"id":6618,"type":"article-journal","abstract":"Although extracellular ATP is abundant at sites of inflammation, its role in activating inflammasome signalling in neutrophils is not well characterized. In the current study, we demonstrate that human and murine neutrophils express functional cell-surface P2X7R, which leads to ATP-induced loss of intracellular K+, NLRP3 inflammasome activation and IL-1β secretion. ATP-induced P2X7R activation caused a sustained increase in intracellular [Ca2+], which is indicative of P2X7R channel opening. Although there are multiple polymorphic variants of P2X7R, we found that neutrophils from multiple donors express P2X7R, but with differential efficacies in ATP-induced increase in cytosolic [Ca2+]. Neutrophils were also the predominant P2X7R-expressing cells during Streptococcus pneumoniae corneal infection, and P2X7R was required for bacterial clearance. Given the ubiquitous presence of neutrophils and extracellular ATP in multiple inflammatory conditions, ATP-induced P2X7R activation and IL-1β secretion by neutrophils likely has a significant, wide ranging clinical impact.","container-title":"Nature Communications","DOI":"10.1038/ncomms10555","ISSN":"2041-1723","issue":"1","journalAbbreviation":"Nat Commun","language":"en","license":"2016 The Author(s)","note":"number: 1\npublisher: Nature Publishing Group","page":"10555","source":"www.nature.com","title":"Neutrophil P2X 7 receptors mediate NLRP3 inflammasome-dependent IL-1β secretion in response to ATP","URL":"https://www.nature.com/articles/ncomms10555","volume":"7","author":[{"family":"Karmakar","given":"Mausita"},{"family":"Katsnelson","given":"Michael A."},{"family":"Dubyak","given":"George R."},{"family":"Pearlman","given":"Eric"}],"accessed":{"date-parts":[["2021",6,8]]},"issued":{"date-parts":[["2016",2,15]]},"citation-key":"karmakar_neutrophil_2016"},"locator":"3"}],"schema":"https://github.com/citation-style-language/schema/raw/master/csl-citation.json"}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19</w:t>
      </w:r>
      <w:r w:rsidRPr="002A7128">
        <w:rPr>
          <w:rFonts w:ascii="Calibri" w:hAnsi="Calibri" w:cs="Calibri"/>
        </w:rPr>
        <w:fldChar w:fldCharType="end"/>
      </w:r>
      <w:r w:rsidRPr="002A7128">
        <w:rPr>
          <w:rFonts w:ascii="Calibri" w:hAnsi="Calibri" w:cs="Calibri"/>
        </w:rPr>
        <w:t xml:space="preserve"> resulting in the secretion of IL-1</w:t>
      </w:r>
      <w:r w:rsidRPr="005140F7">
        <w:rPr>
          <w:rFonts w:ascii="Symbol" w:hAnsi="Symbol" w:cs="Calibri"/>
        </w:rPr>
        <w:t>b</w:t>
      </w:r>
      <w:r w:rsidRPr="002A7128">
        <w:rPr>
          <w:rFonts w:ascii="Calibri" w:hAnsi="Calibri" w:cs="Calibri"/>
        </w:rPr>
        <w:t xml:space="preserve">. </w:t>
      </w:r>
    </w:p>
    <w:p w14:paraId="787D0718" w14:textId="0330BCFF" w:rsidR="00A27485" w:rsidRPr="002A7128" w:rsidRDefault="00A27485" w:rsidP="00A27485">
      <w:pPr>
        <w:spacing w:line="480" w:lineRule="auto"/>
        <w:jc w:val="both"/>
        <w:rPr>
          <w:rFonts w:ascii="Calibri" w:hAnsi="Calibri" w:cs="Calibri"/>
        </w:rPr>
      </w:pPr>
      <w:r w:rsidRPr="002A7128">
        <w:rPr>
          <w:rFonts w:ascii="Calibri" w:hAnsi="Calibri" w:cs="Calibri"/>
        </w:rPr>
        <w:t>Blocking purinergic receptor P2X</w:t>
      </w:r>
      <w:r w:rsidRPr="002A7128">
        <w:rPr>
          <w:rFonts w:ascii="Calibri" w:hAnsi="Calibri" w:cs="Calibri"/>
          <w:vertAlign w:val="subscript"/>
        </w:rPr>
        <w:t>7</w:t>
      </w:r>
      <w:r w:rsidRPr="002A7128">
        <w:rPr>
          <w:rFonts w:ascii="Calibri" w:hAnsi="Calibri" w:cs="Calibri"/>
        </w:rPr>
        <w:t xml:space="preserve"> with </w:t>
      </w:r>
      <w:proofErr w:type="spellStart"/>
      <w:r w:rsidRPr="002A7128">
        <w:rPr>
          <w:rFonts w:ascii="Calibri" w:hAnsi="Calibri" w:cs="Calibri"/>
        </w:rPr>
        <w:t>oxiATP</w:t>
      </w:r>
      <w:proofErr w:type="spellEnd"/>
      <w:r w:rsidRPr="002A7128">
        <w:rPr>
          <w:rFonts w:ascii="Calibri" w:hAnsi="Calibri" w:cs="Calibri"/>
        </w:rPr>
        <w:t xml:space="preserve"> (antagonist) abolished the protective capacity of </w:t>
      </w:r>
      <w:proofErr w:type="spellStart"/>
      <w:r w:rsidRPr="002A7128">
        <w:rPr>
          <w:rFonts w:ascii="Calibri" w:hAnsi="Calibri" w:cs="Calibri"/>
        </w:rPr>
        <w:t>ferroptotic</w:t>
      </w:r>
      <w:proofErr w:type="spellEnd"/>
      <w:r w:rsidRPr="002A7128">
        <w:rPr>
          <w:rFonts w:ascii="Calibri" w:hAnsi="Calibri" w:cs="Calibri"/>
        </w:rPr>
        <w:t xml:space="preserve"> cells in a prophylactic vaccination model</w:t>
      </w:r>
      <w:r w:rsidRPr="002A7128">
        <w:rPr>
          <w:rFonts w:ascii="Calibri" w:hAnsi="Calibri" w:cs="Calibri"/>
        </w:rPr>
        <w:fldChar w:fldCharType="begin"/>
      </w:r>
      <w:r w:rsidR="00317E7D" w:rsidRPr="002A7128">
        <w:rPr>
          <w:rFonts w:ascii="Calibri" w:hAnsi="Calibri" w:cs="Calibri"/>
        </w:rPr>
        <w:instrText xml:space="preserve"> ADDIN ZOTERO_ITEM CSL_CITATION {"citationID":"TpAPUr1d","properties":{"formattedCitation":"\\super 51\\nosupersub{}","plainCitation":"51","noteIndex":0},"citationItems":[{"id":9877,"uris":["http://zotero.org/groups/2667333/items/AJSMBY7R"],"itemData":{"id":9877,"type":"article-journal","abstract":"Background\n              Immunotherapy represents the future of clinical cancer treatment. The type of cancer cell death determines the antitumor immune response and thereby contributes to the efficacy of anticancer therapy and long-term survival of patients. Induction of immunogenic apoptosis or necroptosis in cancer cells does activate antitumor immunity, but resistance to these cell death modalities is common. Therefore, it is of great importance to find other ways to kill tumor cells. Recently, ferroptosis has been identified as a novel, iron-dependent form of regulated cell death but whether ferroptotic cancer cells are immunogenic is unknown.\n            \n            \n              Methods\n              \n                Ferroptotic cell death in murine fibrosarcoma MCA205 or glioma GL261 cells was induced by RAS-selective lethal 3 and ferroptosis was analyzed by flow cytometry, atomic force and confocal microscopy. ATP and high-mobility group box 1 (HMGB1) release were detected by luminescence and ELISA assays, respectively. Immunogenicity in vitro was analyzed by coculturing of ferroptotic cancer cells with bone-marrow derived dendritic cells (BMDCs) and rate of phagocytosis and activation/maturation of BMDCs (CD11c\n                +\n                CD86\n                +\n                , CD11c\n                +\n                CD40\n                +\n                , CD11c\n                +\n                MHCII\n                +\n                , IL-6, RNAseq analysis). The tumor prophylactic vaccination model in immune-competent and immune compromised (Rag-2\n                −/−\n                ) mice was used to analyze ferroptosis immunogenicity.\n              \n            \n            \n              Results\n              \n                Ferroptosis can be induced in cancer cells by inhibition of glutathione peroxidase 4, as evidenced by confocal and atomic force microscopy and inhibitors’ analysis. We demonstrate for the first time that ferroptosis is immunogenic in vitro and in vivo. Early, but not late, ferroptotic cells promote the phenotypic maturation of BMDCs and elicit a vaccination-like effect in immune-competent mice but not in Rag-2\n                −/−\n                mice, suggesting that the mechanism of immunogenicity is very tightly regulated by the adaptive immune system and is time dependent. Also, ATP and HMGB1, the best-characterized damage-associated molecular patterns involved in immunogenic cell death, have proven to be passively released along the timeline of ferroptosis and act as immunogenic signal associated with the immunogenicity of early ferroptotic cancer cells.\n              \n            \n            \n              Conclusions\n              These results pave the way for the development of new therapeutic strategies for cancers based on induction of ferroptosis, and thus broadens the current concept of immunogenic cell death and opens the door for the development of new strategies in cancer immunotherapy.","container-title":"Journal for ImmunoTherapy of Cancer","DOI":"10.1136/jitc-2020-001369","ISSN":"2051-1426","issue":"2","journalAbbreviation":"J Immunother Cancer","language":"en","page":"e001369","source":"DOI.org (Crossref)","title":"Vaccination with early ferroptotic cancer cells induces efficient antitumor immunity","URL":"https://jitc.bmj.com/lookup/doi/10.1136/jitc-2020-001369","volume":"8","author":[{"family":"Efimova","given":"Iuliia"},{"family":"Catanzaro","given":"Elena"},{"family":"Van der Meeren","given":"Louis"},{"family":"Turubanova","given":"Victoria D"},{"family":"Hammad","given":"Hamida"},{"family":"Mishchenko","given":"Tatiana A"},{"family":"Vedunova","given":"Maria V"},{"family":"Fimognari","given":"Carmela"},{"family":"Bachert","given":"Claus"},{"family":"Coppieters","given":"Frauke"},{"family":"Lefever","given":"Steve"},{"family":"Skirtach","given":"Andre G"},{"family":"Krysko","given":"Olga"},{"family":"Krysko","given":"Dmitri V"}],"accessed":{"date-parts":[["2022",1,6]]},"issued":{"date-parts":[["2020",11]]},"citation-key":"efimova_vaccination_2020"}}],"schema":"https://github.com/citation-style-language/schema/raw/master/csl-citation.json"}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51</w:t>
      </w:r>
      <w:r w:rsidRPr="002A7128">
        <w:rPr>
          <w:rFonts w:ascii="Calibri" w:hAnsi="Calibri" w:cs="Calibri"/>
        </w:rPr>
        <w:fldChar w:fldCharType="end"/>
      </w:r>
      <w:r w:rsidRPr="002A7128">
        <w:rPr>
          <w:rFonts w:ascii="Calibri" w:hAnsi="Calibri" w:cs="Calibri"/>
        </w:rPr>
        <w:t xml:space="preserve">. However, in another prophylactic vaccination model with hypericin-photodynamic therapy (ICD inducer) authors showed that, using Apyrase (an enzyme degrading ATP) or </w:t>
      </w:r>
      <w:proofErr w:type="spellStart"/>
      <w:r w:rsidRPr="002A7128">
        <w:rPr>
          <w:rFonts w:ascii="Calibri" w:hAnsi="Calibri" w:cs="Calibri"/>
        </w:rPr>
        <w:t>oxiATP</w:t>
      </w:r>
      <w:proofErr w:type="spellEnd"/>
      <w:r w:rsidRPr="002A7128">
        <w:rPr>
          <w:rFonts w:ascii="Calibri" w:hAnsi="Calibri" w:cs="Calibri"/>
        </w:rPr>
        <w:t xml:space="preserve"> during initial vaccination failed to reduce </w:t>
      </w:r>
      <w:r w:rsidRPr="002A7128">
        <w:rPr>
          <w:rFonts w:ascii="Calibri" w:hAnsi="Calibri" w:cs="Calibri"/>
        </w:rPr>
        <w:lastRenderedPageBreak/>
        <w:t xml:space="preserve">anti-tumor immunity, however combination of Apyrase and </w:t>
      </w:r>
      <w:proofErr w:type="spellStart"/>
      <w:r w:rsidRPr="002A7128">
        <w:rPr>
          <w:rFonts w:ascii="Calibri" w:hAnsi="Calibri" w:cs="Calibri"/>
        </w:rPr>
        <w:t>oxiATP</w:t>
      </w:r>
      <w:proofErr w:type="spellEnd"/>
      <w:r w:rsidRPr="002A7128">
        <w:rPr>
          <w:rFonts w:ascii="Calibri" w:hAnsi="Calibri" w:cs="Calibri"/>
        </w:rPr>
        <w:t xml:space="preserve"> significantly reduced the anti-tumor immunity</w:t>
      </w:r>
      <w:r w:rsidRPr="002A7128">
        <w:rPr>
          <w:rFonts w:ascii="Calibri" w:hAnsi="Calibri" w:cs="Calibri"/>
        </w:rPr>
        <w:fldChar w:fldCharType="begin"/>
      </w:r>
      <w:r w:rsidR="00317E7D" w:rsidRPr="002A7128">
        <w:rPr>
          <w:rFonts w:ascii="Calibri" w:hAnsi="Calibri" w:cs="Calibri"/>
        </w:rPr>
        <w:instrText xml:space="preserve"> ADDIN ZOTERO_ITEM CSL_CITATION {"citationID":"LAfx0rgu","properties":{"formattedCitation":"\\super 52\\nosupersub{}","plainCitation":"52","noteIndex":0},"citationItems":[{"id":10596,"uris":["http://zotero.org/groups/2667333/items/CW46989D"],"itemData":{"id":10596,"type":"article-journal","container-title":"Cell Death &amp; Disease","DOI":"10.1038/cddis.2015.411","ISSN":"2041-4889","issue":"2","journalAbbreviation":"Cell Death Dis","language":"en","page":"e2097-e2097","source":"DOI.org (Crossref)","title":"Extracellular ATP and P2X7 receptor exert context-specific immunogenic effects after immunogenic cancer cell death","URL":"http://www.nature.com/articles/cddis2015411","volume":"7","author":[{"family":"Garg","given":"A D"},{"family":"Krysko","given":"D V"},{"family":"Vandenabeele","given":"P"},{"family":"Agostinis","given":"P"}],"accessed":{"date-parts":[["2022",5,21]]},"issued":{"date-parts":[["2016",2]]},"citation-key":"garg_extracellular_2016"}}],"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52</w:t>
      </w:r>
      <w:r w:rsidRPr="002A7128">
        <w:rPr>
          <w:rFonts w:ascii="Calibri" w:hAnsi="Calibri" w:cs="Calibri"/>
        </w:rPr>
        <w:fldChar w:fldCharType="end"/>
      </w:r>
      <w:r w:rsidRPr="002A7128">
        <w:rPr>
          <w:rFonts w:ascii="Calibri" w:hAnsi="Calibri" w:cs="Calibri"/>
        </w:rPr>
        <w:t>. These results highlight the importance of DAMP-receptor interactions for engaging anti-tumor immunity but at the same time point towards yet-to-be-defined DAMPs that might be acting synergistically.</w:t>
      </w:r>
    </w:p>
    <w:p w14:paraId="6F8622A5" w14:textId="0961F361" w:rsidR="00A27485" w:rsidRPr="002A7128" w:rsidRDefault="00AD6EF4">
      <w:pPr>
        <w:pStyle w:val="Heading2"/>
        <w:numPr>
          <w:ilvl w:val="2"/>
          <w:numId w:val="2"/>
        </w:numPr>
        <w:spacing w:line="480" w:lineRule="auto"/>
        <w:ind w:left="1224" w:hanging="504"/>
        <w:jc w:val="both"/>
        <w:rPr>
          <w:rFonts w:ascii="Calibri" w:hAnsi="Calibri" w:cs="Calibri"/>
        </w:rPr>
      </w:pPr>
      <w:bookmarkStart w:id="20" w:name="_Toc120794124"/>
      <w:r>
        <w:rPr>
          <w:rFonts w:ascii="Calibri" w:hAnsi="Calibri" w:cs="Calibri"/>
        </w:rPr>
        <w:t>CRT</w:t>
      </w:r>
      <w:bookmarkEnd w:id="20"/>
    </w:p>
    <w:p w14:paraId="0518B4DA" w14:textId="7CEFF65F" w:rsidR="00A27485" w:rsidRPr="002A7128" w:rsidRDefault="00AD6EF4" w:rsidP="00A27485">
      <w:pPr>
        <w:spacing w:line="480" w:lineRule="auto"/>
        <w:jc w:val="both"/>
        <w:rPr>
          <w:rFonts w:ascii="Calibri" w:hAnsi="Calibri" w:cs="Calibri"/>
        </w:rPr>
      </w:pPr>
      <w:r>
        <w:rPr>
          <w:rFonts w:ascii="Calibri" w:hAnsi="Calibri" w:cs="Calibri"/>
        </w:rPr>
        <w:t>CRT</w:t>
      </w:r>
      <w:r w:rsidR="00A27485" w:rsidRPr="002A7128">
        <w:rPr>
          <w:rFonts w:ascii="Calibri" w:hAnsi="Calibri" w:cs="Calibri"/>
        </w:rPr>
        <w:t xml:space="preserve"> (CRT) is an endoplasmic reticulum (ER) protein serving as an “eat me” signal upon surface localization (</w:t>
      </w:r>
      <w:proofErr w:type="spellStart"/>
      <w:r w:rsidR="00A27485" w:rsidRPr="002A7128">
        <w:rPr>
          <w:rFonts w:ascii="Calibri" w:hAnsi="Calibri" w:cs="Calibri"/>
        </w:rPr>
        <w:t>ecto</w:t>
      </w:r>
      <w:proofErr w:type="spellEnd"/>
      <w:r w:rsidR="00A27485" w:rsidRPr="002A7128">
        <w:rPr>
          <w:rFonts w:ascii="Calibri" w:hAnsi="Calibri" w:cs="Calibri"/>
        </w:rPr>
        <w:t>-CRT) during ICD and increases the immunogenicity of tumor cells</w:t>
      </w:r>
      <w:r w:rsidR="00A27485" w:rsidRPr="002A7128">
        <w:rPr>
          <w:rFonts w:ascii="Calibri" w:hAnsi="Calibri" w:cs="Calibri"/>
        </w:rPr>
        <w:fldChar w:fldCharType="begin"/>
      </w:r>
      <w:r w:rsidR="00317E7D" w:rsidRPr="002A7128">
        <w:rPr>
          <w:rFonts w:ascii="Calibri" w:hAnsi="Calibri" w:cs="Calibri"/>
        </w:rPr>
        <w:instrText xml:space="preserve"> ADDIN ZOTERO_ITEM CSL_CITATION {"citationID":"gvDL8vIy","properties":{"formattedCitation":"\\super 32\\nosupersub{}","plainCitation":"32","noteIndex":0},"citationItems":[{"id":10378,"uris":["http://zotero.org/groups/2667333/items/6N2IEINE"],"itemData":{"id":10378,"type":"article-journal","container-title":"Nature Medicine","DOI":"10.1038/nm1523","ISSN":"1078-8956, 1546-170X","issue":"1","journalAbbreviation":"Nat Med","language":"en","page":"54-61","source":"DOI.org (Crossref)","title":"Calreticulin exposure dictates the immunogenicity of cancer cell death","URL":"http://www.nature.com/articles/nm1523","volume":"13","author":[{"family":"Obeid","given":"Michel"},{"family":"Tesniere","given":"Antoine"},{"family":"Ghiringhelli","given":"François"},{"family":"Fimia","given":"Gian Maria"},{"family":"Apetoh","given":"Lionel"},{"family":"Perfettini","given":"Jean-Luc"},{"family":"Castedo","given":"Maria"},{"family":"Mignot","given":"Grégoire"},{"family":"Panaretakis","given":"Theoharis"},{"family":"Casares","given":"Noelia"},{"family":"Métivier","given":"Didier"},{"family":"Larochette","given":"Nathanael"},{"family":"Endert","given":"Peter","non-dropping-particle":"van"},{"family":"Ciccosanti","given":"Fabiola"},{"family":"Piacentini","given":"Mauro"},{"family":"Zitvogel","given":"Laurence"},{"family":"Kroemer","given":"Guido"}],"accessed":{"date-parts":[["2022",4,26]]},"issued":{"date-parts":[["2007",1]]},"citation-key":"obeid_calreticulin_2007-1"}}],"schema":"https://github.com/citation-style-language/schema/raw/master/csl-citation.json"} </w:instrText>
      </w:r>
      <w:r w:rsidR="00A27485" w:rsidRPr="002A7128">
        <w:rPr>
          <w:rFonts w:ascii="Calibri" w:hAnsi="Calibri" w:cs="Calibri"/>
        </w:rPr>
        <w:fldChar w:fldCharType="separate"/>
      </w:r>
      <w:r w:rsidR="00317E7D" w:rsidRPr="002A7128">
        <w:rPr>
          <w:rFonts w:ascii="Calibri" w:hAnsi="Calibri" w:cs="Calibri"/>
          <w:vertAlign w:val="superscript"/>
        </w:rPr>
        <w:t>32</w:t>
      </w:r>
      <w:r w:rsidR="00A27485" w:rsidRPr="002A7128">
        <w:rPr>
          <w:rFonts w:ascii="Calibri" w:hAnsi="Calibri" w:cs="Calibri"/>
        </w:rPr>
        <w:fldChar w:fldCharType="end"/>
      </w:r>
      <w:r w:rsidR="00A27485" w:rsidRPr="002A7128">
        <w:rPr>
          <w:rFonts w:ascii="Calibri" w:hAnsi="Calibri" w:cs="Calibri"/>
        </w:rPr>
        <w:t>.  Translocation of CRT to plasma membrane conveys through ER stress response. This response is accompanied by the phosphorylation of eukaryote initiation factor 2 alpha at serine 51 (eIF2</w:t>
      </w:r>
      <w:r w:rsidR="00A27485" w:rsidRPr="005140F7">
        <w:rPr>
          <w:rFonts w:ascii="Symbol" w:hAnsi="Symbol" w:cs="Calibri"/>
        </w:rPr>
        <w:t>a</w:t>
      </w:r>
      <w:r w:rsidR="00A27485" w:rsidRPr="002A7128">
        <w:rPr>
          <w:rFonts w:ascii="Calibri" w:hAnsi="Calibri" w:cs="Calibri"/>
          <w:vertAlign w:val="superscript"/>
        </w:rPr>
        <w:t>(S51)</w:t>
      </w:r>
      <w:r w:rsidR="00A27485" w:rsidRPr="002A7128">
        <w:rPr>
          <w:rFonts w:ascii="Calibri" w:hAnsi="Calibri" w:cs="Calibri"/>
        </w:rPr>
        <w:t>)</w:t>
      </w:r>
      <w:r w:rsidR="00A27485" w:rsidRPr="002A7128">
        <w:rPr>
          <w:rFonts w:ascii="Calibri" w:hAnsi="Calibri" w:cs="Calibri"/>
        </w:rPr>
        <w:fldChar w:fldCharType="begin"/>
      </w:r>
      <w:r w:rsidR="00317E7D" w:rsidRPr="002A7128">
        <w:rPr>
          <w:rFonts w:ascii="Calibri" w:hAnsi="Calibri" w:cs="Calibri"/>
        </w:rPr>
        <w:instrText xml:space="preserve"> ADDIN ZOTERO_ITEM CSL_CITATION {"citationID":"r7WG45dh","properties":{"formattedCitation":"\\super 53\\nosupersub{}","plainCitation":"53","noteIndex":0},"citationItems":[{"id":10375,"uris":["http://zotero.org/groups/2667333/items/LWJLXJ6T"],"itemData":{"id":10375,"type":"article-journal","container-title":"Cancer Research","DOI":"10.1158/0008-5472.CAN-15-1142","ISSN":"0008-5472, 1538-7445","issue":"7","journalAbbreviation":"Cancer Res","language":"en","page":"1746-1756","source":"DOI.org (Crossref)","title":"Calreticulin Expression in Human Non–Small Cell Lung Cancers Correlates with Increased Accumulation of Antitumor Immune Cells and Favorable Prognosis","URL":"http://cancerres.aacrjournals.org/lookup/doi/10.1158/0008-5472.CAN-15-1142","volume":"76","author":[{"family":"Fucikova","given":"Jitka"},{"family":"Becht","given":"Etienne"},{"family":"Iribarren","given":"Kristina"},{"family":"Goc","given":"Jeremy"},{"family":"Remark","given":"Romain"},{"family":"Damotte","given":"Diane"},{"family":"Alifano","given":"Marco"},{"family":"Devi","given":"Priyanka"},{"family":"Biton","given":"Jerome"},{"family":"Germain","given":"Claire"},{"family":"Lupo","given":"Audrey"},{"family":"Fridman","given":"Wolf Herve"},{"family":"Dieu-Nosjean","given":"Marie-Caroline"},{"family":"Kroemer","given":"Guido"},{"family":"Sautès-Fridman","given":"Catherine"},{"family":"Cremer","given":"Isabelle"}],"accessed":{"date-parts":[["2022",4,25]]},"issued":{"date-parts":[["2016",4,1]]},"citation-key":"fucikova_calreticulin_2016"}}],"schema":"https://github.com/citation-style-language/schema/raw/master/csl-citation.json"} </w:instrText>
      </w:r>
      <w:r w:rsidR="00A27485" w:rsidRPr="002A7128">
        <w:rPr>
          <w:rFonts w:ascii="Calibri" w:hAnsi="Calibri" w:cs="Calibri"/>
        </w:rPr>
        <w:fldChar w:fldCharType="separate"/>
      </w:r>
      <w:r w:rsidR="00317E7D" w:rsidRPr="002A7128">
        <w:rPr>
          <w:rFonts w:ascii="Calibri" w:hAnsi="Calibri" w:cs="Calibri"/>
          <w:vertAlign w:val="superscript"/>
        </w:rPr>
        <w:t>53</w:t>
      </w:r>
      <w:r w:rsidR="00A27485" w:rsidRPr="002A7128">
        <w:rPr>
          <w:rFonts w:ascii="Calibri" w:hAnsi="Calibri" w:cs="Calibri"/>
        </w:rPr>
        <w:fldChar w:fldCharType="end"/>
      </w:r>
      <w:r w:rsidR="00A27485" w:rsidRPr="002A7128">
        <w:rPr>
          <w:rFonts w:ascii="Calibri" w:hAnsi="Calibri" w:cs="Calibri"/>
        </w:rPr>
        <w:t>, a protein functions in response to cell stress. Later it was shown that eIF2</w:t>
      </w:r>
      <w:r w:rsidR="005140F7" w:rsidRPr="005140F7">
        <w:rPr>
          <w:rFonts w:ascii="Symbol" w:hAnsi="Symbol" w:cs="Calibri"/>
        </w:rPr>
        <w:t>a</w:t>
      </w:r>
      <w:r w:rsidR="00A27485" w:rsidRPr="002A7128">
        <w:rPr>
          <w:rFonts w:ascii="Calibri" w:hAnsi="Calibri" w:cs="Calibri"/>
        </w:rPr>
        <w:t xml:space="preserve"> phosphorylation is a hallmark of ICD</w:t>
      </w:r>
      <w:r w:rsidR="00A27485" w:rsidRPr="002A7128">
        <w:rPr>
          <w:rFonts w:ascii="Calibri" w:hAnsi="Calibri" w:cs="Calibri"/>
        </w:rPr>
        <w:fldChar w:fldCharType="begin"/>
      </w:r>
      <w:r w:rsidR="00317E7D" w:rsidRPr="002A7128">
        <w:rPr>
          <w:rFonts w:ascii="Calibri" w:hAnsi="Calibri" w:cs="Calibri"/>
        </w:rPr>
        <w:instrText xml:space="preserve"> ADDIN ZOTERO_ITEM CSL_CITATION {"citationID":"TJRjhKb0","properties":{"formattedCitation":"\\super 54\\nosupersub{}","plainCitation":"54","noteIndex":0},"citationItems":[{"id":10265,"uris":["http://zotero.org/groups/2667333/items/GSRJJ3GT"],"itemData":{"id":10265,"type":"article-journal","container-title":"Cell Death &amp; Differentiation","DOI":"10.1038/s41418-017-0044-9","ISSN":"1350-9047, 1476-5403","issue":"8","journalAbbreviation":"Cell Death Differ","language":"en","page":"1375-1393","source":"DOI.org (Crossref)","title":"eIF2α phosphorylation is pathognomonic for immunogenic cell death","URL":"http://www.nature.com/articles/s41418-017-0044-9","volume":"25","author":[{"family":"Bezu","given":"Lucillia"},{"family":"Sauvat","given":"Allan"},{"family":"Humeau","given":"Juliette"},{"family":"Gomes-da-Silva","given":"Lígia C."},{"family":"Iribarren","given":"Kristina"},{"family":"Forveille","given":"Sabrina"},{"family":"Garcia","given":"Pauline"},{"family":"Zhao","given":"Liwei"},{"family":"Liu","given":"Peng"},{"family":"Zitvogel","given":"Laurence"},{"family":"Senovilla","given":"Laura"},{"family":"Kepp","given":"Oliver"},{"family":"Kroemer","given":"Guido"}],"accessed":{"date-parts":[["2022",4,18]]},"issued":{"date-parts":[["2018",8]]},"citation-key":"bezu_eif2_2018"}}],"schema":"https://github.com/citation-style-language/schema/raw/master/csl-citation.json"} </w:instrText>
      </w:r>
      <w:r w:rsidR="00A27485" w:rsidRPr="002A7128">
        <w:rPr>
          <w:rFonts w:ascii="Calibri" w:hAnsi="Calibri" w:cs="Calibri"/>
        </w:rPr>
        <w:fldChar w:fldCharType="separate"/>
      </w:r>
      <w:r w:rsidR="00317E7D" w:rsidRPr="002A7128">
        <w:rPr>
          <w:rFonts w:ascii="Calibri" w:hAnsi="Calibri" w:cs="Calibri"/>
          <w:vertAlign w:val="superscript"/>
        </w:rPr>
        <w:t>54</w:t>
      </w:r>
      <w:r w:rsidR="00A27485" w:rsidRPr="002A7128">
        <w:rPr>
          <w:rFonts w:ascii="Calibri" w:hAnsi="Calibri" w:cs="Calibri"/>
        </w:rPr>
        <w:fldChar w:fldCharType="end"/>
      </w:r>
      <w:r w:rsidR="00A27485" w:rsidRPr="002A7128">
        <w:rPr>
          <w:rFonts w:ascii="Calibri" w:hAnsi="Calibri" w:cs="Calibri"/>
        </w:rPr>
        <w:t xml:space="preserve"> and sole ER stress marker required for the surface localization of </w:t>
      </w:r>
      <w:r>
        <w:rPr>
          <w:rFonts w:ascii="Calibri" w:hAnsi="Calibri" w:cs="Calibri"/>
        </w:rPr>
        <w:t>CRT</w:t>
      </w:r>
      <w:r w:rsidR="00A27485" w:rsidRPr="002A7128">
        <w:rPr>
          <w:rFonts w:ascii="Calibri" w:hAnsi="Calibri" w:cs="Calibri"/>
        </w:rPr>
        <w:fldChar w:fldCharType="begin"/>
      </w:r>
      <w:r w:rsidR="00317E7D" w:rsidRPr="002A7128">
        <w:rPr>
          <w:rFonts w:ascii="Calibri" w:hAnsi="Calibri" w:cs="Calibri"/>
        </w:rPr>
        <w:instrText xml:space="preserve"> ADDIN ZOTERO_ITEM CSL_CITATION {"citationID":"r4OgQtka","properties":{"formattedCitation":"\\super 54\\nosupersub{}","plainCitation":"54","noteIndex":0},"citationItems":[{"id":10265,"uris":["http://zotero.org/groups/2667333/items/GSRJJ3GT"],"itemData":{"id":10265,"type":"article-journal","container-title":"Cell Death &amp; Differentiation","DOI":"10.1038/s41418-017-0044-9","ISSN":"1350-9047, 1476-5403","issue":"8","journalAbbreviation":"Cell Death Differ","language":"en","page":"1375-1393","source":"DOI.org (Crossref)","title":"eIF2α phosphorylation is pathognomonic for immunogenic cell death","URL":"http://www.nature.com/articles/s41418-017-0044-9","volume":"25","author":[{"family":"Bezu","given":"Lucillia"},{"family":"Sauvat","given":"Allan"},{"family":"Humeau","given":"Juliette"},{"family":"Gomes-da-Silva","given":"Lígia C."},{"family":"Iribarren","given":"Kristina"},{"family":"Forveille","given":"Sabrina"},{"family":"Garcia","given":"Pauline"},{"family":"Zhao","given":"Liwei"},{"family":"Liu","given":"Peng"},{"family":"Zitvogel","given":"Laurence"},{"family":"Senovilla","given":"Laura"},{"family":"Kepp","given":"Oliver"},{"family":"Kroemer","given":"Guido"}],"accessed":{"date-parts":[["2022",4,18]]},"issued":{"date-parts":[["2018",8]]},"citation-key":"bezu_eif2_2018"}}],"schema":"https://github.com/citation-style-language/schema/raw/master/csl-citation.json"} </w:instrText>
      </w:r>
      <w:r w:rsidR="00A27485" w:rsidRPr="002A7128">
        <w:rPr>
          <w:rFonts w:ascii="Calibri" w:hAnsi="Calibri" w:cs="Calibri"/>
        </w:rPr>
        <w:fldChar w:fldCharType="separate"/>
      </w:r>
      <w:r w:rsidR="00317E7D" w:rsidRPr="002A7128">
        <w:rPr>
          <w:rFonts w:ascii="Calibri" w:hAnsi="Calibri" w:cs="Calibri"/>
          <w:vertAlign w:val="superscript"/>
        </w:rPr>
        <w:t>54</w:t>
      </w:r>
      <w:r w:rsidR="00A27485" w:rsidRPr="002A7128">
        <w:rPr>
          <w:rFonts w:ascii="Calibri" w:hAnsi="Calibri" w:cs="Calibri"/>
        </w:rPr>
        <w:fldChar w:fldCharType="end"/>
      </w:r>
      <w:r w:rsidR="00A27485" w:rsidRPr="002A7128">
        <w:rPr>
          <w:rFonts w:ascii="Calibri" w:hAnsi="Calibri" w:cs="Calibri"/>
        </w:rPr>
        <w:t>. A knock-in mutation preventing eIF2</w:t>
      </w:r>
      <w:r w:rsidR="005140F7" w:rsidRPr="005140F7">
        <w:rPr>
          <w:rFonts w:ascii="Symbol" w:hAnsi="Symbol" w:cs="Calibri"/>
        </w:rPr>
        <w:t>a</w:t>
      </w:r>
      <w:r w:rsidR="005140F7" w:rsidRPr="002A7128">
        <w:rPr>
          <w:rFonts w:ascii="Calibri" w:hAnsi="Calibri" w:cs="Calibri"/>
          <w:vertAlign w:val="superscript"/>
        </w:rPr>
        <w:t xml:space="preserve"> </w:t>
      </w:r>
      <w:r w:rsidR="00A27485" w:rsidRPr="002A7128">
        <w:rPr>
          <w:rFonts w:ascii="Calibri" w:hAnsi="Calibri" w:cs="Calibri"/>
          <w:vertAlign w:val="superscript"/>
        </w:rPr>
        <w:t>(S51A)</w:t>
      </w:r>
      <w:r w:rsidR="00A27485" w:rsidRPr="002A7128">
        <w:rPr>
          <w:rFonts w:ascii="Calibri" w:hAnsi="Calibri" w:cs="Calibri"/>
        </w:rPr>
        <w:t xml:space="preserve"> phosphorylation abolished surface localization of </w:t>
      </w:r>
      <w:r>
        <w:rPr>
          <w:rFonts w:ascii="Calibri" w:hAnsi="Calibri" w:cs="Calibri"/>
        </w:rPr>
        <w:t>CRT</w:t>
      </w:r>
      <w:r w:rsidR="00A27485" w:rsidRPr="002A7128">
        <w:rPr>
          <w:rFonts w:ascii="Calibri" w:hAnsi="Calibri" w:cs="Calibri"/>
        </w:rPr>
        <w:t xml:space="preserve"> upon mitoxantrone and oxaliplatin treatment</w:t>
      </w:r>
      <w:r w:rsidR="00A27485" w:rsidRPr="002A7128">
        <w:rPr>
          <w:rFonts w:ascii="Calibri" w:hAnsi="Calibri" w:cs="Calibri"/>
        </w:rPr>
        <w:fldChar w:fldCharType="begin"/>
      </w:r>
      <w:r w:rsidR="00317E7D" w:rsidRPr="002A7128">
        <w:rPr>
          <w:rFonts w:ascii="Calibri" w:hAnsi="Calibri" w:cs="Calibri"/>
        </w:rPr>
        <w:instrText xml:space="preserve"> ADDIN ZOTERO_ITEM CSL_CITATION {"citationID":"1hDb3yrz","properties":{"formattedCitation":"\\super 55\\nosupersub{}","plainCitation":"55","noteIndex":0},"citationItems":[{"id":10600,"uris":["http://zotero.org/groups/2667333/items/RITWSYUM"],"itemData":{"id":10600,"type":"article-journal","container-title":"The EMBO Journal","DOI":"10.1038/emboj.2009.1","ISSN":"0261-4189, 1460-2075","issue":"5","journalAbbreviation":"EMBO J","page":"578-590","source":"DOI.org (Crossref)","title":"Mechanisms of pre-apoptotic calreticulin exposure in immunogenic cell death","URL":"http://emboj.embopress.org/cgi/doi/10.1038/emboj.2009.1","volume":"28","author":[{"family":"Panaretakis","given":"Theocharis"},{"family":"Kepp","given":"Oliver"},{"family":"Brockmeier","given":"Ulf"},{"family":"Tesniere","given":"Antoine"},{"family":"Bjorklund","given":"Ann-Charlotte"},{"family":"Chapman","given":"Daniel C"},{"family":"Durchschlag","given":"Michael"},{"family":"Joza","given":"Nicholas"},{"family":"Pierron","given":"Gérard"},{"family":"Endert","given":"Peter","non-dropping-particle":"van"},{"family":"Yuan","given":"Junying"},{"family":"Zitvogel","given":"Laurence"},{"family":"Madeo","given":"Frank"},{"family":"Williams","given":"David B"},{"family":"Kroemer","given":"Guido"}],"accessed":{"date-parts":[["2022",5,22]]},"issued":{"date-parts":[["2009",3,4]]},"citation-key":"panaretakis_mechanisms_2009"}}],"schema":"https://github.com/citation-style-language/schema/raw/master/csl-citation.json"} </w:instrText>
      </w:r>
      <w:r w:rsidR="00A27485" w:rsidRPr="002A7128">
        <w:rPr>
          <w:rFonts w:ascii="Calibri" w:hAnsi="Calibri" w:cs="Calibri"/>
        </w:rPr>
        <w:fldChar w:fldCharType="separate"/>
      </w:r>
      <w:r w:rsidR="00317E7D" w:rsidRPr="002A7128">
        <w:rPr>
          <w:rFonts w:ascii="Calibri" w:hAnsi="Calibri" w:cs="Calibri"/>
          <w:vertAlign w:val="superscript"/>
        </w:rPr>
        <w:t>55</w:t>
      </w:r>
      <w:r w:rsidR="00A27485" w:rsidRPr="002A7128">
        <w:rPr>
          <w:rFonts w:ascii="Calibri" w:hAnsi="Calibri" w:cs="Calibri"/>
        </w:rPr>
        <w:fldChar w:fldCharType="end"/>
      </w:r>
      <w:r w:rsidR="00A27485" w:rsidRPr="002A7128">
        <w:rPr>
          <w:rFonts w:ascii="Calibri" w:hAnsi="Calibri" w:cs="Calibri"/>
        </w:rPr>
        <w:t xml:space="preserve">. On the other hand, in photodynamic therapy </w:t>
      </w:r>
      <w:r>
        <w:rPr>
          <w:rFonts w:ascii="Calibri" w:hAnsi="Calibri" w:cs="Calibri"/>
        </w:rPr>
        <w:t>CRT</w:t>
      </w:r>
      <w:r w:rsidR="00A27485" w:rsidRPr="002A7128">
        <w:rPr>
          <w:rFonts w:ascii="Calibri" w:hAnsi="Calibri" w:cs="Calibri"/>
        </w:rPr>
        <w:t xml:space="preserve"> surface localization was dispensable of eIF2</w:t>
      </w:r>
      <w:r w:rsidR="00A27485" w:rsidRPr="005140F7">
        <w:rPr>
          <w:rFonts w:ascii="Symbol" w:hAnsi="Symbol" w:cs="Calibri"/>
        </w:rPr>
        <w:t>a</w:t>
      </w:r>
      <w:r w:rsidR="00A27485" w:rsidRPr="002A7128">
        <w:rPr>
          <w:rFonts w:ascii="Calibri" w:hAnsi="Calibri" w:cs="Calibri"/>
        </w:rPr>
        <w:t xml:space="preserve"> phosphorylation</w:t>
      </w:r>
      <w:r w:rsidR="00A27485" w:rsidRPr="002A7128">
        <w:rPr>
          <w:rFonts w:ascii="Calibri" w:hAnsi="Calibri" w:cs="Calibri"/>
        </w:rPr>
        <w:fldChar w:fldCharType="begin"/>
      </w:r>
      <w:r w:rsidR="00317E7D" w:rsidRPr="002A7128">
        <w:rPr>
          <w:rFonts w:ascii="Calibri" w:hAnsi="Calibri" w:cs="Calibri"/>
        </w:rPr>
        <w:instrText xml:space="preserve"> ADDIN ZOTERO_ITEM CSL_CITATION {"citationID":"mmMejt4i","properties":{"formattedCitation":"\\super 56\\nosupersub{}","plainCitation":"56","noteIndex":0},"citationItems":[{"id":10602,"uris":["http://zotero.org/groups/2667333/items/FZSJS98F"],"itemData":{"id":10602,"type":"article-journal","container-title":"The EMBO Journal","DOI":"10.1038/emboj.2011.497","ISSN":"02614189","issue":"5","language":"en","page":"1062-1079","source":"DOI.org (Crossref)","title":"A novel pathway combining calreticulin exposure and ATP secretion in immunogenic cancer cell death: CRT, ATP, and immunogenic cancer cell death","title-short":"A novel pathway combining calreticulin exposure and ATP secretion in immunogenic cancer cell death","URL":"http://emboj.embopress.org/cgi/doi/10.1038/emboj.2011.497","volume":"31","author":[{"family":"Garg","given":"Abhishek D"},{"family":"Krysko","given":"Dmitri V"},{"family":"Verfaillie","given":"Tom"},{"family":"Kaczmarek","given":"Agnieszka"},{"family":"Ferreira","given":"Gabriela B"},{"family":"Marysael","given":"Thierry"},{"family":"Rubio","given":"Noemi"},{"family":"Firczuk","given":"Malgorzata"},{"family":"Mathieu","given":"Chantal"},{"family":"Roebroek","given":"Anton J M"},{"family":"Annaert","given":"Wim"},{"family":"Golab","given":"Jakub"},{"family":"Witte","given":"Peter","non-dropping-particle":"de"},{"family":"Vandenabeele","given":"Peter"},{"family":"Agostinis","given":"Patrizia"}],"accessed":{"date-parts":[["2022",5,22]]},"issued":{"date-parts":[["2012",3,7]]},"citation-key":"garg_novel_2012"}}],"schema":"https://github.com/citation-style-language/schema/raw/master/csl-citation.json"} </w:instrText>
      </w:r>
      <w:r w:rsidR="00A27485" w:rsidRPr="002A7128">
        <w:rPr>
          <w:rFonts w:ascii="Calibri" w:hAnsi="Calibri" w:cs="Calibri"/>
        </w:rPr>
        <w:fldChar w:fldCharType="separate"/>
      </w:r>
      <w:r w:rsidR="00317E7D" w:rsidRPr="002A7128">
        <w:rPr>
          <w:rFonts w:ascii="Calibri" w:hAnsi="Calibri" w:cs="Calibri"/>
          <w:vertAlign w:val="superscript"/>
        </w:rPr>
        <w:t>56</w:t>
      </w:r>
      <w:r w:rsidR="00A27485" w:rsidRPr="002A7128">
        <w:rPr>
          <w:rFonts w:ascii="Calibri" w:hAnsi="Calibri" w:cs="Calibri"/>
        </w:rPr>
        <w:fldChar w:fldCharType="end"/>
      </w:r>
      <w:r w:rsidR="00A27485" w:rsidRPr="002A7128">
        <w:rPr>
          <w:rFonts w:ascii="Calibri" w:hAnsi="Calibri" w:cs="Calibri"/>
        </w:rPr>
        <w:t xml:space="preserve">. Therefore, it should be stated that the molecular mechanism governing these processes remains to be fully explored and different techniques conveys through different mechanism to induce ICD. </w:t>
      </w:r>
    </w:p>
    <w:p w14:paraId="1FDEAF6B" w14:textId="77777777" w:rsidR="00A27485" w:rsidRPr="002A7128" w:rsidRDefault="00A27485">
      <w:pPr>
        <w:pStyle w:val="Heading2"/>
        <w:numPr>
          <w:ilvl w:val="2"/>
          <w:numId w:val="2"/>
        </w:numPr>
        <w:spacing w:line="480" w:lineRule="auto"/>
        <w:ind w:left="1224" w:hanging="504"/>
        <w:jc w:val="both"/>
        <w:rPr>
          <w:rFonts w:ascii="Calibri" w:hAnsi="Calibri" w:cs="Calibri"/>
        </w:rPr>
      </w:pPr>
      <w:bookmarkStart w:id="21" w:name="_Toc115787967"/>
      <w:bookmarkStart w:id="22" w:name="_Toc120794125"/>
      <w:r w:rsidRPr="002A7128">
        <w:rPr>
          <w:rFonts w:ascii="Calibri" w:hAnsi="Calibri" w:cs="Calibri"/>
        </w:rPr>
        <w:t>Heat Shock Proteins</w:t>
      </w:r>
      <w:bookmarkEnd w:id="21"/>
      <w:bookmarkEnd w:id="22"/>
    </w:p>
    <w:p w14:paraId="37181405" w14:textId="4A72F2AF" w:rsidR="00A27485" w:rsidRPr="002A7128" w:rsidRDefault="00A27485" w:rsidP="002B27CA">
      <w:pPr>
        <w:spacing w:line="480" w:lineRule="auto"/>
        <w:jc w:val="both"/>
        <w:rPr>
          <w:rFonts w:ascii="Calibri" w:hAnsi="Calibri" w:cs="Calibri"/>
        </w:rPr>
      </w:pPr>
      <w:r w:rsidRPr="002A7128">
        <w:rPr>
          <w:rFonts w:ascii="Calibri" w:hAnsi="Calibri" w:cs="Calibri"/>
        </w:rPr>
        <w:t>Heat shock proteins (HSPs) have been studied extensively for their role as DAMPs. They are conserved proteins and are the most abundant intracellular proteins in cells</w:t>
      </w:r>
      <w:r w:rsidRPr="002A7128">
        <w:rPr>
          <w:rFonts w:ascii="Calibri" w:hAnsi="Calibri" w:cs="Calibri"/>
        </w:rPr>
        <w:fldChar w:fldCharType="begin"/>
      </w:r>
      <w:r w:rsidR="00317E7D" w:rsidRPr="002A7128">
        <w:rPr>
          <w:rFonts w:ascii="Calibri" w:hAnsi="Calibri" w:cs="Calibri"/>
        </w:rPr>
        <w:instrText xml:space="preserve"> ADDIN ZOTERO_ITEM CSL_CITATION {"citationID":"a1llmcaaokf","properties":{"formattedCitation":"\\super 57\\nosupersub{}","plainCitation":"57","noteIndex":0},"citationItems":[{"id":11565,"uris":["http://zotero.org/groups/2667333/items/KGFU2CHP"],"itemData":{"id":11565,"type":"article-journal","container-title":"The Open Inflammation Journal","DOI":"10.2174/1875041901104010049","ISSN":"18750419","issue":"1","journalAbbreviation":"TOINFJ","language":"en","page":"49-60","source":"DOI.org (Crossref)","title":"Extracellular Heat Shock Proteins: Alarmins for the Host Immune System","title-short":"Extracellular Heat Shock Proteins","URL":"http://benthamopen.com/ABSTRACT/TOINFJ-4-49","volume":"4","author":[{"family":"S. Wheeler","given":"Derek"}],"accessed":{"date-parts":[["2022",8,14]]},"issued":{"date-parts":[["2011",10,7]]},"citation-key":"s_wheeler_extracellular_2011"}}],"schema":"https://github.com/citation-style-language/schema/raw/master/csl-citation.json"}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57</w:t>
      </w:r>
      <w:r w:rsidRPr="002A7128">
        <w:rPr>
          <w:rFonts w:ascii="Calibri" w:hAnsi="Calibri" w:cs="Calibri"/>
        </w:rPr>
        <w:fldChar w:fldCharType="end"/>
      </w:r>
      <w:r w:rsidRPr="002A7128">
        <w:rPr>
          <w:rFonts w:ascii="Calibri" w:hAnsi="Calibri" w:cs="Calibri"/>
        </w:rPr>
        <w:t xml:space="preserve">. They are released upon necrosis and are capable to engage inflammatory signaling through </w:t>
      </w:r>
      <w:proofErr w:type="spellStart"/>
      <w:r w:rsidRPr="002A7128">
        <w:rPr>
          <w:rFonts w:ascii="Calibri" w:hAnsi="Calibri" w:cs="Calibri"/>
        </w:rPr>
        <w:t>NFkB</w:t>
      </w:r>
      <w:proofErr w:type="spellEnd"/>
      <w:r w:rsidRPr="002A7128">
        <w:rPr>
          <w:rFonts w:ascii="Calibri" w:hAnsi="Calibri" w:cs="Calibri"/>
        </w:rPr>
        <w:t xml:space="preserve"> pathway in DCs</w:t>
      </w:r>
      <w:r w:rsidRPr="002A7128">
        <w:rPr>
          <w:rFonts w:ascii="Calibri" w:hAnsi="Calibri" w:cs="Calibri"/>
        </w:rPr>
        <w:fldChar w:fldCharType="begin"/>
      </w:r>
      <w:r w:rsidR="00317E7D" w:rsidRPr="002A7128">
        <w:rPr>
          <w:rFonts w:ascii="Calibri" w:hAnsi="Calibri" w:cs="Calibri"/>
        </w:rPr>
        <w:instrText xml:space="preserve"> ADDIN ZOTERO_ITEM CSL_CITATION {"citationID":"a1olco3nbde","properties":{"formattedCitation":"\\super 58\\nosupersub{}","plainCitation":"58","noteIndex":0},"citationItems":[{"id":2983,"uris":["http://zotero.org/groups/2667333/items/9FB8DXJG"],"itemData":{"id":2983,"type":"article-journal","abstract":"Abstract.  Dendritic cells (DC) are key components of innate and adaptive immune responses. The identity of endogenous signals that activate DC is a crucial and","container-title":"International Immunology","DOI":"10.1093/intimm/12.11.1539","ISSN":"0953-8178","issue":"11","journalAbbreviation":"Int Immunol","language":"en","note":"ZSCC: 0001504 \npublisher: Oxford Academic\ntex.ids= basu_necrotic_2000-1","page":"1539-1546","source":"academic.oup.com","title":"Necrotic but not apoptotic cell death releases heat shock proteins, which deliver a partial maturation signal to dendritic cells and activate the NF-κB pathway","URL":"https://academic.oup.com/intimm/article/12/11/1539/783824","volume":"12","author":[{"family":"Basu","given":"Sreyashi"},{"family":"Binder","given":"Robert J."},{"family":"Suto","given":"Ryuichiro"},{"family":"Anderson","given":"Kirstin M."},{"family":"Srivastava","given":"Pramod K."}],"accessed":{"date-parts":[["2020",8,8]]},"issued":{"date-parts":[["2000",11,1]]},"citation-key":"basu_necrotic_2000-1"}}],"schema":"https://github.com/citation-style-language/schema/raw/master/csl-citation.json"}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58</w:t>
      </w:r>
      <w:r w:rsidRPr="002A7128">
        <w:rPr>
          <w:rFonts w:ascii="Calibri" w:hAnsi="Calibri" w:cs="Calibri"/>
        </w:rPr>
        <w:fldChar w:fldCharType="end"/>
      </w:r>
      <w:r w:rsidRPr="002A7128">
        <w:rPr>
          <w:rFonts w:ascii="Calibri" w:hAnsi="Calibri" w:cs="Calibri"/>
        </w:rPr>
        <w:t xml:space="preserve">. Bortezomib (a chemotherapeutic drug) was shown to induce anti-tumor immunity via cell surface </w:t>
      </w:r>
      <w:r w:rsidRPr="002A7128">
        <w:rPr>
          <w:rFonts w:ascii="Calibri" w:hAnsi="Calibri" w:cs="Calibri"/>
        </w:rPr>
        <w:lastRenderedPageBreak/>
        <w:t>exposure of HSP90 on tumor cells, which was abolished in the presence of geldanamycin (HSP90 inhibitor)</w:t>
      </w:r>
      <w:r w:rsidRPr="002A7128">
        <w:rPr>
          <w:rFonts w:ascii="Calibri" w:hAnsi="Calibri" w:cs="Calibri"/>
        </w:rPr>
        <w:fldChar w:fldCharType="begin"/>
      </w:r>
      <w:r w:rsidR="00317E7D" w:rsidRPr="002A7128">
        <w:rPr>
          <w:rFonts w:ascii="Calibri" w:hAnsi="Calibri" w:cs="Calibri"/>
        </w:rPr>
        <w:instrText xml:space="preserve"> ADDIN ZOTERO_ITEM CSL_CITATION {"citationID":"a1ffhvk8ukv","properties":{"formattedCitation":"\\super 59\\nosupersub{}","plainCitation":"59","noteIndex":0},"citationItems":[{"id":2415,"uris":["http://zotero.org/groups/2667333/items/EQDXCSYQ"],"itemData":{"id":2415,"type":"article-journal","abstract":"Abstract. Most anticancer chemotherapies are immunosuppressive and induce nonimmunogenic tumor cell death. Bortezomib, a specific inhibitor of 26S proteasome,","container-title":"Blood","DOI":"10.1182/blood-2006-10-054221","ISSN":"0006-4971","issue":"11","journalAbbreviation":"Blood","language":"en","note":"ZSCC: NoCitationData[s1] \npublisher: American Society of Hematology","page":"4839-4845","source":"ashpublications.org","title":"Bortezomib enhances dendritic cell (DC)–mediated induction of immunity to human myeloma via exposure of cell surface heat shock protein 90 on dying tumor cells: therapeutic implications","title-short":"Bortezomib enhances dendritic cell (DC)–mediated induction of immunity to human myeloma via exposure of cell surface heat shock protein 90 on dying tumor cells","URL":"https://ashpublications.org/blood/article/109/11/4839/23025/Bortezomib-enhances-dendritic-cell-DC-mediated","volume":"109","author":[{"family":"Spisek","given":"Radek"},{"family":"Charalambous","given":"Anna"},{"family":"Mazumder","given":"Amitabha"},{"family":"Vesole","given":"David H."},{"family":"Jagannath","given":"Sundar"},{"family":"Dhodapkar","given":"Madhav V."}],"accessed":{"date-parts":[["2020",8,8]]},"issued":{"date-parts":[["2007",6,1]]},"citation-key":"spisek_bortezomib_2007"}}],"schema":"https://github.com/citation-style-language/schema/raw/master/csl-citation.json"}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59</w:t>
      </w:r>
      <w:r w:rsidRPr="002A7128">
        <w:rPr>
          <w:rFonts w:ascii="Calibri" w:hAnsi="Calibri" w:cs="Calibri"/>
        </w:rPr>
        <w:fldChar w:fldCharType="end"/>
      </w:r>
      <w:r w:rsidRPr="002A7128">
        <w:rPr>
          <w:rFonts w:ascii="Calibri" w:hAnsi="Calibri" w:cs="Calibri"/>
        </w:rPr>
        <w:t>. Additionally, HSP90 was shown to act as a chaperone for extracellular antigens and leading to DC cross presentation</w:t>
      </w:r>
      <w:r w:rsidRPr="002A7128">
        <w:rPr>
          <w:rFonts w:ascii="Calibri" w:hAnsi="Calibri" w:cs="Calibri"/>
        </w:rPr>
        <w:fldChar w:fldCharType="begin"/>
      </w:r>
      <w:r w:rsidR="00317E7D" w:rsidRPr="002A7128">
        <w:rPr>
          <w:rFonts w:ascii="Calibri" w:hAnsi="Calibri" w:cs="Calibri"/>
        </w:rPr>
        <w:instrText xml:space="preserve"> ADDIN ZOTERO_ITEM CSL_CITATION {"citationID":"a19ncln75kf","properties":{"formattedCitation":"\\super 34\\nosupersub{}","plainCitation":"34","noteIndex":0},"citationItems":[{"id":5705,"uris":["http://zotero.org/groups/2667333/items/W66JDSIS"],"itemData":{"id":5705,"type":"article-journal","abstract":"In antigen (Ag) cross-presentation, dendritic cells (DCs) take up extracellular Ag and translocate them from the endosome to the cytosol for proteasomal degradation. The processed peptides can enter the conventional MHC I pathway. The molecules responsible for the translocation of Ag across the endosomal membrane into the cytosol are unknown. Here we demonstrate that heat shock protein 90 (HSP90) is critical for this step. Cross-presentation and -priming were decreased in both HSP90α-null DCs and mice. CD8α+ DC apoptosis mediated by translocation of exogenous cytochrome c to the cytosol was also eliminated in HSP90α-null mice. Ag translocation into the cytosol was diminished in HSP90α-null DCs and in DCs treated with an HSP90 inhibitor. Internalized Ag was associated with HSP90 and translocated to the cytosol, a process abrogated by the HSP90 inhibitor. Ag within purified phagosomes was released in an HSP90-dependent manner. These results demonstrate the important role of HSP90 in cross-presentation by pulling endosomal Ag out into the cytosol.","container-title":"Proceedings of the National Academy of Sciences","DOI":"10.1073/pnas.1108372108","ISSN":"0027-8424, 1091-6490","issue":"39","journalAbbreviation":"PNAS","language":"en","license":"©  . Freely available online through the PNAS open access option.","note":"publisher: National Academy of Sciences\nsection: Biological Sciences\nPMID: 21930907","page":"16363-16368","source":"www.pnas.org","title":"Heat shock protein 90 (HSP90) contributes to cytosolic translocation of extracellular antigen for cross-presentation by dendritic cells","URL":"https://www.pnas.org/content/108/39/16363","volume":"108","author":[{"family":"Imai","given":"Takashi"},{"family":"Kato","given":"Yu"},{"family":"Kajiwara","given":"Chiaki"},{"family":"Mizukami","given":"Shusaku"},{"family":"Ishige","given":"Ikuo"},{"family":"Ichiyanagi","given":"Tomoko"},{"family":"Hikida","given":"Masaki"},{"family":"Wang","given":"Ji-Yang"},{"family":"Udono","given":"Heiichiro"}],"accessed":{"date-parts":[["2021",1,28]]},"issued":{"date-parts":[["2011",9,27]]},"citation-key":"imai_heat_2011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34</w:t>
      </w:r>
      <w:r w:rsidRPr="002A7128">
        <w:rPr>
          <w:rFonts w:ascii="Calibri" w:hAnsi="Calibri" w:cs="Calibri"/>
        </w:rPr>
        <w:fldChar w:fldCharType="end"/>
      </w:r>
      <w:r w:rsidRPr="002A7128">
        <w:rPr>
          <w:rFonts w:ascii="Calibri" w:hAnsi="Calibri" w:cs="Calibri"/>
        </w:rPr>
        <w:t>. Additionally, other members of HSPs like HSP70 was shown to act as a cytokine and stimulate cytokine production from human monocytes</w:t>
      </w:r>
      <w:r w:rsidRPr="002A7128">
        <w:rPr>
          <w:rFonts w:ascii="Calibri" w:hAnsi="Calibri" w:cs="Calibri"/>
        </w:rPr>
        <w:fldChar w:fldCharType="begin"/>
      </w:r>
      <w:r w:rsidR="00317E7D" w:rsidRPr="002A7128">
        <w:rPr>
          <w:rFonts w:ascii="Calibri" w:hAnsi="Calibri" w:cs="Calibri"/>
        </w:rPr>
        <w:instrText xml:space="preserve"> ADDIN ZOTERO_ITEM CSL_CITATION {"citationID":"ai5okdok62","properties":{"formattedCitation":"\\super 33\\nosupersub{}","plainCitation":"33","noteIndex":0},"citationItems":[{"id":10575,"uris":["http://zotero.org/groups/2667333/items/YIWT73QN"],"itemData":{"id":10575,"type":"article-journal","container-title":"Nature Medicine","DOI":"10.1038/74697","ISSN":"1078-8956, 1546-170X","issue":"4","journalAbbreviation":"Nat Med","language":"en","page":"435-442","source":"DOI.org (Crossref)","title":"HSP70 stimulates cytokine production through a CD14-dependant pathway, demonstrating its dual role as a chaperone and cytokine","URL":"http://www.nature.com/articles/nm0400_435","volume":"6","author":[{"family":"Asea","given":"Alexzander"},{"family":"Kraeft","given":"Stine-Kathrein"},{"family":"Kurt-Jones","given":"Evelyn A."},{"family":"Stevenson","given":"Mary Ann"},{"family":"Chen","given":"Lan Bo"},{"family":"Finberg","given":"Robert W."},{"family":"Koo","given":"Gloria C."},{"family":"Calderwood","given":"Stuart K."}],"accessed":{"date-parts":[["2022",5,17]]},"issued":{"date-parts":[["2000",4]]},"citation-key":"asea_hsp70_2000"}}],"schema":"https://github.com/citation-style-language/schema/raw/master/csl-citation.json"}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33</w:t>
      </w:r>
      <w:r w:rsidRPr="002A7128">
        <w:rPr>
          <w:rFonts w:ascii="Calibri" w:hAnsi="Calibri" w:cs="Calibri"/>
        </w:rPr>
        <w:fldChar w:fldCharType="end"/>
      </w:r>
      <w:r w:rsidRPr="002A7128">
        <w:rPr>
          <w:rFonts w:ascii="Calibri" w:hAnsi="Calibri" w:cs="Calibri"/>
        </w:rPr>
        <w:t xml:space="preserve">. </w:t>
      </w:r>
    </w:p>
    <w:p w14:paraId="31C4E4DA" w14:textId="77777777" w:rsidR="00A27485" w:rsidRPr="002A7128" w:rsidRDefault="00A27485">
      <w:pPr>
        <w:pStyle w:val="Heading2"/>
        <w:numPr>
          <w:ilvl w:val="2"/>
          <w:numId w:val="2"/>
        </w:numPr>
        <w:spacing w:line="480" w:lineRule="auto"/>
        <w:ind w:left="1224" w:hanging="504"/>
        <w:jc w:val="both"/>
        <w:rPr>
          <w:rFonts w:ascii="Calibri" w:hAnsi="Calibri" w:cs="Calibri"/>
        </w:rPr>
      </w:pPr>
      <w:bookmarkStart w:id="23" w:name="_Toc115787968"/>
      <w:bookmarkStart w:id="24" w:name="_Toc120794126"/>
      <w:r w:rsidRPr="002A7128">
        <w:rPr>
          <w:rFonts w:ascii="Calibri" w:hAnsi="Calibri" w:cs="Calibri"/>
        </w:rPr>
        <w:t>Interleukin-1 family cytokines</w:t>
      </w:r>
      <w:bookmarkEnd w:id="23"/>
      <w:bookmarkEnd w:id="24"/>
    </w:p>
    <w:p w14:paraId="698C3B49" w14:textId="3264ED7C" w:rsidR="00A27485" w:rsidRPr="002A7128" w:rsidRDefault="00A27485" w:rsidP="00A27485">
      <w:pPr>
        <w:spacing w:line="480" w:lineRule="auto"/>
        <w:jc w:val="both"/>
        <w:rPr>
          <w:rFonts w:ascii="Calibri" w:hAnsi="Calibri" w:cs="Calibri"/>
        </w:rPr>
      </w:pPr>
      <w:r w:rsidRPr="002A7128">
        <w:rPr>
          <w:rFonts w:ascii="Calibri" w:hAnsi="Calibri" w:cs="Calibri"/>
        </w:rPr>
        <w:t>IL-1 family refers to a set of cytokines including IL-1</w:t>
      </w:r>
      <w:r w:rsidRPr="005140F7">
        <w:rPr>
          <w:rFonts w:ascii="Symbol" w:hAnsi="Symbol" w:cs="Calibri"/>
        </w:rPr>
        <w:t>a</w:t>
      </w:r>
      <w:r w:rsidRPr="002A7128">
        <w:rPr>
          <w:rFonts w:ascii="Calibri" w:hAnsi="Calibri" w:cs="Calibri"/>
        </w:rPr>
        <w:t>, IL-1</w:t>
      </w:r>
      <w:r w:rsidRPr="005140F7">
        <w:rPr>
          <w:rFonts w:ascii="Symbol" w:hAnsi="Symbol" w:cs="Calibri"/>
        </w:rPr>
        <w:t>b</w:t>
      </w:r>
      <w:r w:rsidRPr="002A7128">
        <w:rPr>
          <w:rFonts w:ascii="Calibri" w:hAnsi="Calibri" w:cs="Calibri"/>
        </w:rPr>
        <w:t>, IL-18, Il-33, IL-36</w:t>
      </w:r>
      <w:r w:rsidRPr="005140F7">
        <w:rPr>
          <w:rFonts w:ascii="Symbol" w:hAnsi="Symbol" w:cs="Calibri"/>
        </w:rPr>
        <w:t>a</w:t>
      </w:r>
      <w:r w:rsidRPr="002A7128">
        <w:rPr>
          <w:rFonts w:ascii="Calibri" w:hAnsi="Calibri" w:cs="Calibri"/>
        </w:rPr>
        <w:t>, Il-36</w:t>
      </w:r>
      <w:r w:rsidRPr="005140F7">
        <w:rPr>
          <w:rFonts w:ascii="Symbol" w:hAnsi="Symbol" w:cs="Calibri"/>
        </w:rPr>
        <w:t>b</w:t>
      </w:r>
      <w:r w:rsidRPr="002A7128">
        <w:rPr>
          <w:rFonts w:ascii="Calibri" w:hAnsi="Calibri" w:cs="Calibri"/>
        </w:rPr>
        <w:t xml:space="preserve"> and IL-36</w:t>
      </w:r>
      <w:r w:rsidRPr="005140F7">
        <w:rPr>
          <w:rFonts w:ascii="Symbol" w:hAnsi="Symbol" w:cs="Calibri"/>
        </w:rPr>
        <w:t>g</w:t>
      </w:r>
      <w:r w:rsidRPr="002A7128">
        <w:rPr>
          <w:rFonts w:ascii="Calibri" w:hAnsi="Calibri" w:cs="Calibri"/>
        </w:rPr>
        <w:t>. These cytokines are released upon necrosis (unregulated and regulated forms)</w:t>
      </w:r>
      <w:r w:rsidRPr="002A7128">
        <w:rPr>
          <w:rFonts w:ascii="Calibri" w:hAnsi="Calibri" w:cs="Calibri"/>
        </w:rPr>
        <w:fldChar w:fldCharType="begin"/>
      </w:r>
      <w:r w:rsidR="00317E7D" w:rsidRPr="002A7128">
        <w:rPr>
          <w:rFonts w:ascii="Calibri" w:hAnsi="Calibri" w:cs="Calibri"/>
        </w:rPr>
        <w:instrText xml:space="preserve"> ADDIN ZOTERO_ITEM CSL_CITATION {"citationID":"a1eofnccu64","properties":{"formattedCitation":"\\super 60\\uc0\\u8211{}62\\nosupersub{}","plainCitation":"60–62","noteIndex":0},"citationItems":[{"id":11150,"uris":["http://zotero.org/groups/2667333/items/UVBXMDGV"],"itemData":{"id":11150,"type":"article-journal","abstract":"ABSTRACT\n            Extracellular proteins with important signalling roles in processes, such as inflammation and angiogenesis, are known to employ unconventional routes of protein secretion. Although mechanisms of unconventional protein secretion are beginning to emerge, the precise molecular details have remained elusive for the majority of cargo proteins secreted by unconventional means. Recent findings suggest that for two examples of unconventionally secreted proteins, interleukin 1β (IL-1β) and fibroblast growth factor 2 (FGF2), the common molecular principle of pore formation may be shared. Under specific experimental conditions, secretion of IL-1β and FGF2 is triggered by phosphatidylinositol 4,5-bisphosphate [PI(4,5)P2]-dependent formation of pores across the plasma membrane. However, the underlying mechanisms are different, with FGF2 known to directly interact with PI(4,5)P2, whereas in the case of IL-1β secretion, it is proposed that the N-terminal fragment of gasdermin D interacts with PI(4,5)P2 to form the pore. Thus, although implemented in different ways, these findings suggest that pore formation may be shared by the unconventional secretion mechanisms for FGF2 and IL-1β in at least some cases. In this Opinion article, we discuss the unconventional mechanisms of FGF2 and IL-1β release with a particular emphasis on recent discoveries suggesting the importance of pore formation on the plasma membrane.","container-title":"Journal of Cell Science","DOI":"10.1242/jcs.204206","ISSN":"1477-9137, 0021-9533","language":"en","page":"jcs.204206","source":"DOI.org (Crossref)","title":"An emerging case for membrane pore formation as a common mechanism for the unconventional secretion of FGF2 and IL-1β","URL":"https://journals.biologists.com/jcs/article/doi/10.1242/jcs.204206/265477/An-emerging-case-for-membrane-pore-formation-as-a","author":[{"family":"Brough","given":"David"},{"family":"Pelegrin","given":"Pablo"},{"family":"Nickel","given":"Walter"}],"accessed":{"date-parts":[["2022",7,7]]},"issued":{"date-parts":[["2017",1,1]]},"citation-key":"brough_emerging_2017"}},{"id":11154,"uris":["http://zotero.org/groups/2667333/items/2AINTFM6"],"itemData":{"id":11154,"type":"article-journal","container-title":"Immunity","DOI":"10.1016/j.immuni.2017.11.013","ISSN":"10747613","issue":"1","journalAbbreviation":"Immunity","language":"en","page":"35-44.e6","source":"DOI.org (Crossref)","title":"The Pore-Forming Protein Gasdermin D Regulates Interleukin-1 Secretion from Living Macrophages","URL":"https://linkinghub.elsevier.com/retrieve/pii/S1074761317305149","volume":"48","author":[{"family":"Evavold","given":"Charles L."},{"family":"Ruan","given":"Jianbin"},{"family":"Tan","given":"Yunhao"},{"family":"Xia","given":"Shiyu"},{"family":"Wu","given":"Hao"},{"family":"Kagan","given":"Jonathan C."}],"accessed":{"date-parts":[["2022",7,7]]},"issued":{"date-parts":[["2018",1]]},"citation-key":"evavold_pore-forming_2018"}},{"id":11152,"uris":["http://zotero.org/groups/2667333/items/BWHJ8AZ8"],"itemData":{"id":11152,"type":"article-journal","container-title":"Cell Reports","DOI":"10.1016/j.celrep.2015.05.003","ISSN":"22111247","issue":"10","journalAbbreviation":"Cell Reports","language":"en","page":"1535-1548","source":"DOI.org (Crossref)","title":"Diverse Activators of the NLRP3 Inflammasome Promote IL-1β Secretion by Triggering Necrosis","URL":"https://linkinghub.elsevier.com/retrieve/pii/S221112471500501X","volume":"11","author":[{"family":"Cullen","given":"Sean P."},{"family":"Kearney","given":"Conor J."},{"family":"Clancy","given":"Danielle M."},{"family":"Martin","given":"Seamus J."}],"accessed":{"date-parts":[["2022",7,7]]},"issued":{"date-parts":[["2015",6]]},"citation-key":"cullen_diverse_2015"}}],"schema":"https://github.com/citation-style-language/schema/raw/master/csl-citation.json"}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60–62</w:t>
      </w:r>
      <w:r w:rsidRPr="002A7128">
        <w:rPr>
          <w:rFonts w:ascii="Calibri" w:hAnsi="Calibri" w:cs="Calibri"/>
        </w:rPr>
        <w:fldChar w:fldCharType="end"/>
      </w:r>
      <w:r w:rsidRPr="002A7128">
        <w:rPr>
          <w:rFonts w:ascii="Calibri" w:hAnsi="Calibri" w:cs="Calibri"/>
        </w:rPr>
        <w:t>. Members of IL-1 family are not secreted via ER-Golgi pathway but rather released upon necrosis. They play immunomodulatory roles when released into the extracellular environment. In vaccination settings, IL-33 has been shown to act as an adjuvant and increase the levels of IL-5, MCP-1, MIP-1a and MIP-1b similar to alum</w:t>
      </w:r>
      <w:r w:rsidRPr="002A7128">
        <w:rPr>
          <w:rFonts w:ascii="Calibri" w:hAnsi="Calibri" w:cs="Calibri"/>
        </w:rPr>
        <w:fldChar w:fldCharType="begin"/>
      </w:r>
      <w:r w:rsidR="00317E7D" w:rsidRPr="002A7128">
        <w:rPr>
          <w:rFonts w:ascii="Calibri" w:hAnsi="Calibri" w:cs="Calibri"/>
        </w:rPr>
        <w:instrText xml:space="preserve"> ADDIN ZOTERO_ITEM CSL_CITATION {"citationID":"a22i2gogbnd","properties":{"formattedCitation":"\\super 40\\nosupersub{}","plainCitation":"40","noteIndex":0},"citationItems":[{"id":11158,"uris":["http://zotero.org/groups/2667333/items/B9GI8KFL"],"itemData":{"id":11158,"type":"article-journal","container-title":"Scientific Reports","DOI":"10.1038/srep13146","ISSN":"2045-2322","issue":"1","journalAbbreviation":"Sci Rep","language":"en","page":"13146","source":"DOI.org (Crossref)","title":"IL-33 released by alum is responsible for early cytokine production and has adjuvant properties","URL":"http://www.nature.com/articles/srep13146","volume":"5","author":[{"family":"Rose II","given":"William A."},{"family":"Okragly","given":"Angela J."},{"family":"Patel","given":"Chetan N."},{"family":"Benschop","given":"Robert J."}],"accessed":{"date-parts":[["2022",7,7]]},"issued":{"date-parts":[["2015",10]]},"citation-key":"rose_ii_il-33_2015"}}],"schema":"https://github.com/citation-style-language/schema/raw/master/csl-citation.json"}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40</w:t>
      </w:r>
      <w:r w:rsidRPr="002A7128">
        <w:rPr>
          <w:rFonts w:ascii="Calibri" w:hAnsi="Calibri" w:cs="Calibri"/>
        </w:rPr>
        <w:fldChar w:fldCharType="end"/>
      </w:r>
      <w:r w:rsidRPr="002A7128">
        <w:rPr>
          <w:rFonts w:ascii="Calibri" w:hAnsi="Calibri" w:cs="Calibri"/>
        </w:rPr>
        <w:t>. IL-1 family cytokines was shown to dictate the inflammatory phenotype, Induction of Th1, Th2 and Th17 phenotype in helper T cells was shown with IL-18, IL-33 and IL-1, respectively</w:t>
      </w:r>
      <w:r w:rsidRPr="002A7128">
        <w:rPr>
          <w:rFonts w:ascii="Calibri" w:hAnsi="Calibri" w:cs="Calibri"/>
        </w:rPr>
        <w:fldChar w:fldCharType="begin"/>
      </w:r>
      <w:r w:rsidR="00317E7D" w:rsidRPr="002A7128">
        <w:rPr>
          <w:rFonts w:ascii="Calibri" w:hAnsi="Calibri" w:cs="Calibri"/>
        </w:rPr>
        <w:instrText xml:space="preserve"> ADDIN ZOTERO_ITEM CSL_CITATION {"citationID":"a1t48m3ijgp","properties":{"formattedCitation":"\\super 63\\nosupersub{}","plainCitation":"63","noteIndex":0},"citationItems":[{"id":11160,"uris":["http://zotero.org/groups/2667333/items/NPSS7PR8"],"itemData":{"id":11160,"type":"article-journal","container-title":"The FEBS Journal","DOI":"10.1111/febs.13775","ISSN":"1742464X","issue":"14","journalAbbreviation":"FEBS J","language":"en","page":"2599-2615","source":"DOI.org (Crossref)","title":"Cell death and inflammation: the case for IL-1 family cytokines as the canonical DAMPs of the immune system","title-short":"Cell death and inflammation","URL":"https://onlinelibrary.wiley.com/doi/10.1111/febs.13775","volume":"283","author":[{"family":"Martin","given":"Seamus J."}],"accessed":{"date-parts":[["2022",7,7]]},"issued":{"date-parts":[["2016",7]]},"citation-key":"martin_cell_2016"}}],"schema":"https://github.com/citation-style-language/schema/raw/master/csl-citation.json"}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63</w:t>
      </w:r>
      <w:r w:rsidRPr="002A7128">
        <w:rPr>
          <w:rFonts w:ascii="Calibri" w:hAnsi="Calibri" w:cs="Calibri"/>
        </w:rPr>
        <w:fldChar w:fldCharType="end"/>
      </w:r>
      <w:r w:rsidRPr="002A7128">
        <w:rPr>
          <w:rFonts w:ascii="Calibri" w:hAnsi="Calibri" w:cs="Calibri"/>
        </w:rPr>
        <w:t>. In fact, the efficacy of alum to induce strong adaptive immunity was linked to the release of IL-33</w:t>
      </w:r>
      <w:r w:rsidRPr="002A7128">
        <w:rPr>
          <w:rFonts w:ascii="Calibri" w:hAnsi="Calibri" w:cs="Calibri"/>
        </w:rPr>
        <w:fldChar w:fldCharType="begin"/>
      </w:r>
      <w:r w:rsidR="00317E7D" w:rsidRPr="002A7128">
        <w:rPr>
          <w:rFonts w:ascii="Calibri" w:hAnsi="Calibri" w:cs="Calibri"/>
        </w:rPr>
        <w:instrText xml:space="preserve"> ADDIN ZOTERO_ITEM CSL_CITATION {"citationID":"a26jpo33kli","properties":{"formattedCitation":"\\super 64\\nosupersub{}","plainCitation":"64","noteIndex":0},"citationItems":[{"id":10002,"uris":["http://zotero.org/groups/2667333/items/DRV4Z9X9"],"itemData":{"id":10002,"type":"article-journal","abstract":"Aluminum hydroxide salts (alum) have been added to inactivated vaccines as safe and effective adjuvants to increase the effectiveness of vaccination. However, the exact cell types and immunological factors that initiate mucosal immune responses to alum adjuvants are unclear. In this study, the mechanism of action of alum adjuvant in nasal vaccination was investigated. Alum has been shown to act as a powerful and unique adjuvant when added to a nasal influenza split vaccine in mice. Alum is cytotoxic in the alveoli and stimulates the release of damage-associated molecular patterns, such as dsDNA, interleukin (IL)-1α, and IL-33. We found that Ag-specific IgA antibody (Ab) production was markedly reduced in IL-33-deficient mice. However, no decrease was observed in Ag-specific IgA Ab production with DNase I treatment, and no decrease was observed in IL-1α/β or IL-6 production in IL-33-deficient mice. From the experimental results of primary cultured cells and immunofluorescence staining, although IL-1α was secreted by alveolar macrophage necroptosis, IL-33 release was observed in alveolar epithelial cell necroptosis but not in alveolar macrophages. Alum- or IL-33-dependent Ag uptake enhancement and elevation of OX40L expression were not observed. By stimulating the release of IL-33, alum induced Th2 immunity via IL-5 and IL-13 production in group 2 innate lymphoid cells (ILC2s) and increased MHC class II expression in antigen-presenting cells (APCs) in the lung. Our results suggest that IL-33 secretion by epithelial cell necroptosis initiates APC- and ILC2-mediated T cell activation, which is important for the enhancement of Ag-specific IgA Ab production by alum.","container-title":"PLOS Pathogens","DOI":"10.1371/journal.ppat.1009890","ISSN":"1553-7374","issue":"8","journalAbbreviation":"PLoS Pathog","language":"en","page":"e1009890","source":"DOI.org (Crossref)","title":"Nasal alum-adjuvanted vaccine promotes IL-33 release from alveolar epithelial cells that elicits IgA production via type 2 immune responses","URL":"https://dx.plos.org/10.1371/journal.ppat.1009890","volume":"17","author":[{"family":"Sasaki","given":"Eita"},{"family":"Asanuma","given":"Hideki"},{"family":"Momose","given":"Haruka"},{"family":"Furuhata","given":"Keiko"},{"family":"Mizukami","given":"Takuo"},{"family":"Hamaguchi","given":"Isao"}],"editor":[{"family":"Heise","given":"Mark T."}],"accessed":{"date-parts":[["2022",2,12]]},"issued":{"date-parts":[["2021",8,30]]},"citation-key":"sasaki_nasal_2021"}}],"schema":"https://github.com/citation-style-language/schema/raw/master/csl-citation.json"}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64</w:t>
      </w:r>
      <w:r w:rsidRPr="002A7128">
        <w:rPr>
          <w:rFonts w:ascii="Calibri" w:hAnsi="Calibri" w:cs="Calibri"/>
        </w:rPr>
        <w:fldChar w:fldCharType="end"/>
      </w:r>
      <w:r w:rsidRPr="002A7128">
        <w:rPr>
          <w:rFonts w:ascii="Calibri" w:hAnsi="Calibri" w:cs="Calibri"/>
        </w:rPr>
        <w:t>.</w:t>
      </w:r>
    </w:p>
    <w:p w14:paraId="6A46E358" w14:textId="36D50881" w:rsidR="00A27485" w:rsidRPr="002A7128" w:rsidRDefault="00A27485" w:rsidP="00A27485">
      <w:pPr>
        <w:spacing w:line="480" w:lineRule="auto"/>
        <w:jc w:val="both"/>
        <w:rPr>
          <w:rFonts w:ascii="Calibri" w:hAnsi="Calibri" w:cs="Calibri"/>
        </w:rPr>
      </w:pPr>
      <w:r w:rsidRPr="002A7128">
        <w:rPr>
          <w:rFonts w:ascii="Calibri" w:hAnsi="Calibri" w:cs="Calibri"/>
        </w:rPr>
        <w:t>However, these cytokines such as IL-1</w:t>
      </w:r>
      <w:r w:rsidRPr="006A1E55">
        <w:rPr>
          <w:rFonts w:ascii="Symbol" w:hAnsi="Symbol" w:cs="Calibri"/>
        </w:rPr>
        <w:t>b</w:t>
      </w:r>
      <w:r w:rsidRPr="002A7128">
        <w:rPr>
          <w:rFonts w:ascii="Calibri" w:hAnsi="Calibri" w:cs="Calibri"/>
        </w:rPr>
        <w:t>, is found as pro-IL-1</w:t>
      </w:r>
      <w:r w:rsidRPr="006A1E55">
        <w:rPr>
          <w:rFonts w:ascii="Symbol" w:hAnsi="Symbol" w:cs="Calibri"/>
        </w:rPr>
        <w:t>b</w:t>
      </w:r>
      <w:r w:rsidRPr="002A7128">
        <w:rPr>
          <w:rFonts w:ascii="Calibri" w:hAnsi="Calibri" w:cs="Calibri"/>
        </w:rPr>
        <w:t xml:space="preserve"> and needs to be cleaved for release upon necrosis. Two-signal model for IL-1</w:t>
      </w:r>
      <w:r w:rsidRPr="006A1E55">
        <w:rPr>
          <w:rFonts w:ascii="Symbol" w:hAnsi="Symbol" w:cs="Calibri"/>
        </w:rPr>
        <w:t>b</w:t>
      </w:r>
      <w:r w:rsidRPr="002A7128">
        <w:rPr>
          <w:rFonts w:ascii="Calibri" w:hAnsi="Calibri" w:cs="Calibri"/>
        </w:rPr>
        <w:t xml:space="preserve"> release shows that initial stimulator, “signal one”, such as LPS leads to the upregulation of pro-IL-1</w:t>
      </w:r>
      <w:r w:rsidRPr="006A1E55">
        <w:rPr>
          <w:rFonts w:ascii="Symbol" w:hAnsi="Symbol" w:cs="Calibri"/>
        </w:rPr>
        <w:t>b</w:t>
      </w:r>
      <w:r w:rsidRPr="002A7128">
        <w:rPr>
          <w:rFonts w:ascii="Calibri" w:hAnsi="Calibri" w:cs="Calibri"/>
        </w:rPr>
        <w:t>, however “signal two” such as ATP or Nigericin is required to initiate necrosis promoting the release of IL-1</w:t>
      </w:r>
      <w:r w:rsidRPr="006A1E55">
        <w:rPr>
          <w:rFonts w:ascii="Symbol" w:hAnsi="Symbol" w:cs="Calibri"/>
        </w:rPr>
        <w:t>b</w:t>
      </w:r>
      <w:r w:rsidRPr="002A7128">
        <w:rPr>
          <w:rFonts w:ascii="Calibri" w:hAnsi="Calibri" w:cs="Calibri"/>
        </w:rPr>
        <w:fldChar w:fldCharType="begin"/>
      </w:r>
      <w:r w:rsidR="00317E7D" w:rsidRPr="002A7128">
        <w:rPr>
          <w:rFonts w:ascii="Calibri" w:hAnsi="Calibri" w:cs="Calibri"/>
        </w:rPr>
        <w:instrText xml:space="preserve"> ADDIN ZOTERO_ITEM CSL_CITATION {"citationID":"asvitnpbrd","properties":{"formattedCitation":"\\super 62\\nosupersub{}","plainCitation":"62","noteIndex":0},"citationItems":[{"id":11152,"uris":["http://zotero.org/groups/2667333/items/BWHJ8AZ8"],"itemData":{"id":11152,"type":"article-journal","container-title":"Cell Reports","DOI":"10.1016/j.celrep.2015.05.003","ISSN":"22111247","issue":"10","journalAbbreviation":"Cell Reports","language":"en","page":"1535-1548","source":"DOI.org (Crossref)","title":"Diverse Activators of the NLRP3 Inflammasome Promote IL-1β Secretion by Triggering Necrosis","URL":"https://linkinghub.elsevier.com/retrieve/pii/S221112471500501X","volume":"11","author":[{"family":"Cullen","given":"Sean P."},{"family":"Kearney","given":"Conor J."},{"family":"Clancy","given":"Danielle M."},{"family":"Martin","given":"Seamus J."}],"accessed":{"date-parts":[["2022",7,7]]},"issued":{"date-parts":[["2015",6]]},"citation-key":"cullen_diverse_2015"}}],"schema":"https://github.com/citation-style-language/schema/raw/master/csl-citation.json"}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62</w:t>
      </w:r>
      <w:r w:rsidRPr="002A7128">
        <w:rPr>
          <w:rFonts w:ascii="Calibri" w:hAnsi="Calibri" w:cs="Calibri"/>
        </w:rPr>
        <w:fldChar w:fldCharType="end"/>
      </w:r>
      <w:r w:rsidRPr="002A7128">
        <w:rPr>
          <w:rFonts w:ascii="Calibri" w:hAnsi="Calibri" w:cs="Calibri"/>
        </w:rPr>
        <w:t>. However, simple necrosis would not lead to IL-1</w:t>
      </w:r>
      <w:r w:rsidRPr="006A1E55">
        <w:rPr>
          <w:rFonts w:ascii="Symbol" w:hAnsi="Symbol" w:cs="Calibri"/>
        </w:rPr>
        <w:t>b</w:t>
      </w:r>
      <w:r w:rsidRPr="002A7128">
        <w:rPr>
          <w:rFonts w:ascii="Calibri" w:hAnsi="Calibri" w:cs="Calibri"/>
        </w:rPr>
        <w:t xml:space="preserve"> secretion, its cleavage from pro-IL-1</w:t>
      </w:r>
      <w:r w:rsidRPr="006A1E55">
        <w:rPr>
          <w:rFonts w:ascii="Symbol" w:hAnsi="Symbol" w:cs="Calibri"/>
        </w:rPr>
        <w:t>b</w:t>
      </w:r>
      <w:r w:rsidRPr="002A7128">
        <w:rPr>
          <w:rFonts w:ascii="Calibri" w:hAnsi="Calibri" w:cs="Calibri"/>
        </w:rPr>
        <w:t xml:space="preserve"> is induced and therefore, IL-1</w:t>
      </w:r>
      <w:r w:rsidRPr="006A1E55">
        <w:rPr>
          <w:rFonts w:ascii="Symbol" w:hAnsi="Symbol" w:cs="Calibri"/>
        </w:rPr>
        <w:t>b</w:t>
      </w:r>
      <w:r w:rsidRPr="002A7128">
        <w:rPr>
          <w:rFonts w:ascii="Calibri" w:hAnsi="Calibri" w:cs="Calibri"/>
        </w:rPr>
        <w:t xml:space="preserve"> has also been classified as an inducible DAMP (</w:t>
      </w:r>
      <w:proofErr w:type="spellStart"/>
      <w:r w:rsidRPr="002A7128">
        <w:rPr>
          <w:rFonts w:ascii="Calibri" w:hAnsi="Calibri" w:cs="Calibri"/>
        </w:rPr>
        <w:t>iDAMP</w:t>
      </w:r>
      <w:proofErr w:type="spellEnd"/>
      <w:r w:rsidRPr="002A7128">
        <w:rPr>
          <w:rFonts w:ascii="Calibri" w:hAnsi="Calibri" w:cs="Calibri"/>
        </w:rPr>
        <w:t>)</w:t>
      </w:r>
      <w:r w:rsidRPr="002A7128">
        <w:rPr>
          <w:rFonts w:ascii="Calibri" w:hAnsi="Calibri" w:cs="Calibri"/>
        </w:rPr>
        <w:fldChar w:fldCharType="begin"/>
      </w:r>
      <w:r w:rsidR="00317E7D" w:rsidRPr="002A7128">
        <w:rPr>
          <w:rFonts w:ascii="Calibri" w:hAnsi="Calibri" w:cs="Calibri"/>
        </w:rPr>
        <w:instrText xml:space="preserve"> ADDIN ZOTERO_ITEM CSL_CITATION {"citationID":"atpd959q2k","properties":{"formattedCitation":"\\super 65\\nosupersub{}","plainCitation":"65","noteIndex":0},"citationItems":[{"id":11328,"uris":["http://zotero.org/groups/2667333/items/8NZATAZZ"],"itemData":{"id":11328,"type":"article-journal","abstract":"Dendritic cells (DCs) can take up dying cells and cross-present antigens derived from the dying cells to antigen-specific CD8+ T cells. Efficient T cell cross-priming is dependent on a set of immunological signals provided by dying cells.Dying cells expose and release 'find-me' and 'eat-me' signals to attract and stimulate phagocytosis. They also release immune-stimulatory molecules known as damage-associated molecular patterns (DAMPs), which can be sensed by phagocytes.Cell death pathways are interconnected with innate immune pathways, resulting in simultaneous execution of cell death and activation of inflammatory pathways within dying cells.Molecules that are generated de novo as a consequence of the programmed cell death and inflammatory pathways within dying cells are named inducible DAMPs (iDAMPs), in contrast to constitutive DAMPs (cDAMPs), which are present before the initiation of cell death. Hence, iDAMPs released by dying cells reflect the various stress pathways that are engaged during cell death.iDAMPs may be the products of active RNA transcription and protein translation (for example, nuclear factor-κB-dependent inflammatory cytokines), or post-translational protein modifications (such as pro-interleukin-1β cleavage by caspase 1), or protein aggregates that propagate signalling upon phagocytosis (such as apoptosis-associated speck-like protein containing a CARD (ASC) specks).In the cascade of immunological signals that leads to T cell priming, the activation of innate immune pathways within dying cells is an early immune signal that actively regulates the adaptive immune response.","container-title":"Nature Reviews Immunology","DOI":"10.1038/nri.2017.9","ISSN":"1474-1741","issue":"4","journalAbbreviation":"Nat Rev Immunol","language":"en","license":"2017 Nature Publishing Group, a division of Macmillan Publishers Limited. All Rights Reserved.","note":"number: 4\npublisher: Nature Publishing Group","page":"262-275","source":"www.nature.com","title":"Dying cells actively regulate adaptive immune responses","URL":"https://www.nature.com/articles/nri.2017.9","volume":"17","author":[{"family":"Yatim","given":"Nader"},{"family":"Cullen","given":"Sean"},{"family":"Albert","given":"Matthew L."}],"accessed":{"date-parts":[["2022",7,23]]},"issued":{"date-parts":[["2017",4]]},"citation-key":"yatim_dying_2017"}}],"schema":"https://github.com/citation-style-language/schema/raw/master/csl-citation.json"}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65</w:t>
      </w:r>
      <w:r w:rsidRPr="002A7128">
        <w:rPr>
          <w:rFonts w:ascii="Calibri" w:hAnsi="Calibri" w:cs="Calibri"/>
        </w:rPr>
        <w:fldChar w:fldCharType="end"/>
      </w:r>
      <w:r w:rsidRPr="002A7128">
        <w:rPr>
          <w:rFonts w:ascii="Calibri" w:hAnsi="Calibri" w:cs="Calibri"/>
        </w:rPr>
        <w:t xml:space="preserve">. This class of DAMPs represent the generation of a DAMP due to a modification such as post-translational modification or cleavage determined by the stress inducing stimuli. Activation of TLR receptors through PAMPs is similar to the activation </w:t>
      </w:r>
      <w:r w:rsidRPr="002A7128">
        <w:rPr>
          <w:rFonts w:ascii="Calibri" w:hAnsi="Calibri" w:cs="Calibri"/>
        </w:rPr>
        <w:lastRenderedPageBreak/>
        <w:t xml:space="preserve">pathway of IL-1 receptors for an inflammatory outcome, both involving </w:t>
      </w:r>
      <w:proofErr w:type="spellStart"/>
      <w:r w:rsidRPr="002A7128">
        <w:rPr>
          <w:rFonts w:ascii="Calibri" w:hAnsi="Calibri" w:cs="Calibri"/>
        </w:rPr>
        <w:t>NFkB</w:t>
      </w:r>
      <w:proofErr w:type="spellEnd"/>
      <w:r w:rsidRPr="002A7128">
        <w:rPr>
          <w:rFonts w:ascii="Calibri" w:hAnsi="Calibri" w:cs="Calibri"/>
        </w:rPr>
        <w:t xml:space="preserve"> activation</w:t>
      </w:r>
      <w:r w:rsidRPr="002A7128">
        <w:rPr>
          <w:rFonts w:ascii="Calibri" w:hAnsi="Calibri" w:cs="Calibri"/>
        </w:rPr>
        <w:fldChar w:fldCharType="begin"/>
      </w:r>
      <w:r w:rsidR="00317E7D" w:rsidRPr="002A7128">
        <w:rPr>
          <w:rFonts w:ascii="Calibri" w:hAnsi="Calibri" w:cs="Calibri"/>
        </w:rPr>
        <w:instrText xml:space="preserve"> ADDIN ZOTERO_ITEM CSL_CITATION {"citationID":"a1351npps7v","properties":{"formattedCitation":"\\super 66\\nosupersub{}","plainCitation":"66","noteIndex":0},"citationItems":[{"id":11156,"uris":["http://zotero.org/groups/2667333/items/IJ2W6T4X"],"itemData":{"id":11156,"type":"article-journal","container-title":"Cytokine","DOI":"10.1016/j.cyto.2022.155935","ISSN":"10434666","journalAbbreviation":"Cytokine","language":"en","page":"155935","source":"DOI.org (Crossref)","title":"IL-1 family cytokines serve as 'activity recognition receptors' for aberrant protease activity indicative of danger","URL":"https://linkinghub.elsevier.com/retrieve/pii/S1043466622001442","volume":"157","author":[{"family":"Martin","given":"Seamus J."},{"family":"Frezza","given":"Valentina"},{"family":"Davidovich","given":"Pavel"},{"family":"Najda","given":"Zaneta"},{"family":"Clancy","given":"Danielle M."}],"accessed":{"date-parts":[["2022",7,7]]},"issued":{"date-parts":[["2022",9]]},"citation-key":"martin_il-1_2022"}}],"schema":"https://github.com/citation-style-language/schema/raw/master/csl-citation.json"}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66</w:t>
      </w:r>
      <w:r w:rsidRPr="002A7128">
        <w:rPr>
          <w:rFonts w:ascii="Calibri" w:hAnsi="Calibri" w:cs="Calibri"/>
        </w:rPr>
        <w:fldChar w:fldCharType="end"/>
      </w:r>
      <w:r w:rsidRPr="002A7128">
        <w:rPr>
          <w:rFonts w:ascii="Calibri" w:hAnsi="Calibri" w:cs="Calibri"/>
        </w:rPr>
        <w:t>. In fact, blocking of IL-1 receptor signaling abolished the inflammatory response in sterile settings</w:t>
      </w:r>
      <w:r w:rsidRPr="002A7128">
        <w:rPr>
          <w:rFonts w:ascii="Calibri" w:hAnsi="Calibri" w:cs="Calibri"/>
        </w:rPr>
        <w:fldChar w:fldCharType="begin"/>
      </w:r>
      <w:r w:rsidR="00317E7D" w:rsidRPr="002A7128">
        <w:rPr>
          <w:rFonts w:ascii="Calibri" w:hAnsi="Calibri" w:cs="Calibri"/>
        </w:rPr>
        <w:instrText xml:space="preserve"> ADDIN ZOTERO_ITEM CSL_CITATION {"citationID":"a1glmg2jrlu","properties":{"formattedCitation":"\\super 67\\nosupersub{}","plainCitation":"67","noteIndex":0},"citationItems":[{"id":11157,"uris":["http://zotero.org/groups/2667333/items/PSX669IR"],"itemData":{"id":11157,"type":"article-journal","container-title":"Nature Medicine","DOI":"10.1038/nm1603","ISSN":"1078-8956, 1546-170X","issue":"7","journalAbbreviation":"Nat Med","language":"en","page":"851-856","source":"DOI.org (Crossref)","title":"Identification of a key pathway required for the sterile inflammatory response triggered by dying cells","URL":"http://www.nature.com/articles/nm1603","volume":"13","author":[{"family":"Chen","given":"Chun-Jen"},{"family":"Kono","given":"Hajime"},{"family":"Golenbock","given":"Douglas"},{"family":"Reed","given":"George"},{"family":"Akira","given":"Shizuo"},{"family":"Rock","given":"Kenneth L"}],"accessed":{"date-parts":[["2022",7,7]]},"issued":{"date-parts":[["2007",7]]},"citation-key":"chen_identification_2007"}}],"schema":"https://github.com/citation-style-language/schema/raw/master/csl-citation.json"}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67</w:t>
      </w:r>
      <w:r w:rsidRPr="002A7128">
        <w:rPr>
          <w:rFonts w:ascii="Calibri" w:hAnsi="Calibri" w:cs="Calibri"/>
        </w:rPr>
        <w:fldChar w:fldCharType="end"/>
      </w:r>
      <w:r w:rsidRPr="002A7128">
        <w:rPr>
          <w:rFonts w:ascii="Calibri" w:hAnsi="Calibri" w:cs="Calibri"/>
        </w:rPr>
        <w:t xml:space="preserve">. </w:t>
      </w:r>
    </w:p>
    <w:p w14:paraId="3C8CA047" w14:textId="77777777" w:rsidR="00A27485" w:rsidRPr="002A7128" w:rsidRDefault="00A27485">
      <w:pPr>
        <w:pStyle w:val="Heading2"/>
        <w:numPr>
          <w:ilvl w:val="1"/>
          <w:numId w:val="2"/>
        </w:numPr>
        <w:spacing w:line="480" w:lineRule="auto"/>
        <w:ind w:left="792" w:hanging="432"/>
        <w:jc w:val="both"/>
        <w:rPr>
          <w:rFonts w:ascii="Calibri" w:hAnsi="Calibri" w:cs="Calibri"/>
        </w:rPr>
      </w:pPr>
      <w:bookmarkStart w:id="25" w:name="_Toc115787969"/>
      <w:bookmarkStart w:id="26" w:name="_Toc120794127"/>
      <w:r w:rsidRPr="002A7128">
        <w:rPr>
          <w:rFonts w:ascii="Calibri" w:hAnsi="Calibri" w:cs="Calibri"/>
        </w:rPr>
        <w:t xml:space="preserve">DAMPs </w:t>
      </w:r>
      <w:bookmarkEnd w:id="25"/>
      <w:r w:rsidRPr="002A7128">
        <w:rPr>
          <w:rFonts w:ascii="Calibri" w:hAnsi="Calibri" w:cs="Calibri"/>
        </w:rPr>
        <w:t>activate immune cells</w:t>
      </w:r>
      <w:bookmarkEnd w:id="26"/>
    </w:p>
    <w:p w14:paraId="79EDA08D" w14:textId="5359CBFE" w:rsidR="00A27485" w:rsidRPr="002A7128" w:rsidRDefault="00A27485" w:rsidP="00A27485">
      <w:pPr>
        <w:spacing w:line="480" w:lineRule="auto"/>
        <w:jc w:val="both"/>
        <w:rPr>
          <w:rFonts w:ascii="Calibri" w:hAnsi="Calibri" w:cs="Calibri"/>
        </w:rPr>
      </w:pPr>
      <w:r w:rsidRPr="002A7128">
        <w:rPr>
          <w:rFonts w:ascii="Calibri" w:hAnsi="Calibri" w:cs="Calibri"/>
        </w:rPr>
        <w:t>As mentioned above, several different DAMPs have been characterized and studied for their role in activating immune cells. These released mediators from dying cells engage multiple different immune cells including but not limited to DCs, neutrophils and macrophages. Functionalities such as phagocytosis, antigen presentation and promotion of inflammation are eventual outcomes of these activations (</w:t>
      </w:r>
      <w:r w:rsidR="00261A88" w:rsidRPr="002A7128">
        <w:rPr>
          <w:rFonts w:ascii="Calibri" w:hAnsi="Calibri" w:cs="Calibri"/>
          <w:b/>
          <w:bCs/>
        </w:rPr>
        <w:fldChar w:fldCharType="begin"/>
      </w:r>
      <w:r w:rsidR="00261A88" w:rsidRPr="002A7128">
        <w:rPr>
          <w:rFonts w:ascii="Calibri" w:hAnsi="Calibri" w:cs="Calibri"/>
        </w:rPr>
        <w:instrText xml:space="preserve"> REF _Ref116561046 \h </w:instrText>
      </w:r>
      <w:r w:rsidR="00261A88" w:rsidRPr="002A7128">
        <w:rPr>
          <w:rFonts w:ascii="Calibri" w:hAnsi="Calibri" w:cs="Calibri"/>
          <w:b/>
          <w:bCs/>
        </w:rPr>
        <w:instrText xml:space="preserve"> \* MERGEFORMAT </w:instrText>
      </w:r>
      <w:r w:rsidR="00261A88" w:rsidRPr="002A7128">
        <w:rPr>
          <w:rFonts w:ascii="Calibri" w:hAnsi="Calibri" w:cs="Calibri"/>
          <w:b/>
          <w:bCs/>
        </w:rPr>
      </w:r>
      <w:r w:rsidR="00261A88" w:rsidRPr="002A7128">
        <w:rPr>
          <w:rFonts w:ascii="Calibri" w:hAnsi="Calibri" w:cs="Calibri"/>
          <w:b/>
          <w:bCs/>
        </w:rPr>
        <w:fldChar w:fldCharType="separate"/>
      </w:r>
      <w:r w:rsidR="00261A88" w:rsidRPr="002A7128">
        <w:rPr>
          <w:rFonts w:ascii="Calibri" w:hAnsi="Calibri" w:cs="Calibri"/>
          <w:b/>
          <w:bCs/>
          <w:color w:val="000000" w:themeColor="text1"/>
        </w:rPr>
        <w:t xml:space="preserve">Figure </w:t>
      </w:r>
      <w:r w:rsidR="00261A88" w:rsidRPr="002A7128">
        <w:rPr>
          <w:rFonts w:ascii="Calibri" w:hAnsi="Calibri" w:cs="Calibri"/>
          <w:b/>
          <w:bCs/>
          <w:noProof/>
          <w:color w:val="000000" w:themeColor="text1"/>
        </w:rPr>
        <w:t>4</w:t>
      </w:r>
      <w:r w:rsidR="00261A88" w:rsidRPr="002A7128">
        <w:rPr>
          <w:rFonts w:ascii="Calibri" w:hAnsi="Calibri" w:cs="Calibri"/>
          <w:b/>
          <w:bCs/>
        </w:rPr>
        <w:fldChar w:fldCharType="end"/>
      </w:r>
      <w:r w:rsidRPr="002A7128">
        <w:rPr>
          <w:rFonts w:ascii="Calibri" w:hAnsi="Calibri" w:cs="Calibri"/>
        </w:rPr>
        <w:t xml:space="preserve">). </w:t>
      </w:r>
      <w:r w:rsidRPr="002A7128">
        <w:rPr>
          <w:rFonts w:ascii="Calibri" w:hAnsi="Calibri" w:cs="Calibri"/>
          <w:b/>
          <w:bCs/>
        </w:rPr>
        <w:t>Table 1</w:t>
      </w:r>
      <w:r w:rsidRPr="002A7128">
        <w:rPr>
          <w:rFonts w:ascii="Calibri" w:hAnsi="Calibri" w:cs="Calibri"/>
        </w:rPr>
        <w:t xml:space="preserve"> presents the list of individual DAMPs, their receptor interactions, and their contribution to immunogenicity. It is vital to note that the eventual outcome of ICD is not dependent on a single DAMP but rather a combinatorial/synergistic activity. Silencing or using antibodies against HMGB-1</w:t>
      </w:r>
      <w:r w:rsidRPr="002A7128">
        <w:rPr>
          <w:rFonts w:ascii="Calibri" w:hAnsi="Calibri" w:cs="Calibri"/>
        </w:rPr>
        <w:fldChar w:fldCharType="begin"/>
      </w:r>
      <w:r w:rsidR="00317E7D" w:rsidRPr="002A7128">
        <w:rPr>
          <w:rFonts w:ascii="Calibri" w:hAnsi="Calibri" w:cs="Calibri"/>
        </w:rPr>
        <w:instrText xml:space="preserve"> ADDIN ZOTERO_ITEM CSL_CITATION {"citationID":"Fua3Tkf1","properties":{"formattedCitation":"\\super 46\\nosupersub{}","plainCitation":"46","noteIndex":0},"citationItems":[{"id":9987,"uris":["http://zotero.org/groups/2667333/items/UZR9IXT3"],"itemData":{"id":9987,"type":"article-journal","container-title":"Oncogene","DOI":"10.1038/onc.2009.356","ISSN":"0950-9232,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46</w:t>
      </w:r>
      <w:r w:rsidRPr="002A7128">
        <w:rPr>
          <w:rFonts w:ascii="Calibri" w:hAnsi="Calibri" w:cs="Calibri"/>
        </w:rPr>
        <w:fldChar w:fldCharType="end"/>
      </w:r>
      <w:r w:rsidRPr="002A7128">
        <w:rPr>
          <w:rFonts w:ascii="Calibri" w:hAnsi="Calibri" w:cs="Calibri"/>
        </w:rPr>
        <w:t xml:space="preserve"> and </w:t>
      </w:r>
      <w:r w:rsidR="00AD6EF4">
        <w:rPr>
          <w:rFonts w:ascii="Calibri" w:hAnsi="Calibri" w:cs="Calibri"/>
        </w:rPr>
        <w:t>CRT</w:t>
      </w:r>
      <w:r w:rsidR="00AD6EF4" w:rsidRPr="002A7128">
        <w:rPr>
          <w:rFonts w:ascii="Calibri" w:hAnsi="Calibri" w:cs="Calibri"/>
        </w:rPr>
        <w:t xml:space="preserve"> </w:t>
      </w:r>
      <w:r w:rsidRPr="002A7128">
        <w:rPr>
          <w:rFonts w:ascii="Calibri" w:hAnsi="Calibri" w:cs="Calibri"/>
        </w:rPr>
        <w:fldChar w:fldCharType="begin"/>
      </w:r>
      <w:r w:rsidR="00317E7D" w:rsidRPr="002A7128">
        <w:rPr>
          <w:rFonts w:ascii="Calibri" w:hAnsi="Calibri" w:cs="Calibri"/>
        </w:rPr>
        <w:instrText xml:space="preserve"> ADDIN ZOTERO_ITEM CSL_CITATION {"citationID":"P7dmvpey","properties":{"formattedCitation":"\\super 32\\nosupersub{}","plainCitation":"32","noteIndex":0},"citationItems":[{"id":10378,"uris":["http://zotero.org/groups/2667333/items/6N2IEINE"],"itemData":{"id":10378,"type":"article-journal","container-title":"Nature Medicine","DOI":"10.1038/nm1523","ISSN":"1078-8956, 1546-170X","issue":"1","journalAbbreviation":"Nat Med","language":"en","page":"54-61","source":"DOI.org (Crossref)","title":"Calreticulin exposure dictates the immunogenicity of cancer cell death","URL":"http://www.nature.com/articles/nm1523","volume":"13","author":[{"family":"Obeid","given":"Michel"},{"family":"Tesniere","given":"Antoine"},{"family":"Ghiringhelli","given":"François"},{"family":"Fimia","given":"Gian Maria"},{"family":"Apetoh","given":"Lionel"},{"family":"Perfettini","given":"Jean-Luc"},{"family":"Castedo","given":"Maria"},{"family":"Mignot","given":"Grégoire"},{"family":"Panaretakis","given":"Theoharis"},{"family":"Casares","given":"Noelia"},{"family":"Métivier","given":"Didier"},{"family":"Larochette","given":"Nathanael"},{"family":"Endert","given":"Peter","non-dropping-particle":"van"},{"family":"Ciccosanti","given":"Fabiola"},{"family":"Piacentini","given":"Mauro"},{"family":"Zitvogel","given":"Laurence"},{"family":"Kroemer","given":"Guido"}],"accessed":{"date-parts":[["2022",4,26]]},"issued":{"date-parts":[["2007",1]]},"citation-key":"obeid_calreticulin_2007-1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32</w:t>
      </w:r>
      <w:r w:rsidRPr="002A7128">
        <w:rPr>
          <w:rFonts w:ascii="Calibri" w:hAnsi="Calibri" w:cs="Calibri"/>
        </w:rPr>
        <w:fldChar w:fldCharType="end"/>
      </w:r>
      <w:r w:rsidRPr="002A7128">
        <w:rPr>
          <w:rFonts w:ascii="Calibri" w:hAnsi="Calibri" w:cs="Calibri"/>
        </w:rPr>
        <w:t xml:space="preserve"> show that the immunogenicity of cancer cells hence “protective capacity” reduces, however, does not abolish completely.</w:t>
      </w:r>
    </w:p>
    <w:p w14:paraId="2C353C7B" w14:textId="77777777" w:rsidR="00A27485" w:rsidRPr="002A7128" w:rsidRDefault="00A27485" w:rsidP="00A27485">
      <w:pPr>
        <w:keepNext/>
        <w:spacing w:line="480" w:lineRule="auto"/>
        <w:jc w:val="center"/>
        <w:rPr>
          <w:rFonts w:ascii="Calibri" w:hAnsi="Calibri" w:cs="Calibri"/>
        </w:rPr>
      </w:pPr>
      <w:r w:rsidRPr="002A7128">
        <w:rPr>
          <w:rFonts w:ascii="Calibri" w:hAnsi="Calibri" w:cs="Calibri"/>
          <w:noProof/>
        </w:rPr>
        <w:lastRenderedPageBreak/>
        <w:drawing>
          <wp:inline distT="0" distB="0" distL="0" distR="0" wp14:anchorId="2F3FB0C0" wp14:editId="396C7F7B">
            <wp:extent cx="3733800" cy="3873500"/>
            <wp:effectExtent l="0" t="0" r="0" b="0"/>
            <wp:docPr id="40" name="Picture 4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33800" cy="3873500"/>
                    </a:xfrm>
                    <a:prstGeom prst="rect">
                      <a:avLst/>
                    </a:prstGeom>
                  </pic:spPr>
                </pic:pic>
              </a:graphicData>
            </a:graphic>
          </wp:inline>
        </w:drawing>
      </w:r>
    </w:p>
    <w:p w14:paraId="6020F78B" w14:textId="00132EE5" w:rsidR="00A27485" w:rsidRPr="002B27CA" w:rsidRDefault="00A27485" w:rsidP="002B27CA">
      <w:pPr>
        <w:pStyle w:val="Caption"/>
        <w:spacing w:line="480" w:lineRule="auto"/>
        <w:jc w:val="both"/>
        <w:rPr>
          <w:rFonts w:ascii="Calibri" w:hAnsi="Calibri" w:cs="Calibri"/>
          <w:i w:val="0"/>
          <w:iCs w:val="0"/>
          <w:color w:val="000000" w:themeColor="text1"/>
          <w:sz w:val="24"/>
          <w:szCs w:val="24"/>
        </w:rPr>
      </w:pPr>
      <w:bookmarkStart w:id="27" w:name="_Ref116561046"/>
      <w:bookmarkStart w:id="28" w:name="_Toc120789421"/>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w:t>
      </w:r>
      <w:r w:rsidRPr="002A7128">
        <w:rPr>
          <w:rFonts w:ascii="Calibri" w:hAnsi="Calibri" w:cs="Calibri"/>
          <w:b/>
          <w:bCs/>
          <w:i w:val="0"/>
          <w:iCs w:val="0"/>
          <w:color w:val="000000" w:themeColor="text1"/>
          <w:sz w:val="24"/>
          <w:szCs w:val="24"/>
        </w:rPr>
        <w:fldChar w:fldCharType="end"/>
      </w:r>
      <w:bookmarkEnd w:id="27"/>
      <w:r w:rsidRPr="002A7128">
        <w:rPr>
          <w:rFonts w:ascii="Calibri" w:hAnsi="Calibri" w:cs="Calibri"/>
          <w:b/>
          <w:bCs/>
          <w:i w:val="0"/>
          <w:iCs w:val="0"/>
          <w:color w:val="000000" w:themeColor="text1"/>
          <w:sz w:val="24"/>
          <w:szCs w:val="24"/>
        </w:rPr>
        <w:t xml:space="preserve"> DAMPs activate immune cells</w:t>
      </w:r>
      <w:r w:rsidR="007D2ECB" w:rsidRPr="002A7128">
        <w:rPr>
          <w:rFonts w:ascii="Calibri" w:hAnsi="Calibri" w:cs="Calibri"/>
          <w:b/>
          <w:bCs/>
          <w:i w:val="0"/>
          <w:iCs w:val="0"/>
          <w:color w:val="000000" w:themeColor="text1"/>
          <w:sz w:val="24"/>
          <w:szCs w:val="24"/>
        </w:rPr>
        <w:t xml:space="preserve">. </w:t>
      </w:r>
      <w:r w:rsidR="007D2ECB" w:rsidRPr="002A7128">
        <w:rPr>
          <w:rFonts w:ascii="Calibri" w:hAnsi="Calibri" w:cs="Calibri"/>
          <w:i w:val="0"/>
          <w:iCs w:val="0"/>
          <w:color w:val="000000" w:themeColor="text1"/>
          <w:sz w:val="24"/>
          <w:szCs w:val="24"/>
        </w:rPr>
        <w:t xml:space="preserve">This figure is prepared using </w:t>
      </w:r>
      <w:proofErr w:type="spellStart"/>
      <w:r w:rsidR="007D2ECB" w:rsidRPr="002A7128">
        <w:rPr>
          <w:rFonts w:ascii="Calibri" w:hAnsi="Calibri" w:cs="Calibri"/>
          <w:i w:val="0"/>
          <w:iCs w:val="0"/>
          <w:color w:val="000000" w:themeColor="text1"/>
          <w:sz w:val="24"/>
          <w:szCs w:val="24"/>
        </w:rPr>
        <w:t>BioRender</w:t>
      </w:r>
      <w:proofErr w:type="spellEnd"/>
      <w:r w:rsidR="007D2ECB" w:rsidRPr="002A7128">
        <w:rPr>
          <w:rFonts w:ascii="Calibri" w:hAnsi="Calibri" w:cs="Calibri"/>
          <w:i w:val="0"/>
          <w:iCs w:val="0"/>
          <w:color w:val="000000" w:themeColor="text1"/>
          <w:sz w:val="24"/>
          <w:szCs w:val="24"/>
        </w:rPr>
        <w:t>.</w:t>
      </w:r>
      <w:bookmarkEnd w:id="28"/>
    </w:p>
    <w:p w14:paraId="0F165D8A" w14:textId="25B40A0B" w:rsidR="00A27485" w:rsidRPr="002A7128" w:rsidRDefault="00A27485" w:rsidP="00A27485">
      <w:pPr>
        <w:spacing w:line="480" w:lineRule="auto"/>
        <w:jc w:val="both"/>
        <w:rPr>
          <w:rFonts w:ascii="Calibri" w:hAnsi="Calibri" w:cs="Calibri"/>
        </w:rPr>
      </w:pPr>
      <w:r w:rsidRPr="002A7128">
        <w:rPr>
          <w:rFonts w:ascii="Calibri" w:hAnsi="Calibri" w:cs="Calibri"/>
        </w:rPr>
        <w:t>In another study, silencing of HMGB-1 did not affect the maturation of DCs and only partially abolished the anti-tumor immunity</w:t>
      </w:r>
      <w:r w:rsidRPr="002A7128">
        <w:rPr>
          <w:rFonts w:ascii="Calibri" w:hAnsi="Calibri" w:cs="Calibri"/>
        </w:rPr>
        <w:fldChar w:fldCharType="begin"/>
      </w:r>
      <w:r w:rsidR="00317E7D" w:rsidRPr="002A7128">
        <w:rPr>
          <w:rFonts w:ascii="Calibri" w:hAnsi="Calibri" w:cs="Calibri"/>
        </w:rPr>
        <w:instrText xml:space="preserve"> ADDIN ZOTERO_ITEM CSL_CITATION {"citationID":"EVAsi9mq","properties":{"formattedCitation":"\\super 68\\nosupersub{}","plainCitation":"68","noteIndex":0},"citationItems":[{"id":10588,"uris":["http://zotero.org/groups/2667333/items/DKVDX9CG"],"itemData":{"id":10588,"type":"article-journal","container-title":"Acta Biochimica et Biophysica Sinica","DOI":"10.1093/abbs/gmy078","ISSN":"1745-7270","issue":"9","language":"en","page":"921-928","source":"DOI.org (Crossref)","title":"High-mobility group box 1 protein contributes to the immunogenicity of rTcdB-treated CT26 cells","URL":"https://academic.oup.com/abbs/article/50/9/921/5056458","volume":"50","author":[{"family":"Gu","given":"Huawei"},{"family":"Liu","given":"Ji"},{"family":"Chen","given":"Shuyi"},{"family":"Qi","given":"Haonan"},{"family":"Shi","given":"Kan"},{"family":"Li","given":"Shan"},{"family":"Ma","given":"Yi"},{"family":"Wang","given":"Jufang"}],"accessed":{"date-parts":[["2022",5,19]]},"issued":{"date-parts":[["2018",9,1]]},"citation-key":"gu_high-mobility_2018"}}],"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68</w:t>
      </w:r>
      <w:r w:rsidRPr="002A7128">
        <w:rPr>
          <w:rFonts w:ascii="Calibri" w:hAnsi="Calibri" w:cs="Calibri"/>
        </w:rPr>
        <w:fldChar w:fldCharType="end"/>
      </w:r>
      <w:r w:rsidRPr="002A7128">
        <w:rPr>
          <w:rFonts w:ascii="Calibri" w:hAnsi="Calibri" w:cs="Calibri"/>
        </w:rPr>
        <w:t>. One study showed that HMGB-1, galectin-3 and S100A8/A9 (recombinant DAMPs) increase the proliferation of fibroblasts, while administration of these DAMPs individually had no effect, suggesting synergistic effects of DAMPs</w:t>
      </w:r>
      <w:r w:rsidRPr="002A7128">
        <w:rPr>
          <w:rFonts w:ascii="Calibri" w:hAnsi="Calibri" w:cs="Calibri"/>
        </w:rPr>
        <w:fldChar w:fldCharType="begin"/>
      </w:r>
      <w:r w:rsidR="00317E7D" w:rsidRPr="002A7128">
        <w:rPr>
          <w:rFonts w:ascii="Calibri" w:hAnsi="Calibri" w:cs="Calibri"/>
        </w:rPr>
        <w:instrText xml:space="preserve"> ADDIN ZOTERO_ITEM CSL_CITATION {"citationID":"2DuWLwXA","properties":{"formattedCitation":"\\super 69\\nosupersub{}","plainCitation":"69","noteIndex":0},"citationItems":[{"id":3234,"uris":["http://zotero.org/groups/2667333/items/HF5CSU2E"],"itemData":{"id":3234,"type":"article-journal","abstract":"Background-—Tissue injury triggers inﬂammatory responses that promote tissue ﬁbrosis; however, the mechanisms that couple tissue injury, inﬂammation, and ﬁbroblast activation are not known. Given that dying cells release proinﬂammatory “damageassociated molecular patterns” (DAMPs), we asked whether proteins released by necrotic myocardial cells (NMCs) were sufﬁcient to activate ﬁbroblasts in vitro by examining ﬁbroblast activation after stimulation with proteins released by necrotic myocardial tissue, as well as in vivo by injecting proteins released by necrotic myocardial tissue into the hearts of mice and determining the extent of myocardial inﬂammation and ﬁbrosis at 72 hours.\nMethods and Results-—The freeze–thaw technique was used to induce myocardial necrosis in freshly excised mouse hearts. Supernatants from NMCs contained multiple DAMPs, including high mobility group box-1 (HMGB1), galectin-3, S100b, S100A8, S100A9, and interleukin-1a. NMCs provoked a signiﬁcant increase in ﬁbroblast proliferation, a–smooth muscle actin activation, and collagen 1A1 and 3A1 mRNA expression and signiﬁcantly increased ﬁbroblast motility in a cell-wounding assay in a Toll-like receptor 4 (TLR4)- and receptor for advanced glycation end products–dependent manner. NMC stimulation resulted in a signiﬁcant 3- to 4-fold activation of Akt and Erk, whereas pretreatment with Akt (A6730) and Erk (U0126) inhibitors decreased NMC-induced ﬁbroblast proliferation dose-dependently. The effects of NMCs on cell proliferation and collagen gene expression were mimicked by several recombinant DAMPs, including HMGB1 and galectin-3. Moreover, immunodepletion of HMGB1 in NMC supernatants abrogated NMC-induced cell proliferation. Finally, injection of NMC supernatants or recombinant HMGB1 into the heart provoked increased myocardial inﬂammation and ﬁbrosis in wild-type mice but not in TLR4-deﬁcient mice.\nConclusions-—These studies constitute the initial demonstration that DAMPs released by NMCs induce ﬁbroblast activation in vitro, as well as myocardial inﬂammation and ﬁbrosis in vivo, at least in part, through TLR4-dependent signaling. ( J Am Heart Assoc. 2015;4:e001993 doi: 10.1161/JAHA.115.001993)","container-title":"Journal of the American Heart Association","DOI":"10.1161/JAHA.115.001993","ISSN":"2047-9980, 2047-9980","issue":"6","journalAbbreviation":"JAHA","language":"en","source":"DOI.org (Crossref)","title":"Necrotic Myocardial Cells Release Damage‐Associated Molecular Patterns That Provoke Fibroblast Activation In Vitro and Trigger Myocardial Inflammation and Fibrosis In Vivo","URL":"https://www.ahajournals.org/doi/10.1161/JAHA.115.001993","volume":"4","author":[{"family":"Zhang","given":"Weili"},{"family":"Lavine","given":"Kory J."},{"family":"Epelman","given":"Slava"},{"family":"Evans","given":"Sarah A."},{"family":"Weinheimer","given":"Carla J."},{"family":"Barger","given":"Philip M."},{"family":"Mann","given":"Douglas L."}],"accessed":{"date-parts":[["2020",12,23]]},"issued":{"date-parts":[["2015",6,15]]},"citation-key":"zhang_necrotic_2015"}}],"schema":"https://github.com/citation-style-language/schema/raw/master/csl-citation.json"}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69</w:t>
      </w:r>
      <w:r w:rsidRPr="002A7128">
        <w:rPr>
          <w:rFonts w:ascii="Calibri" w:hAnsi="Calibri" w:cs="Calibri"/>
        </w:rPr>
        <w:fldChar w:fldCharType="end"/>
      </w:r>
      <w:r w:rsidRPr="002A7128">
        <w:rPr>
          <w:rFonts w:ascii="Calibri" w:hAnsi="Calibri" w:cs="Calibri"/>
        </w:rPr>
        <w:t>. Mitochondrial formyl peptides are known to activate neutrophils. A synthetic peptide simulating bacterial challenge called N-formyl-Met-Leu-</w:t>
      </w:r>
      <w:proofErr w:type="spellStart"/>
      <w:r w:rsidRPr="002A7128">
        <w:rPr>
          <w:rFonts w:ascii="Calibri" w:hAnsi="Calibri" w:cs="Calibri"/>
        </w:rPr>
        <w:t>Phe</w:t>
      </w:r>
      <w:proofErr w:type="spellEnd"/>
      <w:r w:rsidRPr="002A7128">
        <w:rPr>
          <w:rFonts w:ascii="Calibri" w:hAnsi="Calibri" w:cs="Calibri"/>
        </w:rPr>
        <w:t xml:space="preserve"> (</w:t>
      </w:r>
      <w:proofErr w:type="spellStart"/>
      <w:r w:rsidRPr="002A7128">
        <w:rPr>
          <w:rFonts w:ascii="Calibri" w:hAnsi="Calibri" w:cs="Calibri"/>
        </w:rPr>
        <w:t>fMLF</w:t>
      </w:r>
      <w:proofErr w:type="spellEnd"/>
      <w:r w:rsidRPr="002A7128">
        <w:rPr>
          <w:rFonts w:ascii="Calibri" w:hAnsi="Calibri" w:cs="Calibri"/>
        </w:rPr>
        <w:t xml:space="preserve">) was used in combination with mitochondrial DNA (mitochondrial DAMP) and secretion of IL-8 was analyzed from neutrophils. While individual peptide or </w:t>
      </w:r>
      <w:proofErr w:type="spellStart"/>
      <w:r w:rsidRPr="002A7128">
        <w:rPr>
          <w:rFonts w:ascii="Calibri" w:hAnsi="Calibri" w:cs="Calibri"/>
        </w:rPr>
        <w:t>mtDNA</w:t>
      </w:r>
      <w:proofErr w:type="spellEnd"/>
      <w:r w:rsidRPr="002A7128">
        <w:rPr>
          <w:rFonts w:ascii="Calibri" w:hAnsi="Calibri" w:cs="Calibri"/>
        </w:rPr>
        <w:t xml:space="preserve"> did not induce a significant release, when used together their synergistic effects significantly increased IL-8 secretion</w:t>
      </w:r>
      <w:r w:rsidRPr="002A7128">
        <w:rPr>
          <w:rFonts w:ascii="Calibri" w:hAnsi="Calibri" w:cs="Calibri"/>
        </w:rPr>
        <w:fldChar w:fldCharType="begin"/>
      </w:r>
      <w:r w:rsidR="00317E7D" w:rsidRPr="002A7128">
        <w:rPr>
          <w:rFonts w:ascii="Calibri" w:hAnsi="Calibri" w:cs="Calibri"/>
        </w:rPr>
        <w:instrText xml:space="preserve"> ADDIN ZOTERO_ITEM CSL_CITATION {"citationID":"8JNULAMe","properties":{"formattedCitation":"\\super 70\\nosupersub{}","plainCitation":"70","noteIndex":0},"citationItems":[{"id":10592,"uris":["http://zotero.org/groups/2667333/items/V4QRQBB2"],"itemData":{"id":10592,"type":"article-journal","container-title":"Nature","DOI":"10.1038/nature08780","ISSN":"0028-0836, 1476-4687","issue":"7285","journalAbbreviation":"Nature","language":"en","page":"104-107","source":"DOI.org (Crossref)","title":"Circulating mitochondrial DAMPs cause inflammatory responses to injury","URL":"http://www.nature.com/articles/nature08780","volume":"464","author":[{"family":"Zhang","given":"Qin"},{"family":"Raoof","given":"Mustafa"},{"family":"Chen","given":"Yu"},{"family":"Sumi","given":"Yuka"},{"family":"Sursal","given":"Tolga"},{"family":"Junger","given":"Wolfgang"},{"family":"Brohi","given":"Karim"},{"family":"Itagaki","given":"Kiyoshi"},{"family":"Hauser","given":"Carl J."}],"accessed":{"date-parts":[["2022",5,21]]},"issued":{"date-parts":[["2010",3]]},"citation-key":"zhang_circulating_2010"}}],"schema":"https://github.com/citation-style-language/schema/raw/master/csl-citation.json"}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70</w:t>
      </w:r>
      <w:r w:rsidRPr="002A7128">
        <w:rPr>
          <w:rFonts w:ascii="Calibri" w:hAnsi="Calibri" w:cs="Calibri"/>
        </w:rPr>
        <w:fldChar w:fldCharType="end"/>
      </w:r>
      <w:r w:rsidRPr="002A7128">
        <w:rPr>
          <w:rFonts w:ascii="Calibri" w:hAnsi="Calibri" w:cs="Calibri"/>
        </w:rPr>
        <w:t xml:space="preserve">. Similarly, in an influenza vaccination model, </w:t>
      </w:r>
      <w:proofErr w:type="spellStart"/>
      <w:r w:rsidRPr="002A7128">
        <w:rPr>
          <w:rFonts w:ascii="Calibri" w:hAnsi="Calibri" w:cs="Calibri"/>
        </w:rPr>
        <w:t>Vono</w:t>
      </w:r>
      <w:proofErr w:type="spellEnd"/>
      <w:r w:rsidRPr="002A7128">
        <w:rPr>
          <w:rFonts w:ascii="Calibri" w:hAnsi="Calibri" w:cs="Calibri"/>
        </w:rPr>
        <w:t xml:space="preserve"> et al, showed that MF59 adjuvant mechanism conveys through the extracellular ATP release from </w:t>
      </w:r>
      <w:r w:rsidRPr="002A7128">
        <w:rPr>
          <w:rFonts w:ascii="Calibri" w:hAnsi="Calibri" w:cs="Calibri"/>
        </w:rPr>
        <w:lastRenderedPageBreak/>
        <w:t>muscle cells, which cannot be replicated by ATP administration alone, suggesting the role of other molecules</w:t>
      </w:r>
      <w:r w:rsidRPr="002A7128">
        <w:rPr>
          <w:rFonts w:ascii="Calibri" w:hAnsi="Calibri" w:cs="Calibri"/>
        </w:rPr>
        <w:fldChar w:fldCharType="begin"/>
      </w:r>
      <w:r w:rsidR="00317E7D" w:rsidRPr="002A7128">
        <w:rPr>
          <w:rFonts w:ascii="Calibri" w:hAnsi="Calibri" w:cs="Calibri"/>
        </w:rPr>
        <w:instrText xml:space="preserve"> ADDIN ZOTERO_ITEM CSL_CITATION {"citationID":"o2twCnzV","properties":{"formattedCitation":"\\super 71\\nosupersub{}","plainCitation":"71","noteIndex":0},"citationItems":[{"id":6731,"uris":["http://zotero.org/groups/2667333/items/8SKMAZE9"],"itemData":{"id":6731,"type":"article-journal","abstract":"Vaccines are the most effective agents to control infections. In addition to the pathogen antigens, vaccines contain adjuvants that are used to enhance protective immune responses. However, the molecular mechanism of action of most adjuvants is ill-known, and a better understanding of adjuvanticity is needed to develop improved adjuvants based on molecular targets that further enhance vaccine efficacy. This is particularly important for tuberculosis, malaria, AIDS, and other diseases for which protective vaccines do not exist. Release of endogenous danger signals has been linked to adjuvanticity; however, the role of extracellular ATP during vaccination has never been explored. Here, we tested whether ATP release is involved in the immune boosting effect of four common adjuvants: aluminum hydroxide, calcium phosphate, incomplete Freund’s adjuvant, and the oil-in-water emulsion MF59. We found that intramuscular injection is always associated with a weak transient release of ATP, which was greatly enhanced by the presence of MF59 but not by all other adjuvants tested. Local injection of apyrase, an ATP-hydrolyzing enzyme, inhibited cell recruitment in the muscle induced by MF59 but not by alum or incomplete Freund’s adjuvant. In addition, apyrase strongly inhibited influenza-specific T-cell responses and hemagglutination inhibition titers in response to an MF59-adjuvanted trivalent influenza vaccine. These data demonstrate that a transient ATP release is required for innate and adaptive immune responses induced by MF59 and link extracellular ATP with an enhanced response to vaccination.","container-title":"Proceedings of the National Academy of Sciences","DOI":"10.1073/pnas.1319784110","ISSN":"0027-8424, 1091-6490","issue":"52","journalAbbreviation":"PNAS","language":"en","license":"©  . Freely available online through the PNAS open access option.","note":"publisher: National Academy of Sciences\nsection: Biological Sciences\nPMID: 24324152","page":"21095-21100","source":"www.pnas.org","title":"The adjuvant MF59 induces ATP release from muscle that potentiates response to vaccination","URL":"https://www.pnas.org/content/110/52/21095","volume":"110","author":[{"family":"Vono","given":"Maria"},{"family":"Taccone","given":"Marianna"},{"family":"Caccin","given":"Paola"},{"family":"Gallotta","given":"Marilena"},{"family":"Donvito","given":"Giovanna"},{"family":"Falzoni","given":"Simonetta"},{"family":"Palmieri","given":"Emiliano"},{"family":"Pallaoro","given":"Michele"},{"family":"Rappuoli","given":"Rino"},{"family":"Virgilio","given":"Francesco Di"},{"family":"Gregorio","given":"Ennio De"},{"family":"Montecucco","given":"Cesare"},{"family":"Seubert","given":"Anja"}],"accessed":{"date-parts":[["2021",6,15]]},"issued":{"date-parts":[["2013",12,24]]},"citation-key":"vono_adjuvant_2013"}}],"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71</w:t>
      </w:r>
      <w:r w:rsidRPr="002A7128">
        <w:rPr>
          <w:rFonts w:ascii="Calibri" w:hAnsi="Calibri" w:cs="Calibri"/>
        </w:rPr>
        <w:fldChar w:fldCharType="end"/>
      </w:r>
      <w:r w:rsidRPr="002A7128">
        <w:rPr>
          <w:rFonts w:ascii="Calibri" w:hAnsi="Calibri" w:cs="Calibri"/>
        </w:rPr>
        <w:t>.</w:t>
      </w:r>
    </w:p>
    <w:p w14:paraId="680F2A9B" w14:textId="77777777" w:rsidR="00A27485" w:rsidRPr="002A7128" w:rsidRDefault="00A27485">
      <w:pPr>
        <w:pStyle w:val="Heading2"/>
        <w:numPr>
          <w:ilvl w:val="1"/>
          <w:numId w:val="2"/>
        </w:numPr>
        <w:spacing w:line="480" w:lineRule="auto"/>
        <w:jc w:val="both"/>
        <w:rPr>
          <w:rFonts w:ascii="Calibri" w:hAnsi="Calibri" w:cs="Calibri"/>
        </w:rPr>
      </w:pPr>
      <w:bookmarkStart w:id="29" w:name="_Toc115787970"/>
      <w:bookmarkStart w:id="30" w:name="_Toc120794128"/>
      <w:r w:rsidRPr="002A7128">
        <w:rPr>
          <w:rFonts w:ascii="Calibri" w:hAnsi="Calibri" w:cs="Calibri"/>
        </w:rPr>
        <w:t>ICD and DAMP Release Inducers</w:t>
      </w:r>
      <w:bookmarkEnd w:id="29"/>
      <w:bookmarkEnd w:id="30"/>
    </w:p>
    <w:p w14:paraId="5593DFFE" w14:textId="06F1FEEC" w:rsidR="00386929" w:rsidRPr="002A7128" w:rsidRDefault="00A27485" w:rsidP="00A27485">
      <w:pPr>
        <w:spacing w:line="480" w:lineRule="auto"/>
        <w:jc w:val="both"/>
        <w:rPr>
          <w:rFonts w:ascii="Calibri" w:hAnsi="Calibri" w:cs="Calibri"/>
        </w:rPr>
      </w:pPr>
      <w:r w:rsidRPr="002A7128">
        <w:rPr>
          <w:rFonts w:ascii="Calibri" w:hAnsi="Calibri" w:cs="Calibri"/>
        </w:rPr>
        <w:t>There are multiple techniques that induce ICD and DAMP release. These involve chemotherapeutics, physical therapies such as radiation therapy and photothermal therapy and antimicrobial peptides. Each technique has been proven to be successful in terms of ICD induction and DAMP release, however, there are different factors limiting their activities such as differences in cell type, accessibility of the tumor and applicability to different settings such as vaccination against viral infections</w:t>
      </w:r>
      <w:r w:rsidR="0008275D" w:rsidRPr="002A7128">
        <w:rPr>
          <w:rFonts w:ascii="Calibri" w:hAnsi="Calibri" w:cs="Calibri"/>
        </w:rPr>
        <w:fldChar w:fldCharType="begin"/>
      </w:r>
      <w:r w:rsidR="00317E7D" w:rsidRPr="002A7128">
        <w:rPr>
          <w:rFonts w:ascii="Calibri" w:hAnsi="Calibri" w:cs="Calibri"/>
        </w:rPr>
        <w:instrText xml:space="preserve"> ADDIN ZOTERO_ITEM CSL_CITATION {"citationID":"a2qf54ppobb","properties":{"formattedCitation":"\\super 72,73\\nosupersub{}","plainCitation":"72,73","noteIndex":0},"citationItems":[{"id":857,"uris":["http://zotero.org/users/5797461/items/3ZEIBY3W"],"itemData":{"id":857,"type":"article-journal","container-title":"Scientific Reports","DOI":"10.1038/s41598-018-26978-1","ISSN":"2045-2322","issue":"1","journalAbbreviation":"Sci Rep","language":"en","page":"8720","source":"DOI.org (Crossref)","title":"Temperature-dependent cell death patterns induced by functionalized gold nanoparticle photothermal therapy in melanoma cells","URL":"http://www.nature.com/articles/s41598-018-26978-1","volume":"8","author":[{"family":"Zhang","given":"Yujuan"},{"family":"Zhan","given":"Xuelin"},{"family":"Xiong","given":"Juan"},{"family":"Peng","given":"Shanshan"},{"family":"Huang","given":"Wei"},{"family":"Joshi","given":"Rakesh"},{"family":"Cai","given":"Ying"},{"family":"Liu","given":"Yanling"},{"family":"Li","given":"Rong"},{"family":"Yuan","given":"Keng"},{"family":"Zhou","given":"Nanjin"},{"family":"Min","given":"Weiping"}],"accessed":{"date-parts":[["2021",1,1]]},"issued":{"date-parts":[["2018",12]]},"citation-key":"zhangTemperaturedependentCellDeath2018"}},{"id":9882,"uris":["http://zotero.org/groups/2667333/items/FZVSZA5B"],"itemData":{"id":9882,"type":"article-journal","container-title":"Science Translational Medicine","DOI":"10.1126/scitranslmed.aba6110","ISSN":"1946-6234, 1946-6242","issue":"575","journalAbbreviation":"Sci. Transl. Med.","language":"en","page":"eaba6110","source":"DOI.org (Crossref)","title":"Mitochondrial metabolic reprogramming controls the induction of immunogenic cell death and efficacy of chemotherapy in bladder cancer","URL":"https://www.science.org/doi/10.1126/scitranslmed.aba6110","volume":"13","author":[{"family":"Oresta","given":"Bianca"},{"family":"Pozzi","given":"Chiara"},{"family":"Braga","given":"Daniele"},{"family":"Hurle","given":"Rodolfo"},{"family":"Lazzeri","given":"Massimo"},{"family":"Colombo","given":"Piergiuseppe"},{"family":"Frego","given":"Nicola"},{"family":"Erreni","given":"Marco"},{"family":"Faccani","given":"Cristina"},{"family":"Elefante","given":"Grazia"},{"family":"Barcella","given":"Matteo"},{"family":"Guazzoni","given":"Giorgio"},{"family":"Rescigno","given":"Maria"}],"accessed":{"date-parts":[["2022",1,11]]},"issued":{"date-parts":[["2021",1,6]]},"citation-key":"oresta_mitochondrial_2021"}}],"schema":"https://github.com/citation-style-language/schema/raw/master/csl-citation.json"} </w:instrText>
      </w:r>
      <w:r w:rsidR="0008275D" w:rsidRPr="002A7128">
        <w:rPr>
          <w:rFonts w:ascii="Calibri" w:hAnsi="Calibri" w:cs="Calibri"/>
        </w:rPr>
        <w:fldChar w:fldCharType="separate"/>
      </w:r>
      <w:r w:rsidR="00317E7D" w:rsidRPr="002A7128">
        <w:rPr>
          <w:rFonts w:ascii="Calibri" w:hAnsi="Calibri" w:cs="Calibri"/>
          <w:vertAlign w:val="superscript"/>
        </w:rPr>
        <w:t>72,73</w:t>
      </w:r>
      <w:r w:rsidR="0008275D" w:rsidRPr="002A7128">
        <w:rPr>
          <w:rFonts w:ascii="Calibri" w:hAnsi="Calibri" w:cs="Calibri"/>
        </w:rPr>
        <w:fldChar w:fldCharType="end"/>
      </w:r>
      <w:r w:rsidRPr="002A7128">
        <w:rPr>
          <w:rFonts w:ascii="Calibri" w:hAnsi="Calibri" w:cs="Calibri"/>
        </w:rPr>
        <w:t xml:space="preserve">. </w:t>
      </w:r>
    </w:p>
    <w:p w14:paraId="23478A8B" w14:textId="420CFC6F" w:rsidR="002B27CA" w:rsidRDefault="002B27CA">
      <w:pPr>
        <w:pStyle w:val="Heading2"/>
        <w:numPr>
          <w:ilvl w:val="2"/>
          <w:numId w:val="2"/>
        </w:numPr>
      </w:pPr>
      <w:bookmarkStart w:id="31" w:name="_Toc120794129"/>
      <w:r w:rsidRPr="002B27CA">
        <w:t>Chemotherapeutics</w:t>
      </w:r>
      <w:bookmarkEnd w:id="31"/>
    </w:p>
    <w:p w14:paraId="073CF43C" w14:textId="77777777" w:rsidR="002B27CA" w:rsidRPr="002B27CA" w:rsidRDefault="002B27CA" w:rsidP="002B27CA"/>
    <w:p w14:paraId="705ADC0E" w14:textId="3C389461" w:rsidR="00A27485" w:rsidRPr="002A7128" w:rsidRDefault="00A27485" w:rsidP="00A27485">
      <w:pPr>
        <w:spacing w:line="480" w:lineRule="auto"/>
        <w:jc w:val="both"/>
        <w:rPr>
          <w:rFonts w:ascii="Calibri" w:hAnsi="Calibri" w:cs="Calibri"/>
        </w:rPr>
      </w:pPr>
      <w:r w:rsidRPr="002A7128">
        <w:rPr>
          <w:rFonts w:ascii="Calibri" w:hAnsi="Calibri" w:cs="Calibri"/>
        </w:rPr>
        <w:t>Mitoxantrone, oxaliplatin and doxorubicin are widely studied</w:t>
      </w:r>
      <w:r w:rsidR="00534101" w:rsidRPr="002A7128">
        <w:rPr>
          <w:rFonts w:ascii="Calibri" w:hAnsi="Calibri" w:cs="Calibri"/>
        </w:rPr>
        <w:t xml:space="preserve"> chemotherapeutics</w:t>
      </w:r>
      <w:r w:rsidRPr="002A7128">
        <w:rPr>
          <w:rFonts w:ascii="Calibri" w:hAnsi="Calibri" w:cs="Calibri"/>
        </w:rPr>
        <w:t xml:space="preserve"> for their mechanism for ICD induction</w:t>
      </w:r>
      <w:r w:rsidR="00534101" w:rsidRPr="002A7128">
        <w:rPr>
          <w:rFonts w:ascii="Calibri" w:hAnsi="Calibri" w:cs="Calibri"/>
        </w:rPr>
        <w:t xml:space="preserve"> and DAMPs release. </w:t>
      </w:r>
      <w:r w:rsidRPr="002A7128">
        <w:rPr>
          <w:rFonts w:ascii="Calibri" w:hAnsi="Calibri" w:cs="Calibri"/>
        </w:rPr>
        <w:t xml:space="preserve">Mitoxantrone has been shown to induce </w:t>
      </w:r>
      <w:r w:rsidR="00AD6EF4">
        <w:rPr>
          <w:rFonts w:ascii="Calibri" w:hAnsi="Calibri" w:cs="Calibri"/>
        </w:rPr>
        <w:t>CRT</w:t>
      </w:r>
      <w:r w:rsidRPr="002A7128">
        <w:rPr>
          <w:rFonts w:ascii="Calibri" w:hAnsi="Calibri" w:cs="Calibri"/>
        </w:rPr>
        <w:t xml:space="preserve"> surface localization and release of HMGB-1 and ATP. Its immunogenicity induction has been studied in different settings resulting in; higher phagocytosis of cancer cells by DCs</w:t>
      </w:r>
      <w:r w:rsidRPr="002A7128">
        <w:rPr>
          <w:rFonts w:ascii="Calibri" w:hAnsi="Calibri" w:cs="Calibri"/>
        </w:rPr>
        <w:fldChar w:fldCharType="begin"/>
      </w:r>
      <w:r w:rsidR="00317E7D" w:rsidRPr="002A7128">
        <w:rPr>
          <w:rFonts w:ascii="Calibri" w:hAnsi="Calibri" w:cs="Calibri"/>
        </w:rPr>
        <w:instrText xml:space="preserve"> ADDIN ZOTERO_ITEM CSL_CITATION {"citationID":"a1138taup30","properties":{"formattedCitation":"\\super 74\\nosupersub{}","plainCitation":"74","noteIndex":0},"citationItems":[{"id":9973,"uris":["http://zotero.org/groups/2667333/items/7QQLX9IJ"],"itemData":{"id":9973,"type":"article-journal","container-title":"Cellular Oncology","DOI":"10.1007/s13402-020-00544-2","ISSN":"2211-3428, 2211-3436","issue":"6","journalAbbreviation":"Cell Oncol.","language":"en","page":"1099-1116","source":"DOI.org (Crossref)","title":"Mitoxantrone triggers immunogenic prostate cancer cell death via p53-dependent PERK expression","URL":"https://link.springer.com/10.1007/s13402-020-00544-2","volume":"43","author":[{"family":"Li","given":"Changlin"},{"family":"Sun","given":"Hui"},{"family":"Wei","given":"Wei"},{"family":"Liu","given":"Qiuzi"},{"family":"Wang","given":"Yinglei"},{"family":"Zhang","given":"Ying"},{"family":"Lian","given":"Fuming"},{"family":"Liu","given":"Fangchao"},{"family":"Li","given":"Chenchen"},{"family":"Ying","given":"Kaicheng"},{"family":"Huo","given":"Hang"},{"family":"Qi","given":"Zhi"},{"family":"Li","given":"Benyi"}],"accessed":{"date-parts":[["2022",2,9]]},"issued":{"date-parts":[["2020",12]]},"citation-key":"li_mitoxantrone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74</w:t>
      </w:r>
      <w:r w:rsidRPr="002A7128">
        <w:rPr>
          <w:rFonts w:ascii="Calibri" w:hAnsi="Calibri" w:cs="Calibri"/>
        </w:rPr>
        <w:fldChar w:fldCharType="end"/>
      </w:r>
      <w:r w:rsidRPr="002A7128">
        <w:rPr>
          <w:rFonts w:ascii="Calibri" w:hAnsi="Calibri" w:cs="Calibri"/>
        </w:rPr>
        <w:t>, induction of CD8+ T cell activation in in vitro co-culture system</w:t>
      </w:r>
      <w:r w:rsidRPr="002A7128">
        <w:rPr>
          <w:rFonts w:ascii="Calibri" w:hAnsi="Calibri" w:cs="Calibri"/>
        </w:rPr>
        <w:fldChar w:fldCharType="begin"/>
      </w:r>
      <w:r w:rsidR="00317E7D" w:rsidRPr="002A7128">
        <w:rPr>
          <w:rFonts w:ascii="Calibri" w:hAnsi="Calibri" w:cs="Calibri"/>
        </w:rPr>
        <w:instrText xml:space="preserve"> ADDIN ZOTERO_ITEM CSL_CITATION {"citationID":"a2kvski1c1j","properties":{"formattedCitation":"\\super 75\\nosupersub{}","plainCitation":"75","noteIndex":0},"citationItems":[{"id":9239,"uris":["http://zotero.org/groups/2667333/items/IP75GGEY"],"itemData":{"id":9239,"type":"report","abstract":"Inhibition of immune checkpoints has shown promising results in the treatment of certain tumor types. However, the majority of cancers do not respond to immune checkpoint inhibition (ICI) treatment, indicating the need to identify additional modalities that enhance the response to immune checkpoint blockade. In this study, we identified a tumor-tailored approach using ex-vivo DNA damaging chemotherapy-treated tumor cells as a live injured cell adjuvant. Using an optimized ex vivo system for dendritic cellmediated T-cell IFN-γ induction in response to DNA-damaged tumor cells, we identified specific dose-dependent treatments with etoposide and mitoxantrone that markedly enhance IFN-g production by T-cells. Unexpectedly, the immune-enhancing effects of DNA damage failed to correlate with known markers of immunogenic cell death or with the extent of apoptosis or necroptosis. Furthermore, dead tumor cells alone were not sufficient to promote DC cross-presentation and induce IFN-g in T-cells. Instead, the enhanced immunogenicity resided in the fraction of injured cells that remained alive, and required signaling through the RIPK1, NF-kB and p38MAPK pathways. Direct in vivo translation of these findings was accomplished by intra-tumoral injection of ex vivo etoposide-treated tumor cells as an injured cell adjuvant, in combination with systemic anti-PD1/CTLA4 antibodies. This resulted in increased intra-tumoral CD103+ dendritic cells and circulating tumor antigen-specific CD8+ T-cells, leading to enhanced anti-tumor immune responses and improved survival. The effect was abrogated in BATF3-deficient mice indicating that BATF3+ DCs are required for appropriate T-cell stimulation by live but injured DNA-damaged tumor cells. Notably, injection of the free DNA-damaging drug directly into the tumor failed to elicit such an enhanced anti-tumor response as a consequence of simultaneous damage to dendritic cells and T-cells. Finally, the DNA damage induced injured cell adjuvant and systemic ICI combination, but not ICI alone, induced complete tumor regression in a subset of mice who were then able to reject tumor re-challenge, indicating induction of a long-lasting anti-tumor immunological memory by the injured cell adjuvant treatment in vivo.","genre":"preprint","language":"en","note":"DOI: 10.1101/2020.04.26.062216","publisher":"Cancer Biology","source":"DOI.org (Crossref)","title":"The Injury Response to DNA Damage Promotes Anti-Tumor Immunity","URL":"http://biorxiv.org/lookup/doi/10.1101/2020.04.26.062216","author":[{"family":"Sriram","given":"Ganapathy"},{"family":"Milling","given":"Lauren"},{"family":"Chen","given":"Jung-Kuei"},{"family":"Abraham","given":"Wuhbet"},{"family":"Handly","given":"Erika D."},{"family":"Irvine","given":"Darrell J."},{"family":"Yaffe","given":"Michael B."}],"accessed":{"date-parts":[["2021",10,18]]},"issued":{"date-parts":[["2020",4,27]]},"citation-key":"sriram_injury_2020"}}],"schema":"https://github.com/citation-style-language/schema/raw/master/csl-citation.json"}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75</w:t>
      </w:r>
      <w:r w:rsidRPr="002A7128">
        <w:rPr>
          <w:rFonts w:ascii="Calibri" w:hAnsi="Calibri" w:cs="Calibri"/>
        </w:rPr>
        <w:fldChar w:fldCharType="end"/>
      </w:r>
      <w:r w:rsidRPr="002A7128">
        <w:rPr>
          <w:rFonts w:ascii="Calibri" w:hAnsi="Calibri" w:cs="Calibri"/>
        </w:rPr>
        <w:t xml:space="preserve"> and protective capacity in ICD-based prophylactic vaccination models</w:t>
      </w:r>
      <w:r w:rsidRPr="002A7128">
        <w:rPr>
          <w:rFonts w:ascii="Calibri" w:hAnsi="Calibri" w:cs="Calibri"/>
        </w:rPr>
        <w:fldChar w:fldCharType="begin"/>
      </w:r>
      <w:r w:rsidR="00317E7D" w:rsidRPr="002A7128">
        <w:rPr>
          <w:rFonts w:ascii="Calibri" w:hAnsi="Calibri" w:cs="Calibri"/>
        </w:rPr>
        <w:instrText xml:space="preserve"> ADDIN ZOTERO_ITEM CSL_CITATION {"citationID":"a255bsd142n","properties":{"formattedCitation":"\\super 76\\nosupersub{}","plainCitation":"76","noteIndex":0},"citationItems":[{"id":9974,"uris":["http://zotero.org/groups/2667333/items/73ZYI7GR"],"itemData":{"id":9974,"type":"article-journal","container-title":"Medical Oncology","DOI":"10.1007/s12032-020-01445-y","ISSN":"1357-0560, 1559-131X","issue":"12","journalAbbreviation":"Med Oncol","language":"en","page":"116","source":"DOI.org (Crossref)","title":"Proteasome inhibitors attenuates mitoxantrone-triggered immunogenic cell death in prostate cancer cells","URL":"http://link.springer.com/10.1007/s12032-020-01445-y","volume":"37","author":[{"family":"Wei","given":"Wei"},{"family":"Li","given":"Haibin"},{"family":"Zhang","given":"Guoan"},{"family":"Zhang","given":"Ying"},{"family":"Wu","given":"Ke"},{"family":"Bao","given":"Rongrong"},{"family":"Wang","given":"Gege"},{"family":"Zheng","given":"Han"},{"family":"Xia","given":"Yong"},{"family":"Li","given":"Changlin"}],"accessed":{"date-parts":[["2022",2,9]]},"issued":{"date-parts":[["2020",12]]},"citation-key":"wei_proteasome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76</w:t>
      </w:r>
      <w:r w:rsidRPr="002A7128">
        <w:rPr>
          <w:rFonts w:ascii="Calibri" w:hAnsi="Calibri" w:cs="Calibri"/>
        </w:rPr>
        <w:fldChar w:fldCharType="end"/>
      </w:r>
      <w:r w:rsidRPr="002A7128">
        <w:rPr>
          <w:rFonts w:ascii="Calibri" w:hAnsi="Calibri" w:cs="Calibri"/>
        </w:rPr>
        <w:t>. Similarly, oxaliplatin and doxorubicin has been shown to induce protective immunity in prophylactic vaccination models through DAMPs</w:t>
      </w:r>
      <w:r w:rsidRPr="002A7128">
        <w:rPr>
          <w:rFonts w:ascii="Calibri" w:hAnsi="Calibri" w:cs="Calibri"/>
        </w:rPr>
        <w:fldChar w:fldCharType="begin"/>
      </w:r>
      <w:r w:rsidR="00317E7D" w:rsidRPr="002A7128">
        <w:rPr>
          <w:rFonts w:ascii="Calibri" w:hAnsi="Calibri" w:cs="Calibri"/>
        </w:rPr>
        <w:instrText xml:space="preserve"> ADDIN ZOTERO_ITEM CSL_CITATION {"citationID":"a1h1r1gab3s","properties":{"formattedCitation":"\\super 46,77\\nosupersub{}","plainCitation":"46,77","noteIndex":0},"citationItems":[{"id":9975,"uris":["http://zotero.org/groups/2667333/items/WE46ZRYK"],"itemData":{"id":9975,"type":"article-journal","abstract":"Systemic anticancer chemotherapy is immunosuppressive and mostly induces nonimmunogenic tumor cell death. Here, we show that even in the absence of any adjuvant, tumor cells dying in response to anthracyclins can elicit an effective antitumor immune response that suppresses the growth of inoculated tumors or leads to the regression of established neoplasia. Although both antracyclins and mitomycin C induced apoptosis with caspase activation, only anthracyclin-induced immunogenic cell death was immunogenic. Caspase inhibition by Z-VAD-fmk or transfection with the baculovirus inhibitor p35 did not inhibit doxorubicin (DX)-induced cell death, yet suppressed the immunogenicity of dying tumor cells in several rodent models of neoplasia. Depletion of dendritic cells (DCs) or CD8+T cells abolished the immune response against DX-treated apoptotic tumor cells in vivo. Caspase inhibition suppressed the capacity of DX-killed cells to be phagocytosed by DCs, yet had no effect on their capacity to elicit DC maturation. Freshly excised tumors became immunogenic upon DX treatment in vitro, and intratumoral inoculation of DX could trigger the regression of established tumors in immunocompetent mice. These results delineate a procedure for the generation of cancer vaccines and the stimulation of anti-neoplastic immune responses in vivo.","container-title":"Journal of Experimental Medicine","DOI":"10.1084/jem.20050915","ISSN":"1540-9538, 0022-1007","issue":"12","language":"en","page":"1691-1701","source":"DOI.org (Crossref)","title":"Caspase-dependent immunogenicity of doxorubicin-induced tumor cell death","URL":"https://rupress.org/jem/article/202/12/1691/40196/Caspasedependent-immunogenicity-of","volume":"202","author":[{"family":"Casares","given":"Noelia"},{"family":"Pequignot","given":"Marie O."},{"family":"Tesniere","given":"Antoine"},{"family":"Ghiringhelli","given":"François"},{"family":"Roux","given":"Stéphan"},{"family":"Chaput","given":"Nathalie"},{"family":"Schmitt","given":"Elise"},{"family":"Hamai","given":"Ahmed"},{"family":"Hervas-Stubbs","given":"Sandra"},{"family":"Obeid","given":"Michel"},{"family":"Coutant","given":"Frédéric"},{"family":"Métivier","given":"Didier"},{"family":"Pichard","given":"Evelyne"},{"family":"Aucouturier","given":"Pierre"},{"family":"Pierron","given":"Gérard"},{"family":"Garrido","given":"Carmen"},{"family":"Zitvogel","given":"Laurence"},{"family":"Kroemer","given":"Guido"}],"accessed":{"date-parts":[["2022",2,9]]},"issued":{"date-parts":[["2005",12,19]]},"citation-key":"casares_caspase-dependent_2005"}},{"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46,77</w:t>
      </w:r>
      <w:r w:rsidRPr="002A7128">
        <w:rPr>
          <w:rFonts w:ascii="Calibri" w:hAnsi="Calibri" w:cs="Calibri"/>
        </w:rPr>
        <w:fldChar w:fldCharType="end"/>
      </w:r>
      <w:r w:rsidRPr="002A7128">
        <w:rPr>
          <w:rFonts w:ascii="Calibri" w:hAnsi="Calibri" w:cs="Calibri"/>
        </w:rPr>
        <w:t>. However, immunogenicity of chemotherapeutics is highly dependent on their concentrations. Increasing their concentrations does not necessarily correlate with higher DAMP release and immunogenicity, in fact has been shown to reduce the amount of released DAMPs for mitoxantrone, oxaliplatin and doxorubicin</w:t>
      </w:r>
      <w:r w:rsidRPr="002A7128">
        <w:rPr>
          <w:rFonts w:ascii="Calibri" w:hAnsi="Calibri" w:cs="Calibri"/>
        </w:rPr>
        <w:fldChar w:fldCharType="begin"/>
      </w:r>
      <w:r w:rsidR="00317E7D" w:rsidRPr="002A7128">
        <w:rPr>
          <w:rFonts w:ascii="Calibri" w:hAnsi="Calibri" w:cs="Calibri"/>
        </w:rPr>
        <w:instrText xml:space="preserve"> ADDIN ZOTERO_ITEM CSL_CITATION {"citationID":"a2lgoe1im79","properties":{"formattedCitation":"\\super 46,75\\nosupersub{}","plainCitation":"46,75","noteIndex":0},"citationItems":[{"id":9239,"uris":["http://zotero.org/groups/2667333/items/IP75GGEY"],"itemData":{"id":9239,"type":"report","abstract":"Inhibition of immune checkpoints has shown promising results in the treatment of certain tumor types. However, the majority of cancers do not respond to immune checkpoint inhibition (ICI) treatment, indicating the need to identify additional modalities that enhance the response to immune checkpoint blockade. In this study, we identified a tumor-tailored approach using ex-vivo DNA damaging chemotherapy-treated tumor cells as a live injured cell adjuvant. Using an optimized ex vivo system for dendritic cellmediated T-cell IFN-γ induction in response to DNA-damaged tumor cells, we identified specific dose-dependent treatments with etoposide and mitoxantrone that markedly enhance IFN-g production by T-cells. Unexpectedly, the immune-enhancing effects of DNA damage failed to correlate with known markers of immunogenic cell death or with the extent of apoptosis or necroptosis. Furthermore, dead tumor cells alone were not sufficient to promote DC cross-presentation and induce IFN-g in T-cells. Instead, the enhanced immunogenicity resided in the fraction of injured cells that remained alive, and required signaling through the RIPK1, NF-kB and p38MAPK pathways. Direct in vivo translation of these findings was accomplished by intra-tumoral injection of ex vivo etoposide-treated tumor cells as an injured cell adjuvant, in combination with systemic anti-PD1/CTLA4 antibodies. This resulted in increased intra-tumoral CD103+ dendritic cells and circulating tumor antigen-specific CD8+ T-cells, leading to enhanced anti-tumor immune responses and improved survival. The effect was abrogated in BATF3-deficient mice indicating that BATF3+ DCs are required for appropriate T-cell stimulation by live but injured DNA-damaged tumor cells. Notably, injection of the free DNA-damaging drug directly into the tumor failed to elicit such an enhanced anti-tumor response as a consequence of simultaneous damage to dendritic cells and T-cells. Finally, the DNA damage induced injured cell adjuvant and systemic ICI combination, but not ICI alone, induced complete tumor regression in a subset of mice who were then able to reject tumor re-challenge, indicating induction of a long-lasting anti-tumor immunological memory by the injured cell adjuvant treatment in vivo.","genre":"preprint","language":"en","note":"DOI: 10.1101/2020.04.26.062216","publisher":"Cancer Biology","source":"DOI.org (Crossref)","title":"The Injury Response to DNA Damage Promotes Anti-Tumor Immunity","URL":"http://biorxiv.org/lookup/doi/10.1101/2020.04.26.062216","author":[{"family":"Sriram","given":"Ganapathy"},{"family":"Milling","given":"Lauren"},{"family":"Chen","given":"Jung-Kuei"},{"family":"Abraham","given":"Wuhbet"},{"family":"Handly","given":"Erika D."},{"family":"Irvine","given":"Darrell J."},{"family":"Yaffe","given":"Michael B."}],"accessed":{"date-parts":[["2021",10,18]]},"issued":{"date-parts":[["2020",4,27]]},"citation-key":"sriram_injury_2020"}},{"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46,75</w:t>
      </w:r>
      <w:r w:rsidRPr="002A7128">
        <w:rPr>
          <w:rFonts w:ascii="Calibri" w:hAnsi="Calibri" w:cs="Calibri"/>
        </w:rPr>
        <w:fldChar w:fldCharType="end"/>
      </w:r>
      <w:r w:rsidRPr="002A7128">
        <w:rPr>
          <w:rFonts w:ascii="Calibri" w:hAnsi="Calibri" w:cs="Calibri"/>
        </w:rPr>
        <w:t xml:space="preserve">. Ability to induce DAMP release for chemotherapeutics is also cell line dependent. Transfer of tumor conditioned medium after </w:t>
      </w:r>
      <w:r w:rsidRPr="002A7128">
        <w:rPr>
          <w:rFonts w:ascii="Calibri" w:hAnsi="Calibri" w:cs="Calibri"/>
        </w:rPr>
        <w:lastRenderedPageBreak/>
        <w:t>mitomycin C treatment was stimulatory for DCs only some of the bladder cancer cell lines</w:t>
      </w:r>
      <w:r w:rsidRPr="002A7128">
        <w:rPr>
          <w:rFonts w:ascii="Calibri" w:hAnsi="Calibri" w:cs="Calibri"/>
        </w:rPr>
        <w:fldChar w:fldCharType="begin"/>
      </w:r>
      <w:r w:rsidR="00317E7D" w:rsidRPr="002A7128">
        <w:rPr>
          <w:rFonts w:ascii="Calibri" w:hAnsi="Calibri" w:cs="Calibri"/>
        </w:rPr>
        <w:instrText xml:space="preserve"> ADDIN ZOTERO_ITEM CSL_CITATION {"citationID":"a2o9rtt40uj","properties":{"formattedCitation":"\\super 73\\nosupersub{}","plainCitation":"73","noteIndex":0},"citationItems":[{"id":9882,"uris":["http://zotero.org/groups/2667333/items/FZVSZA5B"],"itemData":{"id":9882,"type":"article-journal","container-title":"Science Translational Medicine","DOI":"10.1126/scitranslmed.aba6110","ISSN":"1946-6234, 1946-6242","issue":"575","journalAbbreviation":"Sci. Transl. Med.","language":"en","page":"eaba6110","source":"DOI.org (Crossref)","title":"Mitochondrial metabolic reprogramming controls the induction of immunogenic cell death and efficacy of chemotherapy in bladder cancer","URL":"https://www.science.org/doi/10.1126/scitranslmed.aba6110","volume":"13","author":[{"family":"Oresta","given":"Bianca"},{"family":"Pozzi","given":"Chiara"},{"family":"Braga","given":"Daniele"},{"family":"Hurle","given":"Rodolfo"},{"family":"Lazzeri","given":"Massimo"},{"family":"Colombo","given":"Piergiuseppe"},{"family":"Frego","given":"Nicola"},{"family":"Erreni","given":"Marco"},{"family":"Faccani","given":"Cristina"},{"family":"Elefante","given":"Grazia"},{"family":"Barcella","given":"Matteo"},{"family":"Guazzoni","given":"Giorgio"},{"family":"Rescigno","given":"Maria"}],"accessed":{"date-parts":[["2022",1,11]]},"issued":{"date-parts":[["2021",1,6]]},"citation-key":"oresta_mitochondrial_2021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73</w:t>
      </w:r>
      <w:r w:rsidRPr="002A7128">
        <w:rPr>
          <w:rFonts w:ascii="Calibri" w:hAnsi="Calibri" w:cs="Calibri"/>
        </w:rPr>
        <w:fldChar w:fldCharType="end"/>
      </w:r>
      <w:r w:rsidRPr="002A7128">
        <w:rPr>
          <w:rFonts w:ascii="Calibri" w:hAnsi="Calibri" w:cs="Calibri"/>
        </w:rPr>
        <w:t>. Similarly, etoposide treated B16-OVA and MC-38-OVA cells showed very different activation profiles of OVA specific CD8 + T cells</w:t>
      </w:r>
      <w:r w:rsidRPr="002A7128">
        <w:rPr>
          <w:rFonts w:ascii="Calibri" w:hAnsi="Calibri" w:cs="Calibri"/>
        </w:rPr>
        <w:fldChar w:fldCharType="begin"/>
      </w:r>
      <w:r w:rsidR="00317E7D" w:rsidRPr="002A7128">
        <w:rPr>
          <w:rFonts w:ascii="Calibri" w:hAnsi="Calibri" w:cs="Calibri"/>
        </w:rPr>
        <w:instrText xml:space="preserve"> ADDIN ZOTERO_ITEM CSL_CITATION {"citationID":"a97iem829u","properties":{"formattedCitation":"\\super 75\\nosupersub{}","plainCitation":"75","noteIndex":0},"citationItems":[{"id":9239,"uris":["http://zotero.org/groups/2667333/items/IP75GGEY"],"itemData":{"id":9239,"type":"report","abstract":"Inhibition of immune checkpoints has shown promising results in the treatment of certain tumor types. However, the majority of cancers do not respond to immune checkpoint inhibition (ICI) treatment, indicating the need to identify additional modalities that enhance the response to immune checkpoint blockade. In this study, we identified a tumor-tailored approach using ex-vivo DNA damaging chemotherapy-treated tumor cells as a live injured cell adjuvant. Using an optimized ex vivo system for dendritic cellmediated T-cell IFN-γ induction in response to DNA-damaged tumor cells, we identified specific dose-dependent treatments with etoposide and mitoxantrone that markedly enhance IFN-g production by T-cells. Unexpectedly, the immune-enhancing effects of DNA damage failed to correlate with known markers of immunogenic cell death or with the extent of apoptosis or necroptosis. Furthermore, dead tumor cells alone were not sufficient to promote DC cross-presentation and induce IFN-g in T-cells. Instead, the enhanced immunogenicity resided in the fraction of injured cells that remained alive, and required signaling through the RIPK1, NF-kB and p38MAPK pathways. Direct in vivo translation of these findings was accomplished by intra-tumoral injection of ex vivo etoposide-treated tumor cells as an injured cell adjuvant, in combination with systemic anti-PD1/CTLA4 antibodies. This resulted in increased intra-tumoral CD103+ dendritic cells and circulating tumor antigen-specific CD8+ T-cells, leading to enhanced anti-tumor immune responses and improved survival. The effect was abrogated in BATF3-deficient mice indicating that BATF3+ DCs are required for appropriate T-cell stimulation by live but injured DNA-damaged tumor cells. Notably, injection of the free DNA-damaging drug directly into the tumor failed to elicit such an enhanced anti-tumor response as a consequence of simultaneous damage to dendritic cells and T-cells. Finally, the DNA damage induced injured cell adjuvant and systemic ICI combination, but not ICI alone, induced complete tumor regression in a subset of mice who were then able to reject tumor re-challenge, indicating induction of a long-lasting anti-tumor immunological memory by the injured cell adjuvant treatment in vivo.","genre":"preprint","language":"en","note":"DOI: 10.1101/2020.04.26.062216","publisher":"Cancer Biology","source":"DOI.org (Crossref)","title":"The Injury Response to DNA Damage Promotes Anti-Tumor Immunity","URL":"http://biorxiv.org/lookup/doi/10.1101/2020.04.26.062216","author":[{"family":"Sriram","given":"Ganapathy"},{"family":"Milling","given":"Lauren"},{"family":"Chen","given":"Jung-Kuei"},{"family":"Abraham","given":"Wuhbet"},{"family":"Handly","given":"Erika D."},{"family":"Irvine","given":"Darrell J."},{"family":"Yaffe","given":"Michael B."}],"accessed":{"date-parts":[["2021",10,18]]},"issued":{"date-parts":[["2020",4,27]]},"citation-key":"sriram_injury_2020"}}],"schema":"https://github.com/citation-style-language/schema/raw/master/csl-citation.json"}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75</w:t>
      </w:r>
      <w:r w:rsidRPr="002A7128">
        <w:rPr>
          <w:rFonts w:ascii="Calibri" w:hAnsi="Calibri" w:cs="Calibri"/>
        </w:rPr>
        <w:fldChar w:fldCharType="end"/>
      </w:r>
      <w:r w:rsidRPr="002A7128">
        <w:rPr>
          <w:rFonts w:ascii="Calibri" w:hAnsi="Calibri" w:cs="Calibri"/>
        </w:rPr>
        <w:t>. These data suggest that the ICD and DAMP release inducing capacity of chemotherapeutics are not just dependent on concentration but also affected by the cell type as well. Changes due to cell type are caused by differential expression of certain proteins which ultimately effects the cell death modality. For example, pyroptosis is a regulated necrosis resulting in membrane damage and release of DAMPs. One of the proteins responsible for the execution of pyroptosis (a regulated necrosis) is gasdermin E (GSDME). Cleavage of GSDME by caspase-3 liberates N terminus leading to membrane pore formation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{"citationID":"a1ctga07tph","properties":{"formattedCitation":"\\super 78\\nosupersub{}","plainCitation":"78","noteIndex":0},"citationItems":[{"id":6040,"uris":["http://zotero.org/groups/2667333/items/8NKJXTB5"],"itemData":{"id":6040,"type":"article-journal","abstract":"The gasdermins are a family of recently identified pore-forming effector proteins that cause membrane permeabilization and pyroptosis, a lytic pro-inflammatory type of cell death. Gasdermins contain a cytotoxic N-terminal domain and a C-terminal repressor domain connected by a flexible linker. Proteolytic cleavage between these two domains releases the intramolecular inhibition on the cytotoxic domain, allowing it to insert into cell membranes and form large oligomeric pores, which disrupts ion homeostasis and induces cell death. Gasdermin-induced pyroptosis plays a prominent role in many hereditary diseases and (auto)inflammatory disorders as well as in cancer. In this Review, we discuss recent developments in gasdermin research with a focus on mechanisms that control gasdermin activation, pore formation and functional consequences of gasdermin-induced membrane permeabilization.","container-title":"Nature Reviews Immunology","DOI":"10.1038/s41577-019-0228-2","ISSN":"1474-1741","issue":"3","language":"en","license":"2019 Springer Nature Limited","note":"number: 3\npublisher: Nature Publishing Group","page":"143-157","source":"www.nature.com","title":"The gasdermins, a protein family executing cell death and inflammation","URL":"https://www.nature.com/articles/s41577-019-0228-2","volume":"20","author":[{"family":"Broz","given":"Petr"},{"family":"Pelegrín","given":"Pablo"},{"family":"Shao","given":"Feng"}],"accessed":{"date-parts":[["2021",3,15]]},"issued":{"date-parts":[["2020",3]]},"citation-key":"broz_gasdermins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78</w:t>
      </w:r>
      <w:r w:rsidRPr="002A7128">
        <w:rPr>
          <w:rFonts w:ascii="Calibri" w:hAnsi="Calibri" w:cs="Calibri"/>
        </w:rPr>
        <w:fldChar w:fldCharType="end"/>
      </w:r>
      <w:r w:rsidR="0008275D" w:rsidRPr="002A7128">
        <w:rPr>
          <w:rFonts w:ascii="Calibri" w:hAnsi="Calibri" w:cs="Calibri"/>
        </w:rPr>
        <w:t>.</w:t>
      </w:r>
      <w:r w:rsidRPr="002A7128">
        <w:rPr>
          <w:rFonts w:ascii="Calibri" w:hAnsi="Calibri" w:cs="Calibri"/>
        </w:rPr>
        <w:t xml:space="preserve"> In fact recently it was shown that CTLs and NK cells kill their target cancer cell through this mechanism and increase tumor suppression</w:t>
      </w:r>
      <w:r w:rsidRPr="002A7128">
        <w:rPr>
          <w:rFonts w:ascii="Calibri" w:hAnsi="Calibri" w:cs="Calibri"/>
        </w:rPr>
        <w:fldChar w:fldCharType="begin"/>
      </w:r>
      <w:r w:rsidR="00A64B61" w:rsidRPr="002A7128">
        <w:rPr>
          <w:rFonts w:ascii="Calibri" w:hAnsi="Calibri" w:cs="Calibri"/>
        </w:rPr>
        <w:instrText xml:space="preserve"> ADDIN ZOTERO_ITEM CSL_CITATION {"citationID":"ahqn1jh404","properties":{"formattedCitation":"\\super 79\\nosupersub{}","plainCitation":"79","noteIndex":0},"citationItems":[{"id":5600,"uris":["http://zotero.org/groups/2667333/items/QLBIH53T"],"itemData":{"id":5600,"type":"article-journal","abstract":"Cleavage of the gasdermin proteins to produce pore-forming amino-terminal fragments causes inflammatory cell death (pyroptosis)1. Gasdermin E (GSDME, also known as DFNA5)—mutated in familial ageing-related hearing loss2—can be cleaved by caspase 3, thereby converting noninflammatory apoptosis to pyroptosis in GSDME-expressing cells3–5. GSDME expression is suppressed in many cancers, and reduced GSDME levels are associated with decreased survival as a result of breast cancer2,6, suggesting that GSDME might be a tumour suppressor. Here we show that 20 of 22 tested cancer-associated GSDME mutations reduce GSDME function. In mice, knocking out Gsdme in GSDME-expressing tumours enhances, whereas ectopic expression in Gsdme-repressed tumours inhibits, tumour growth. This tumour suppression is mediated by killer cytotoxic lymphocytes: it is abrogated in perforin-deficient mice or mice depleted of killer lymphocytes. GSDME expression enhances the phagocytosis of tumour cells by tumour-associated macrophages, as well as the number and functions of tumour-infiltrating natural-killer and CD8+ T lymphocytes. Killer-cell granzyme B also activates caspase-independent pyroptosis in target cells by directly cleaving GSDME at the same site as caspase 3. Uncleavable or pore-defective GSDME proteins are not tumour suppressive. Thus, tumour GSDME acts as a tumour suppressor by activating pyroptosis, enhancing anti-tumour immunity.","container-title":"Nature","DOI":"10.1038/s41586-020-2071-9","ISSN":"1476-4687","issue":"7799","language":"en","license":"2020 The Author(s), under exclusive licence to Springer Nature Limited","note":"number: 7799\npublisher: Nature Publishing Group\ntex.ids= zhang_gasdermin_2020-1","page":"415-420","source":"www.nature.com","title":"Gasdermin E suppresses tumour growth by activating anti-tumour immunity","URL":"https://www.nature.com/articles/s41586-020-2071-9","volume":"579","author":[{"family":"Zhang","given":"Zhibin"},{"family":"Zhang","given":"Ying"},{"family":"Xia","given":"Shiyu"},{"family":"Kong","given":"Qing"},{"family":"Li","given":"Shunying"},{"family":"Liu","given":"Xing"},{"family":"Junqueira","given":"Caroline"},{"family":"Meza-Sosa","given":"Karla F."},{"family":"Mok","given":"Temy Mo Yin"},{"family":"Ansara","given":"James"},{"family":"Sengupta","given":"Satyaki"},{"family":"Yao","given":"Yandan"},{"family":"Wu","given":"Hao"},{"family":"Lieberman","given":"Judy"}],"accessed":{"date-parts":[["2021",1,14]]},"issued":{"date-parts":[["2020",3]]},"citation-key":"zhang_gasdermin_2020-1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79</w:t>
      </w:r>
      <w:r w:rsidRPr="002A7128">
        <w:rPr>
          <w:rFonts w:ascii="Calibri" w:hAnsi="Calibri" w:cs="Calibri"/>
        </w:rPr>
        <w:fldChar w:fldCharType="end"/>
      </w:r>
      <w:r w:rsidRPr="002A7128">
        <w:rPr>
          <w:rFonts w:ascii="Calibri" w:hAnsi="Calibri" w:cs="Calibri"/>
        </w:rPr>
        <w:t>. Therefore, drugs that can induce such cell death modality potentially offers increased anti-tumor immunity. However, GSDME is expressed as low levels in most cancer cells</w:t>
      </w:r>
      <w:r w:rsidRPr="002A7128">
        <w:rPr>
          <w:rFonts w:ascii="Calibri" w:hAnsi="Calibri" w:cs="Calibri"/>
        </w:rPr>
        <w:fldChar w:fldCharType="begin"/>
      </w:r>
      <w:r w:rsidR="00A64B61" w:rsidRPr="002A7128">
        <w:rPr>
          <w:rFonts w:ascii="Calibri" w:hAnsi="Calibri" w:cs="Calibri"/>
        </w:rPr>
        <w:instrText xml:space="preserve"> ADDIN ZOTERO_ITEM CSL_CITATION {"citationID":"a2kvs578vn5","properties":{"formattedCitation":"\\super 80\\nosupersub{}","plainCitation":"80","noteIndex":0},"citationItems":[{"id":7073,"uris":["http://zotero.org/groups/2667333/items/MJQJZ6UJ"],"itemData":{"id":7073,"type":"article-journal","abstract":"Objectives:\n              The DFNA5 gene was identified in 1998 as a gene that causes an autosomal dominant form of hearing impairment. Five different DFNA5 mutations have been found; each results in skipping of exon 8 at the messenger RNA level. This finding indicates that DFNA5-associated hearing loss is attributable to a highly specific gain-of-function mutation. Interestingly, later reports revealed that DFNA5 also plays a role in tumor biology.\n            \n            \n              Methods:\n              Recent data have shed more light on the biological function of DFNA5. Through a literature search, the current knowledge of this gene is reviewed.\n            \n            \n              Results:\n              DFNA5 is the first gene for monogenic deafness that is known to involve apoptosis as a disease mechanism — A mechanism that was shown to be involved in frequent types of hearing loss caused by age, noise, or drugs. In line with its apoptosis-inducing properties, DFNA5 is a tumor suppressor gene with an important role in major types of tumors.\n            \n            \n              Conclusions:\n              DFNA5 is a tumor suppressor gene that is involved in apoptosis pathways and as such performs a basic role in cell survival. In view of the known role of apoptosis in several forms of hearing loss, DFNA5 may be a player in the underlying disease mechanisms.","container-title":"Annals of Otology, Rhinology &amp; Laryngology","DOI":"10.1177/000348941212100310","ISSN":"0003-4894, 1943-572X","issue":"3","journalAbbreviation":"Ann Otol Rhinol Laryngol","language":"en","page":"197-207","source":"DOI.org (Crossref)","title":"DFNA5, a Gene Involved in Hearing Loss and Cancer: A Review","title-short":"DFNA5, a Gene Involved in Hearing Loss and Cancer","URL":"http://journals.sagepub.com/doi/10.1177/000348941212100310","volume":"121","author":[{"family":"Op de Beeck","given":"Ken"},{"family":"Van Laer","given":"Lut"},{"family":"Van Camp","given":"Guy"}],"accessed":{"date-parts":[["2021",8,11]]},"issued":{"date-parts":[["2012",3]]},"citation-key":"op_de_beeck_dfna5_2012"}}],"schema":"https://github.com/citation-style-language/schema/raw/master/csl-citation.json"}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80</w:t>
      </w:r>
      <w:r w:rsidRPr="002A7128">
        <w:rPr>
          <w:rFonts w:ascii="Calibri" w:hAnsi="Calibri" w:cs="Calibri"/>
        </w:rPr>
        <w:fldChar w:fldCharType="end"/>
      </w:r>
      <w:r w:rsidRPr="002A7128">
        <w:rPr>
          <w:rFonts w:ascii="Calibri" w:hAnsi="Calibri" w:cs="Calibri"/>
        </w:rPr>
        <w:t xml:space="preserve"> due to methylation induced epigenetic silencing</w:t>
      </w:r>
      <w:r w:rsidRPr="002A7128">
        <w:rPr>
          <w:rFonts w:ascii="Calibri" w:hAnsi="Calibri" w:cs="Calibri"/>
        </w:rPr>
        <w:fldChar w:fldCharType="begin"/>
      </w:r>
      <w:r w:rsidR="00A64B61" w:rsidRPr="002A7128">
        <w:rPr>
          <w:rFonts w:ascii="Calibri" w:hAnsi="Calibri" w:cs="Calibri"/>
        </w:rPr>
        <w:instrText xml:space="preserve"> ADDIN ZOTERO_ITEM CSL_CITATION {"citationID":"a15efad4blq","properties":{"formattedCitation":"\\super 81\\nosupersub{}","plainCitation":"81","noteIndex":0},"citationItems":[{"id":7074,"uris":["http://zotero.org/groups/2667333/items/XF5IT5NP"],"itemData":{"id":7074,"type":"article-journal","container-title":"Cancer Science","DOI":"10.1111/j.1349-7006.2006.00351.x","ISSN":"1347-9032, 1349-7006","issue":"1","journalAbbreviation":"Cancer Science","language":"en","note":"tex.ids= akino_identification_2007-1","page":"88-95","source":"DOI.org (Crossref)","title":"Identification of DFNA5 as a target of epigenetic inactivation in gastric cancer","URL":"https://onlinelibrary.wiley.com/doi/10.1111/j.1349-7006.2006.00351.x","volume":"98","author":[{"family":"Akino","given":"Kimishige"},{"family":"Toyota","given":"Minoru"},{"family":"Suzuki","given":"Hiromu"},{"family":"Imai","given":"Takashi"},{"family":"Maruyama","given":"Reo"},{"family":"Kusano","given":"Masanobu"},{"family":"Nishikawa","given":"Noriko"},{"family":"Watanabe","given":"Yoshiyuki"},{"family":"Sasaki","given":"Yasushi"},{"family":"Abe","given":"Tamaki"},{"family":"Yamamoto","given":"Eiichiro"},{"family":"Tarasawa","given":"Isao"},{"family":"Sonoda","given":"Tomoko"},{"family":"Mori","given":"Mitsuru"},{"family":"Imai","given":"Kohzoh"},{"family":"Shinomura","given":"Yasuhisa"},{"family":"Tokino","given":"Takashi"}],"accessed":{"date-parts":[["2021",8,11]]},"issued":{"date-parts":[["2007",1]]},"citation-key":"akino_identification_2007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81</w:t>
      </w:r>
      <w:r w:rsidRPr="002A7128">
        <w:rPr>
          <w:rFonts w:ascii="Calibri" w:hAnsi="Calibri" w:cs="Calibri"/>
        </w:rPr>
        <w:fldChar w:fldCharType="end"/>
      </w:r>
      <w:r w:rsidRPr="002A7128">
        <w:rPr>
          <w:rFonts w:ascii="Calibri" w:hAnsi="Calibri" w:cs="Calibri"/>
        </w:rPr>
        <w:t xml:space="preserve">. Absence of GSDME turns the cell death modality into non-ICD apoptosis. Lobaplatin, a drug that can induce pyroptosis in GSDME expressing cells has been shown to induce </w:t>
      </w:r>
      <w:proofErr w:type="spellStart"/>
      <w:r w:rsidRPr="002A7128">
        <w:rPr>
          <w:rFonts w:ascii="Calibri" w:hAnsi="Calibri" w:cs="Calibri"/>
        </w:rPr>
        <w:t>iDAMP</w:t>
      </w:r>
      <w:proofErr w:type="spellEnd"/>
      <w:r w:rsidRPr="002A7128">
        <w:rPr>
          <w:rFonts w:ascii="Calibri" w:hAnsi="Calibri" w:cs="Calibri"/>
        </w:rPr>
        <w:t xml:space="preserve"> IL-1</w:t>
      </w:r>
      <w:r w:rsidRPr="006A1E55">
        <w:rPr>
          <w:rFonts w:ascii="Symbol" w:hAnsi="Symbol" w:cs="Calibri"/>
        </w:rPr>
        <w:t xml:space="preserve">b </w:t>
      </w:r>
      <w:r w:rsidRPr="002A7128">
        <w:rPr>
          <w:rFonts w:ascii="Calibri" w:hAnsi="Calibri" w:cs="Calibri"/>
        </w:rPr>
        <w:t>release. However, silencing of GSDME turns the pathway into apoptosis, abolishing the release of iDAMPs</w:t>
      </w:r>
      <w:r w:rsidRPr="002A7128">
        <w:rPr>
          <w:rFonts w:ascii="Calibri" w:hAnsi="Calibri" w:cs="Calibri"/>
        </w:rPr>
        <w:fldChar w:fldCharType="begin"/>
      </w:r>
      <w:r w:rsidR="00317E7D" w:rsidRPr="002A7128">
        <w:rPr>
          <w:rFonts w:ascii="Calibri" w:hAnsi="Calibri" w:cs="Calibri"/>
        </w:rPr>
        <w:instrText xml:space="preserve"> ADDIN ZOTERO_ITEM CSL_CITATION {"citationID":"a954flerkf","properties":{"formattedCitation":"\\super 42\\nosupersub{}","plainCitation":"42","noteIndex":0},"citationItems":[{"id":5824,"uris":["http://zotero.org/groups/2667333/items/3NAQDUWJ"],"itemData":{"id":5824,"type":"article-journal","abstract":"Pyroptosis, a form of programmed cell death (PCD), has garnered increasing attention as it relates to innate immunity and diseases. However, the involvement of pyroptosis in the mechanism by which lobaplatin acts against colorectal cancer (CRC) is unclear. Our study revealed that treatment with lobaplatin reduced the viability of HT-29 and HCT116 cells in a dose-dependent manner. Morphologically, HT-29 and HCT116 cells treated with lobaplatin exhibited microscopic features of cell swelling and large bubbles emerging from the plasma membrane, and transmission electron microscopy (TEM) revealed multiple pores in the membrane. GSDME, rather than GSDMD, was cleaved in lobaplatin-induced pyroptosis in HT-29 and HCT116 cells due to caspase-3 activation. Knocking out GSDME switched lobaplatin-induced cell death from pyroptosis to apoptosis but did not affect lobaplatin-mediated inhibition of growth and tumour formation of HT-29 and HCT116 cells in vivo and in vitro. Further investigation indicates that lobaplatin induced reactive oxygen species (ROS) elevation and JNK phosphorylation. NAC, a ROS scavenger, completely reversed the pyroptosis of lobaplatin-treated HT-29 and HCT116 and JNK phosphorylation. Activated JNK recruited Bax to mitochondria, and thereby stimulated cytochrome c release to cytosol, followed by caspase-3/-9 cleavage and pyroptosis induction. Therefore, in colon cancer cells, GSDME mediates lobaplatin-induced pyroptosis downstream of the ROS/JNK/Bax-mitochondrial apoptotic pathway and caspase-3/-9 activation. Our study indicated that GSDME-dependent pyroptosis is an unrecognized mechanism by which lobaplatin eradicates neoplastic cells, which may have important implications for the clinical application of anticancer therapeutics.","container-title":"Cell Death &amp; Disease","DOI":"10.1038/s41419-019-1441-4","ISSN":"2041-4889","issue":"3","language":"en","license":"2019 The Author(s)","note":"number: 3\npublisher: Nature Publishing Group","page":"1-20","source":"www.nature.com","title":"Cleavage of GSDME by caspase-3 determines lobaplatin-induced pyroptosis in colon cancer cells","URL":"https://www.nature.com/articles/s41419-019-1441-4","volume":"10","author":[{"family":"Yu","given":"Junhui"},{"family":"Li","given":"Shan"},{"family":"Qi","given":"Jie"},{"family":"Chen","given":"Zilu"},{"family":"Wu","given":"Yunhua"},{"family":"Guo","given":"Jing"},{"family":"Wang","given":"Kai"},{"family":"Sun","given":"Xuejun"},{"family":"Zheng","given":"Jianbao"}],"accessed":{"date-parts":[["2021",2,14]]},"issued":{"date-parts":[["2019",2,25]]},"citation-key":"yu_cleavage_2019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42</w:t>
      </w:r>
      <w:r w:rsidRPr="002A7128">
        <w:rPr>
          <w:rFonts w:ascii="Calibri" w:hAnsi="Calibri" w:cs="Calibri"/>
        </w:rPr>
        <w:fldChar w:fldCharType="end"/>
      </w:r>
      <w:r w:rsidRPr="002A7128">
        <w:rPr>
          <w:rFonts w:ascii="Calibri" w:hAnsi="Calibri" w:cs="Calibri"/>
        </w:rPr>
        <w:t>. These data illustrate the limitations in terms of cell type for ICD inducing small drugs.</w:t>
      </w:r>
    </w:p>
    <w:p w14:paraId="1AF8F1A2" w14:textId="0008A90F" w:rsidR="00A27485" w:rsidRPr="002A7128" w:rsidRDefault="00A27485" w:rsidP="00A27485">
      <w:pPr>
        <w:spacing w:line="480" w:lineRule="auto"/>
        <w:jc w:val="both"/>
        <w:rPr>
          <w:rFonts w:ascii="Calibri" w:hAnsi="Calibri" w:cs="Calibri"/>
        </w:rPr>
      </w:pPr>
      <w:r w:rsidRPr="002A7128">
        <w:rPr>
          <w:rFonts w:ascii="Calibri" w:hAnsi="Calibri" w:cs="Calibri"/>
        </w:rPr>
        <w:t>In addition, cell death induced by some other chemotherapeutics are non-ICD. Two major examples of this category are gemcitabine and cisplatin. Gemcitabine was shown to release inhibitory DAMP prostaglandin E2 and was not protective in prophylactic vaccination model</w:t>
      </w:r>
      <w:r w:rsidRPr="002A7128">
        <w:rPr>
          <w:rFonts w:ascii="Calibri" w:hAnsi="Calibri" w:cs="Calibri"/>
        </w:rPr>
        <w:fldChar w:fldCharType="begin"/>
      </w:r>
      <w:r w:rsidR="00317E7D" w:rsidRPr="002A7128">
        <w:rPr>
          <w:rFonts w:ascii="Calibri" w:hAnsi="Calibri" w:cs="Calibri"/>
        </w:rPr>
        <w:instrText xml:space="preserve"> ADDIN ZOTERO_ITEM CSL_CITATION {"citationID":"a21a2iihc91","properties":{"formattedCitation":"\\super 30\\nosupersub{}","plainCitation":"30","noteIndex":0},"citationItems":[{"id":9669,"uris":["http://zotero.org/groups/2667333/items/Z4YLJ2ZH"],"itemData":{"id":9669,"type":"article-journal","abstract":"Abstract\n            \n              Induction of tumor cell death is the therapeutic goal for most anticancer drugs. Yet, a mode of drug-induced cell death, known as immunogenic cell death (ICD), can propagate antitumoral immunity to augment therapeutic efficacy. Currently, the molecular hallmark of ICD features the release of damage-associated molecular patterns (DAMPs) by dying cancer cells. Here, we show that gemcitabine, a standard chemotherapy for various solid tumors, triggers hallmark immunostimualtory DAMP release (e.g., calreticulin, HSP70, and HMGB1); however, is unable to induce ICD. Mechanistic studies reveal gemcitabine concurrently triggers prostaglandin E\n              2\n              release as an inhibitory DAMP to counterpoise the adjuvanticity of immunostimulatory DAMPs. Pharmacological blockade of prostaglandin E\n              2\n              biosythesis favors CD103\n              +\n              dendritic cell activation that primes a Tc1-polarized CD8\n              +\n              T cell response to bolster tumor rejection. Herein, we postulate that an intricate balance between immunostimulatory and inhibitory DAMPs could determine the outcome of drug-induced ICD and pose COX-2/prostaglandin E\n              2\n              blockade as a strategy to harness ICD.","container-title":"Nature Communications","DOI":"10.1038/s41467-020-19970-9","ISSN":"2041-1723","issue":"1","journalAbbreviation":"Nat Commun","language":"en","page":"6299","source":"DOI.org (Crossref)","title":"Tipping the immunostimulatory and inhibitory DAMP balance to harness immunogenic cell death","URL":"http://www.nature.com/articles/s41467-020-19970-9","volume":"11","author":[{"family":"Hayashi","given":"K."},{"family":"Nikolos","given":"F."},{"family":"Lee","given":"Y. C."},{"family":"Jain","given":"A."},{"family":"Tsouko","given":"E."},{"family":"Gao","given":"H."},{"family":"Kasabyan","given":"A."},{"family":"Leung","given":"H. E."},{"family":"Osipov","given":"A."},{"family":"Jung","given":"S. Y."},{"family":"Kurtova","given":"A. V."},{"family":"Chan","given":"K. S."}],"accessed":{"date-parts":[["2021",12,4]]},"issued":{"date-parts":[["2020",12]]},"citation-key":"hayashi_tipping_2020"}}],"schema":"https://github.com/citation-style-language/schema/raw/master/csl-citation.json"}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30</w:t>
      </w:r>
      <w:r w:rsidRPr="002A7128">
        <w:rPr>
          <w:rFonts w:ascii="Calibri" w:hAnsi="Calibri" w:cs="Calibri"/>
        </w:rPr>
        <w:fldChar w:fldCharType="end"/>
      </w:r>
      <w:r w:rsidRPr="002A7128">
        <w:rPr>
          <w:rFonts w:ascii="Calibri" w:hAnsi="Calibri" w:cs="Calibri"/>
        </w:rPr>
        <w:t>. Another study showed that gemcitabine was only immunogenic with HIF-1a inhibition and was not protective otherwise</w:t>
      </w:r>
      <w:r w:rsidRPr="002A7128">
        <w:rPr>
          <w:rFonts w:ascii="Calibri" w:hAnsi="Calibri" w:cs="Calibri"/>
        </w:rPr>
        <w:fldChar w:fldCharType="begin"/>
      </w:r>
      <w:r w:rsidR="00A64B61" w:rsidRPr="002A7128">
        <w:rPr>
          <w:rFonts w:ascii="Calibri" w:hAnsi="Calibri" w:cs="Calibri"/>
        </w:rPr>
        <w:instrText xml:space="preserve"> ADDIN ZOTERO_ITEM CSL_CITATION {"citationID":"a1ghupl3imr","properties":{"formattedCitation":"\\super 82\\nosupersub{}","plainCitation":"82","noteIndex":0},"citationItems":[{"id":9873,"uris":["http://zotero.org/groups/2667333/items/SLY2GDEU"],"itemData":{"id":9873,"type":"article-journal","container-title":"Oncotarget","DOI":"10.18632/oncotarget.2948","ISSN":"1949-2553","issue":"4","journalAbbreviation":"Oncotarget","language":"en","page":"2250-2262","source":"DOI.org (Crossref)","title":"Inhibition of HIF-1α by PX-478 enhances the anti-tumor effect of gemcitabine by inducing immunogenic cell death in pancreatic ductal adenocarcinoma","URL":"https://www.oncotarget.com/lookup/doi/10.18632/oncotarget.2948","volume":"6","author":[{"family":"Zhao","given":"Tiansuo"},{"family":"Ren","given":"He"},{"family":"Jia","given":"Li"},{"family":"Chen","given":"Jing"},{"family":"Xin","given":"Wen"},{"family":"Yan","given":"Fan"},{"family":"Li","given":"Jing"},{"family":"Wang","given":"Xiuchao"},{"family":"Gao","given":"Song"},{"family":"Qian","given":"Dong"},{"family":"Huang","given":"Chongbiao"},{"family":"Hao","given":"Jihui"}],"accessed":{"date-parts":[["2022",1,3]]},"issued":{"date-parts":[["2015",2,10]]},"citation-key":"zhao_inhibition_2015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82</w:t>
      </w:r>
      <w:r w:rsidRPr="002A7128">
        <w:rPr>
          <w:rFonts w:ascii="Calibri" w:hAnsi="Calibri" w:cs="Calibri"/>
        </w:rPr>
        <w:fldChar w:fldCharType="end"/>
      </w:r>
      <w:r w:rsidRPr="002A7128">
        <w:rPr>
          <w:rFonts w:ascii="Calibri" w:hAnsi="Calibri" w:cs="Calibri"/>
        </w:rPr>
        <w:t>. Cisplatin is another non-ICD inducer</w:t>
      </w:r>
      <w:r w:rsidRPr="002A7128">
        <w:rPr>
          <w:rFonts w:ascii="Calibri" w:hAnsi="Calibri" w:cs="Calibri"/>
        </w:rPr>
        <w:fldChar w:fldCharType="begin"/>
      </w:r>
      <w:r w:rsidR="00A64B61" w:rsidRPr="002A7128">
        <w:rPr>
          <w:rFonts w:ascii="Calibri" w:hAnsi="Calibri" w:cs="Calibri"/>
        </w:rPr>
        <w:instrText xml:space="preserve"> ADDIN ZOTERO_ITEM CSL_CITATION {"citationID":"a274vop3661","properties":{"formattedCitation":"\\super 83\\nosupersub{}","plainCitation":"83","noteIndex":0},"citationItems":[{"id":9794,"uris":["http://zotero.org/groups/2667333/items/HQFHTPKB"],"itemData":{"id":9794,"type":"article-journal","container-title":"OncoImmunology","DOI":"10.4161/21624011.2014.955691","ISSN":"2162-402X","issue":"9","journalAbbreviation":"OncoImmunology","language":"en","page":"e955691","source":"DOI.org (Crossref)","title":"Consensus guidelines for the detection of immunogenic cell death","URL":"http://www.tandfonline.com/doi/full/10.4161/21624011.2014.955691","volume":"3","author":[{"family":"Kepp","given":"Oliver"},{"family":"Senovilla","given":"Laura"},{"family":"Vitale","given":"Ilio"},{"family":"Vacchelli","given":"Erika"},{"family":"Adjemian","given":"Sandy"},{"family":"Agostinis","given":"Patrizia"},{"family":"Apetoh","given":"Lionel"},{"family":"Aranda","given":"Fernando"},{"family":"Barnaba","given":"Vincenzo"},{"family":"Bloy","given":"Norma"},{"family":"Bracci","given":"Laura"},{"family":"Breckpot","given":"Karine"},{"family":"Brough","given":"David"},{"family":"Buqué","given":"Aitziber"},{"family":"Castro","given":"Maria G."},{"family":"Cirone","given":"Mara"},{"family":"Colombo","given":"Maria I."},{"family":"Cremer","given":"Isabelle"},{"family":"Demaria","given":"Sandra"},{"family":"Dini","given":"Luciana"},{"family":"Eliopoulos","given":"Aristides G."},{"family":"Faggioni","given":"Alberto"},{"family":"Formenti","given":"Silvia C."},{"family":"Fučíková","given":"Jitka"},{"family":"Gabriele","given":"Lucia"},{"family":"Gaipl","given":"Udo S."},{"family":"Galon","given":"Jérôme"},{"family":"Garg","given":"Abhishek"},{"family":"Ghiringhelli","given":"François"},{"family":"Giese","given":"Nathalia A."},{"family":"Guo","given":"Zong Sheng"},{"family":"Hemminki","given":"Akseli"},{"family":"Herrmann","given":"Martin"},{"family":"Hodge","given":"James W."},{"family":"Holdenrieder","given":"Stefan"},{"family":"Honeychurch","given":"Jamie"},{"family":"Hu","given":"Hong-Min"},{"family":"Huang","given":"Xing"},{"family":"Illidge","given":"Tim M."},{"family":"Kono","given":"Koji"},{"family":"Korbelik","given":"Mladen"},{"family":"Krysko","given":"Dmitri V."},{"family":"Loi","given":"Sherene"},{"family":"Lowenstein","given":"Pedro R."},{"family":"Lugli","given":"Enrico"},{"family":"Ma","given":"Yuting"},{"family":"Madeo","given":"Frank"},{"family":"Manfredi","given":"Angelo A."},{"family":"Martins","given":"Isabelle"},{"family":"Mavilio","given":"Domenico"},{"family":"Menger","given":"Laurie"},{"family":"Merendino","given":"Nicolò"},{"family":"Michaud","given":"Michael"},{"family":"Mignot","given":"Gregoire"},{"family":"Mossman","given":"Karen L."},{"family":"Multhoff","given":"Gabriele"},{"family":"Oehler","given":"Rudolf"},{"family":"Palombo","given":"Fabio"},{"family":"Panaretakis","given":"Theocharis"},{"family":"Pol","given":"Jonathan"},{"family":"Proietti","given":"Enrico"},{"family":"Ricci","given":"Jean-Ehrland"},{"family":"Riganti","given":"Chiara"},{"family":"Rovere-Querini","given":"Patrizia"},{"family":"Rubartelli","given":"Anna"},{"family":"Sistigu","given":"Antonella"},{"family":"Smyth","given":"Mark J."},{"family":"Sonnemann","given":"Juergen"},{"family":"Spisek","given":"Radek"},{"family":"Stagg","given":"John"},{"family":"Sukkurwala","given":"Abdul Qader"},{"family":"Tartour","given":"Eric"},{"family":"Thorburn","given":"Andrew"},{"family":"Thorne","given":"Stephen H."},{"family":"Vandenabeele","given":"Peter"},{"family":"Velotti","given":"Francesca"},{"family":"Workenhe","given":"Samuel T."},{"family":"Yang","given":"Haining"},{"family":"Zong","given":"Wei-Xing"},{"family":"Zitvogel","given":"Laurence"},{"family":"Kroemer","given":"Guido"},{"family":"Galluzzi","given":"Lorenzo"}],"accessed":{"date-parts":[["2021",12,15]]},"issued":{"date-parts":[["2014",9,2]]},"citation-key":"kepp_consensus_2014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83</w:t>
      </w:r>
      <w:r w:rsidRPr="002A7128">
        <w:rPr>
          <w:rFonts w:ascii="Calibri" w:hAnsi="Calibri" w:cs="Calibri"/>
        </w:rPr>
        <w:fldChar w:fldCharType="end"/>
      </w:r>
      <w:r w:rsidRPr="002A7128">
        <w:rPr>
          <w:rFonts w:ascii="Calibri" w:hAnsi="Calibri" w:cs="Calibri"/>
        </w:rPr>
        <w:t xml:space="preserve">, with very low to none </w:t>
      </w:r>
      <w:r w:rsidRPr="002A7128">
        <w:rPr>
          <w:rFonts w:ascii="Calibri" w:hAnsi="Calibri" w:cs="Calibri"/>
        </w:rPr>
        <w:lastRenderedPageBreak/>
        <w:t>protective capacity in prophylactic vaccination models</w:t>
      </w:r>
      <w:r w:rsidRPr="002A7128">
        <w:rPr>
          <w:rFonts w:ascii="Calibri" w:hAnsi="Calibri" w:cs="Calibri"/>
        </w:rPr>
        <w:fldChar w:fldCharType="begin"/>
      </w:r>
      <w:r w:rsidR="00317E7D" w:rsidRPr="002A7128">
        <w:rPr>
          <w:rFonts w:ascii="Calibri" w:hAnsi="Calibri" w:cs="Calibri"/>
        </w:rPr>
        <w:instrText xml:space="preserve"> ADDIN ZOTERO_ITEM CSL_CITATION {"citationID":"a2454msop1v","properties":{"formattedCitation":"\\super 30,46\\nosupersub{}","plainCitation":"30,46","noteIndex":0},"citationItems":[{"id":9669,"uris":["http://zotero.org/groups/2667333/items/Z4YLJ2ZH"],"itemData":{"id":9669,"type":"article-journal","abstract":"Abstract\n            \n              Induction of tumor cell death is the therapeutic goal for most anticancer drugs. Yet, a mode of drug-induced cell death, known as immunogenic cell death (ICD), can propagate antitumoral immunity to augment therapeutic efficacy. Currently, the molecular hallmark of ICD features the release of damage-associated molecular patterns (DAMPs) by dying cancer cells. Here, we show that gemcitabine, a standard chemotherapy for various solid tumors, triggers hallmark immunostimualtory DAMP release (e.g., calreticulin, HSP70, and HMGB1); however, is unable to induce ICD. Mechanistic studies reveal gemcitabine concurrently triggers prostaglandin E\n              2\n              release as an inhibitory DAMP to counterpoise the adjuvanticity of immunostimulatory DAMPs. Pharmacological blockade of prostaglandin E\n              2\n              biosythesis favors CD103\n              +\n              dendritic cell activation that primes a Tc1-polarized CD8\n              +\n              T cell response to bolster tumor rejection. Herein, we postulate that an intricate balance between immunostimulatory and inhibitory DAMPs could determine the outcome of drug-induced ICD and pose COX-2/prostaglandin E\n              2\n              blockade as a strategy to harness ICD.","container-title":"Nature Communications","DOI":"10.1038/s41467-020-19970-9","ISSN":"2041-1723","issue":"1","journalAbbreviation":"Nat Commun","language":"en","page":"6299","source":"DOI.org (Crossref)","title":"Tipping the immunostimulatory and inhibitory DAMP balance to harness immunogenic cell death","URL":"http://www.nature.com/articles/s41467-020-19970-9","volume":"11","author":[{"family":"Hayashi","given":"K."},{"family":"Nikolos","given":"F."},{"family":"Lee","given":"Y. C."},{"family":"Jain","given":"A."},{"family":"Tsouko","given":"E."},{"family":"Gao","given":"H."},{"family":"Kasabyan","given":"A."},{"family":"Leung","given":"H. E."},{"family":"Osipov","given":"A."},{"family":"Jung","given":"S. Y."},{"family":"Kurtova","given":"A. V."},{"family":"Chan","given":"K. S."}],"accessed":{"date-parts":[["2021",12,4]]},"issued":{"date-parts":[["2020",12]]},"citation-key":"hayashi_tipping_2020"}},{"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30,46</w:t>
      </w:r>
      <w:r w:rsidRPr="002A7128">
        <w:rPr>
          <w:rFonts w:ascii="Calibri" w:hAnsi="Calibri" w:cs="Calibri"/>
        </w:rPr>
        <w:fldChar w:fldCharType="end"/>
      </w:r>
      <w:r w:rsidRPr="002A7128">
        <w:rPr>
          <w:rFonts w:ascii="Calibri" w:hAnsi="Calibri" w:cs="Calibri"/>
        </w:rPr>
        <w:t>. Similar to gemcitabine, cisplatin also induces the release of prostaglandin E2</w:t>
      </w:r>
      <w:r w:rsidRPr="002A7128">
        <w:rPr>
          <w:rFonts w:ascii="Calibri" w:hAnsi="Calibri" w:cs="Calibri"/>
        </w:rPr>
        <w:fldChar w:fldCharType="begin"/>
      </w:r>
      <w:r w:rsidR="00A64B61" w:rsidRPr="002A7128">
        <w:rPr>
          <w:rFonts w:ascii="Calibri" w:hAnsi="Calibri" w:cs="Calibri"/>
        </w:rPr>
        <w:instrText xml:space="preserve"> ADDIN ZOTERO_ITEM CSL_CITATION {"citationID":"a1shtggevov","properties":{"formattedCitation":"\\super 84\\nosupersub{}","plainCitation":"84","noteIndex":0},"citationItems":[{"id":11558,"uris":["http://zotero.org/groups/2667333/items/NTE23L5W"],"itemData":{"id":11558,"type":"article-journal","abstract":"Significance\n            Inflammation is an integral part of the immune responses for the protection of the host to harmful stimuli. However, because inflammation can also underlie the initiation and/or exacerbation of a variety of diseases, it must be tightly regulated. Upon cell death, self-derived molecules, called damage-associated molecular patterns (DAMPs), are released to activate inflammatory responses. It has been unknown whether inhibitory molecules are also released to balance the magnitude of the inflammatory responses. In this study, biochemical and in vivo data demonstrate that prostaglandin E2 is a DAMP that negatively regulates cell death-induced inflammatory responses. These findings reveal an unprecedented facet in the regulation of inflammation via the combined activity of activating and inhibiting DAMPs, which may have clinical implications.\n          , \n            Cellular components released into the external milieu as a result of cell death and sensed by the body are generally termed damage-associated molecular patterns (DAMPs). Although DAMPs are conventionally thought to be protective to the host by evoking inflammatory responses important for immunity and wound repair, there is the prevailing notion that dysregulated release of DAMPs can also underlie or exacerbate disease development. However, the critical issue for how resultant DAMP-mediated responses are regulated has heretofore not been fully addressed. In the present study, we identify prostaglandin E2 (PGE2) as a DAMP that negatively regulates immune responses. We show that the production of PGE2 is augmented under cell death-inducing conditions via the transcriptional induction of the cyclooxygenase 2 (COX2) gene and that cell-released PGE2 suppresses the expression of genes associated with inflammation, thereby limiting the cell’s immunostimulatory activities. Consistent with this, inhibition of the PGE2 synthesis pathway potentiates the inflammation induced by dying cells. We also provide in vivo evidence for a protective role of PGE2 released upon acetaminophen-induced liver injury as well as a pathogenic role for PGE2 during tumor cell growth. Our study places this classically known lipid mediator in an unprecedented context—that is, an inhibitory DAMP vis-à-vis activating DAMPs, which may have translational implications for designing more effective therapeutic regimens for inflammation-associated diseases.","container-title":"Proceedings of the National Academy of Sciences","DOI":"10.1073/pnas.1602023113","ISSN":"0027-8424, 1091-6490","issue":"14","journalAbbreviation":"Proc. Natl. Acad. Sci. U.S.A.","language":"en","page":"3844-3849","source":"DOI.org (Crossref)","title":"PGE2 induced in and released by dying cells functions as an inhibitory DAMP","URL":"https://pnas.org/doi/full/10.1073/pnas.1602023113","volume":"113","author":[{"family":"Hangai","given":"Sho"},{"family":"Ao","given":"Tomoka"},{"family":"Kimura","given":"Yoshitaka"},{"family":"Matsuki","given":"Kosuke"},{"family":"Kawamura","given":"Takeshi"},{"family":"Negishi","given":"Hideo"},{"family":"Nishio","given":"Junko"},{"family":"Kodama","given":"Tatsuhiko"},{"family":"Taniguchi","given":"Tadatsugu"},{"family":"Yanai","given":"Hideyuki"}],"accessed":{"date-parts":[["2022",8,14]]},"issued":{"date-parts":[["2016",4,5]]},"citation-key":"hangai_pge2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84</w:t>
      </w:r>
      <w:r w:rsidRPr="002A7128">
        <w:rPr>
          <w:rFonts w:ascii="Calibri" w:hAnsi="Calibri" w:cs="Calibri"/>
        </w:rPr>
        <w:fldChar w:fldCharType="end"/>
      </w:r>
      <w:r w:rsidRPr="002A7128">
        <w:rPr>
          <w:rFonts w:ascii="Calibri" w:hAnsi="Calibri" w:cs="Calibri"/>
        </w:rPr>
        <w:t xml:space="preserve"> and fails to engage </w:t>
      </w:r>
      <w:r w:rsidR="00AD6EF4">
        <w:rPr>
          <w:rFonts w:ascii="Calibri" w:hAnsi="Calibri" w:cs="Calibri"/>
        </w:rPr>
        <w:t>CRT</w:t>
      </w:r>
      <w:r w:rsidRPr="002A7128">
        <w:rPr>
          <w:rFonts w:ascii="Calibri" w:hAnsi="Calibri" w:cs="Calibri"/>
        </w:rPr>
        <w:t xml:space="preserve"> surface localization and therefore, not protective</w:t>
      </w:r>
      <w:r w:rsidRPr="002A7128">
        <w:rPr>
          <w:rFonts w:ascii="Calibri" w:hAnsi="Calibri" w:cs="Calibri"/>
        </w:rPr>
        <w:fldChar w:fldCharType="begin"/>
      </w:r>
      <w:r w:rsidR="00A64B61" w:rsidRPr="002A7128">
        <w:rPr>
          <w:rFonts w:ascii="Calibri" w:hAnsi="Calibri" w:cs="Calibri"/>
        </w:rPr>
        <w:instrText xml:space="preserve"> ADDIN ZOTERO_ITEM CSL_CITATION {"citationID":"a12r99iqan5","properties":{"formattedCitation":"\\super 85\\nosupersub{}","plainCitation":"85","noteIndex":0},"citationItems":[{"id":11219,"uris":["http://zotero.org/groups/2667333/items/8QFPUZ5C"],"itemData":{"id":11219,"type":"article-journal","container-title":"Oncogene","DOI":"10.1038/onc.2010.500","ISSN":"0950-9232, 1476-5594","issue":"10","journalAbbreviation":"Oncogene","language":"en","page":"1147-1158","source":"DOI.org (Crossref)","title":"Restoration of the immunogenicity of cisplatin-induced cancer cell death by endoplasmic reticulum stress","URL":"https://www.nature.com/articles/onc2010500","volume":"30","author":[{"family":"Martins","given":"I"},{"family":"Kepp","given":"O"},{"family":"Schlemmer","given":"F"},{"family":"Adjemian","given":"S"},{"family":"Tailler","given":"M"},{"family":"Shen","given":"S"},{"family":"Michaud","given":"M"},{"family":"Menger","given":"L"},{"family":"Gdoura","given":"A"},{"family":"Tajeddine","given":"N"},{"family":"Tesniere","given":"A"},{"family":"Zitvogel","given":"L"},{"family":"Kroemer","given":"G"}],"accessed":{"date-parts":[["2022",7,9]]},"issued":{"date-parts":[["2011",3,10]]},"citation-key":"martins_restoration_2011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85</w:t>
      </w:r>
      <w:r w:rsidRPr="002A7128">
        <w:rPr>
          <w:rFonts w:ascii="Calibri" w:hAnsi="Calibri" w:cs="Calibri"/>
        </w:rPr>
        <w:fldChar w:fldCharType="end"/>
      </w:r>
      <w:r w:rsidRPr="002A7128">
        <w:rPr>
          <w:rFonts w:ascii="Calibri" w:hAnsi="Calibri" w:cs="Calibri"/>
        </w:rPr>
        <w:t xml:space="preserve">.  </w:t>
      </w:r>
    </w:p>
    <w:p w14:paraId="5B5A8FF1" w14:textId="4E9481E9" w:rsidR="00A27485" w:rsidRPr="002A7128" w:rsidRDefault="00A27485">
      <w:pPr>
        <w:pStyle w:val="Heading2"/>
        <w:numPr>
          <w:ilvl w:val="2"/>
          <w:numId w:val="2"/>
        </w:numPr>
        <w:spacing w:line="480" w:lineRule="auto"/>
        <w:jc w:val="both"/>
        <w:rPr>
          <w:rFonts w:ascii="Calibri" w:hAnsi="Calibri" w:cs="Calibri"/>
        </w:rPr>
      </w:pPr>
      <w:bookmarkStart w:id="32" w:name="_Toc115787972"/>
      <w:bookmarkStart w:id="33" w:name="_Toc120794130"/>
      <w:r w:rsidRPr="002A7128">
        <w:rPr>
          <w:rFonts w:ascii="Calibri" w:hAnsi="Calibri" w:cs="Calibri"/>
        </w:rPr>
        <w:t>Physical therapies</w:t>
      </w:r>
      <w:bookmarkEnd w:id="32"/>
      <w:bookmarkEnd w:id="33"/>
    </w:p>
    <w:p w14:paraId="3C510451" w14:textId="2BDC5C99" w:rsidR="00A27485" w:rsidRPr="002A7128" w:rsidRDefault="00A27485" w:rsidP="00A27485">
      <w:pPr>
        <w:spacing w:line="480" w:lineRule="auto"/>
        <w:jc w:val="both"/>
        <w:rPr>
          <w:rFonts w:ascii="Calibri" w:hAnsi="Calibri" w:cs="Calibri"/>
        </w:rPr>
      </w:pPr>
      <w:r w:rsidRPr="002A7128">
        <w:rPr>
          <w:rFonts w:ascii="Calibri" w:hAnsi="Calibri" w:cs="Calibri"/>
        </w:rPr>
        <w:t xml:space="preserve">In addition to chemotherapeutics, physical therapies such as radiation therapy, and photothermal therapy has been shown to induce ICD and DAMP release as well. Radiation therapy induces cell death through damaging double strand DNA and has been shown to induce DAMP release such as HMGB-1, ATP, HSPs and </w:t>
      </w:r>
      <w:r w:rsidR="00AD6EF4">
        <w:rPr>
          <w:rFonts w:ascii="Calibri" w:hAnsi="Calibri" w:cs="Calibri"/>
        </w:rPr>
        <w:t>CRT</w:t>
      </w:r>
      <w:r w:rsidRPr="002A7128">
        <w:rPr>
          <w:rFonts w:ascii="Calibri" w:hAnsi="Calibri" w:cs="Calibri"/>
        </w:rPr>
        <w:t xml:space="preserve"> surface exposure</w:t>
      </w:r>
      <w:r w:rsidRPr="002A7128">
        <w:rPr>
          <w:rFonts w:ascii="Calibri" w:hAnsi="Calibri" w:cs="Calibri"/>
        </w:rPr>
        <w:fldChar w:fldCharType="begin"/>
      </w:r>
      <w:r w:rsidR="00A64B61" w:rsidRPr="002A7128">
        <w:rPr>
          <w:rFonts w:ascii="Calibri" w:hAnsi="Calibri" w:cs="Calibri"/>
        </w:rPr>
        <w:instrText xml:space="preserve"> ADDIN ZOTERO_ITEM CSL_CITATION {"citationID":"auc58obs87","properties":{"formattedCitation":"\\super 86,87\\nosupersub{}","plainCitation":"86,87","noteIndex":0},"citationItems":[{"id":6095,"uris":["http://zotero.org/groups/2667333/items/2X6CVY6N"],"itemData":{"id":6095,"type":"article-journal","container-title":"Cell Death and Differentiation","DOI":"10.1038/sj.cdd.4402201","ISSN":"1350-9047","issue":"10","journalAbbreviation":"Cell Death Differ","language":"eng","note":"PMID: 17657249\ntex.ids= obeid_calreticulin_2007-2","page":"1848-1850","source":"PubMed","title":"Calreticulin exposure is required for the immunogenicity of gamma-irradiation and UVC light-induced apoptosis","volume":"14","author":[{"family":"Obeid","given":"M."},{"family":"Panaretakis","given":"T."},{"family":"Joza","given":"N."},{"family":"Tufi","given":"R."},{"family":"Tesniere","given":"A."},{"family":"Endert","given":"P.","non-dropping-particle":"van"},{"family":"Zitvogel","given":"L."},{"family":"Kroemer","given":"G."}],"issued":{"date-parts":[["2007",10]]},"citation-key":"obeid_calreticulin_2007"}},{"id":11236,"uris":["http://zotero.org/groups/2667333/items/ZCC6JCX4"],"itemData":{"id":11236,"type":"article-journal","container-title":"Radiotherapy and Oncology","DOI":"10.1016/j.radonc.2011.05.051","ISSN":"01678140","issue":"3","journalAbbreviation":"Radiotherapy and Oncology","language":"en","page":"313-316","source":"DOI.org (Crossref)","title":"Detection of irradiation-induced, membrane heat shock protein 70 (Hsp70) in mouse tumors using Hsp70 Fab fragment","URL":"https://linkinghub.elsevier.com/retrieve/pii/S0167814011002441","volume":"99","author":[{"family":"Stangl","given":"Stefan"},{"family":"Themelis","given":"George"},{"family":"Friedrich","given":"Lars"},{"family":"Ntziachristos","given":"Vasilis"},{"family":"Sarantopoulos","given":"Athanasios"},{"family":"Molls","given":"Michael"},{"family":"Skerra","given":"Arne"},{"family":"Multhoff","given":"Gabriele"}],"accessed":{"date-parts":[["2022",7,12]]},"issued":{"date-parts":[["2011",6]]},"citation-key":"stangl_detection_2011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86,87</w:t>
      </w:r>
      <w:r w:rsidRPr="002A7128">
        <w:rPr>
          <w:rFonts w:ascii="Calibri" w:hAnsi="Calibri" w:cs="Calibri"/>
        </w:rPr>
        <w:fldChar w:fldCharType="end"/>
      </w:r>
      <w:r w:rsidRPr="002A7128">
        <w:rPr>
          <w:rFonts w:ascii="Calibri" w:hAnsi="Calibri" w:cs="Calibri"/>
        </w:rPr>
        <w:t>. It has been used for more than 50% of cancer patients with curative intent</w:t>
      </w:r>
      <w:r w:rsidRPr="002A7128">
        <w:rPr>
          <w:rFonts w:ascii="Calibri" w:hAnsi="Calibri" w:cs="Calibri"/>
        </w:rPr>
        <w:fldChar w:fldCharType="begin"/>
      </w:r>
      <w:r w:rsidR="00A64B61" w:rsidRPr="002A7128">
        <w:rPr>
          <w:rFonts w:ascii="Calibri" w:hAnsi="Calibri" w:cs="Calibri"/>
        </w:rPr>
        <w:instrText xml:space="preserve"> ADDIN ZOTERO_ITEM CSL_CITATION {"citationID":"a1kftboejse","properties":{"formattedCitation":"\\super 88\\nosupersub{}","plainCitation":"88","noteIndex":0},"citationItems":[{"id":11237,"uris":["http://zotero.org/groups/2667333/items/5686MZCQ"],"itemData":{"id":11237,"type":"article-journal","container-title":"Nature Immunology","DOI":"10.1038/s41590-019-0561-4","ISSN":"1529-2908, 1529-2916","issue":"2","journalAbbreviation":"Nat Immunol","language":"en","page":"120-134","source":"DOI.org (Crossref)","title":"Immunological impact of cell death signaling driven by radiation on the tumor microenvironment","URL":"https://www.nature.com/articles/s41590-019-0561-4","volume":"21","author":[{"family":"Rodriguez-Ruiz","given":"Maria Esperanza"},{"family":"Vitale","given":"Ilio"},{"family":"Harrington","given":"Kevin J."},{"family":"Melero","given":"Ignacio"},{"family":"Galluzzi","given":"Lorenzo"}],"accessed":{"date-parts":[["2022",7,12]]},"issued":{"date-parts":[["2020",2]]},"citation-key":"rodriguez-ruiz_immunological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88</w:t>
      </w:r>
      <w:r w:rsidRPr="002A7128">
        <w:rPr>
          <w:rFonts w:ascii="Calibri" w:hAnsi="Calibri" w:cs="Calibri"/>
        </w:rPr>
        <w:fldChar w:fldCharType="end"/>
      </w:r>
      <w:r w:rsidRPr="002A7128">
        <w:rPr>
          <w:rFonts w:ascii="Calibri" w:hAnsi="Calibri" w:cs="Calibri"/>
        </w:rPr>
        <w:t>. ICD and DAMP release induced by radiation therapy depends on the type and dose of irradiation as well as post-irradiation time. In fact, different doses of radiation therapy induces different cell death modalities; apoptosis and necrosis, in low and high dose, respectively</w:t>
      </w:r>
      <w:r w:rsidRPr="002A7128">
        <w:rPr>
          <w:rFonts w:ascii="Calibri" w:hAnsi="Calibri" w:cs="Calibri"/>
        </w:rPr>
        <w:fldChar w:fldCharType="begin"/>
      </w:r>
      <w:r w:rsidR="00A64B61" w:rsidRPr="002A7128">
        <w:rPr>
          <w:rFonts w:ascii="Calibri" w:hAnsi="Calibri" w:cs="Calibri"/>
        </w:rPr>
        <w:instrText xml:space="preserve"> ADDIN ZOTERO_ITEM CSL_CITATION {"citationID":"a108ee7rl4i","properties":{"formattedCitation":"\\super 89\\nosupersub{}","plainCitation":"89","noteIndex":0},"citationItems":[{"id":11246,"uris":["http://zotero.org/groups/2667333/items/JY7854ZC"],"itemData":{"id":11246,"type":"article-journal","abstract":"Immunogenic cell death (ICD) is a form of regulated cell death (RCD) induced by various stresses and produces antitumor immunity\n              via\n              damage-associated molecular patterns (DAMPs) release or exposure, mainly including high mobility group box 1 (HMGB1), calreticulin (CRT), adenosine triphosphate (ATP), and heat shock proteins (HSPs). Emerging evidence has suggested that ionizing radiation (IR) can induce ICD, and the dose, type, and fractionation of irradiation influence the induction of ICD. At present, IR-induced ICD is mainly verified\n              in vitro\n              in mice and there is few clinical evidence about it. To boost the induction of ICD by IR, some strategies have shown synergy with IR to enhance antitumor immune response, such as hyperthermia, nanoparticles, and chemotherapy. In this review, we focus on the molecular mechanisms of ICD, ICD-promoting factors associated with irradiation, the clinical evidence of ICD, and immunogenic forms of cell death. Finally, we summarize various methods of improving ICD induced by IR.","container-title":"Frontiers in Immunology","DOI":"10.3389/fimmu.2021.705361","ISSN":"1664-3224","journalAbbreviation":"Front. Immunol.","page":"705361","source":"DOI.org (Crossref)","title":"Immunogenic Cell Death Induction by Ionizing Radiation","URL":"https://www.frontiersin.org/articles/10.3389/fimmu.2021.705361/full","volume":"12","author":[{"family":"Zhu","given":"Mengqin"},{"family":"Yang","given":"Mengdie"},{"family":"Zhang","given":"Jiajia"},{"family":"Yin","given":"Yuzhen"},{"family":"Fan","given":"Xin"},{"family":"Zhang","given":"Yu"},{"family":"Qin","given":"Shanshan"},{"family":"Zhang","given":"Han"},{"family":"Yu","given":"Fei"}],"accessed":{"date-parts":[["2022",7,12]]},"issued":{"date-parts":[["2021",8,20]]},"citation-key":"zhu_immunogenic_2021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89</w:t>
      </w:r>
      <w:r w:rsidRPr="002A7128">
        <w:rPr>
          <w:rFonts w:ascii="Calibri" w:hAnsi="Calibri" w:cs="Calibri"/>
        </w:rPr>
        <w:fldChar w:fldCharType="end"/>
      </w:r>
      <w:r w:rsidRPr="002A7128">
        <w:rPr>
          <w:rFonts w:ascii="Calibri" w:hAnsi="Calibri" w:cs="Calibri"/>
        </w:rPr>
        <w:t>.</w:t>
      </w:r>
    </w:p>
    <w:p w14:paraId="0B1F6342" w14:textId="08352354" w:rsidR="00A27485" w:rsidRPr="002A7128" w:rsidRDefault="00A27485" w:rsidP="00A27485">
      <w:pPr>
        <w:spacing w:line="480" w:lineRule="auto"/>
        <w:jc w:val="both"/>
        <w:rPr>
          <w:rFonts w:ascii="Calibri" w:hAnsi="Calibri" w:cs="Calibri"/>
        </w:rPr>
      </w:pPr>
      <w:r w:rsidRPr="002A7128">
        <w:rPr>
          <w:rFonts w:ascii="Calibri" w:hAnsi="Calibri" w:cs="Calibri"/>
        </w:rPr>
        <w:t xml:space="preserve">Three types of radiation (photon, proton and carbon-ion) were tested for the surface exposure of </w:t>
      </w:r>
      <w:r w:rsidR="00AD6EF4">
        <w:rPr>
          <w:rFonts w:ascii="Calibri" w:hAnsi="Calibri" w:cs="Calibri"/>
        </w:rPr>
        <w:t>CRT</w:t>
      </w:r>
      <w:r w:rsidRPr="002A7128">
        <w:rPr>
          <w:rFonts w:ascii="Calibri" w:hAnsi="Calibri" w:cs="Calibri"/>
        </w:rPr>
        <w:t xml:space="preserve"> and was shown to be different depending on type and dose</w:t>
      </w:r>
      <w:r w:rsidRPr="002A7128">
        <w:rPr>
          <w:rFonts w:ascii="Calibri" w:hAnsi="Calibri" w:cs="Calibri"/>
        </w:rPr>
        <w:fldChar w:fldCharType="begin"/>
      </w:r>
      <w:r w:rsidR="00A64B61" w:rsidRPr="002A7128">
        <w:rPr>
          <w:rFonts w:ascii="Calibri" w:hAnsi="Calibri" w:cs="Calibri"/>
        </w:rPr>
        <w:instrText xml:space="preserve"> ADDIN ZOTERO_ITEM CSL_CITATION {"citationID":"a1sbctjau5k","properties":{"formattedCitation":"\\super 90\\nosupersub{}","plainCitation":"90","noteIndex":0},"citationItems":[{"id":11238,"uris":["http://zotero.org/groups/2667333/items/DETJ7R2M"],"itemData":{"id":11238,"type":"article-journal","container-title":"Annals of Translational Medicine","DOI":"10.21037/atm.2019.09.128","ISSN":"23055839, 23055847","issue":"20","journalAbbreviation":"Ann. Transl. Med.","page":"542-542","source":"DOI.org (Crossref)","title":"Comparison of the effects of photon, proton and carbon-ion radiation on the ecto-calreticulin exposure in various tumor cell lines","URL":"http://atm.amegroups.com/article/view/30597/26317","volume":"7","author":[{"family":"Huang","given":"Yangle"},{"family":"Dong","given":"Yuanli"},{"family":"Zhao","given":"Jingfang"},{"family":"Zhang","given":"Lijia"},{"family":"Kong","given":"Lin"},{"family":"Lu","given":"Jiade Jay"}],"accessed":{"date-parts":[["2022",7,12]]},"issued":{"date-parts":[["2019",10]]},"citation-key":"huang_comparison_2019"}}],"schema":"https://github.com/citation-style-language/schema/raw/master/csl-citation.json"}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90</w:t>
      </w:r>
      <w:r w:rsidRPr="002A7128">
        <w:rPr>
          <w:rFonts w:ascii="Calibri" w:hAnsi="Calibri" w:cs="Calibri"/>
        </w:rPr>
        <w:fldChar w:fldCharType="end"/>
      </w:r>
      <w:r w:rsidRPr="002A7128">
        <w:rPr>
          <w:rFonts w:ascii="Calibri" w:hAnsi="Calibri" w:cs="Calibri"/>
        </w:rPr>
        <w:t xml:space="preserve">. In fact, range, and dose of the therapy effects biological outcomes significantly. Utilizing higher doses of radiation (&gt;15 </w:t>
      </w:r>
      <w:proofErr w:type="spellStart"/>
      <w:r w:rsidRPr="002A7128">
        <w:rPr>
          <w:rFonts w:ascii="Calibri" w:hAnsi="Calibri" w:cs="Calibri"/>
        </w:rPr>
        <w:t>Gy</w:t>
      </w:r>
      <w:proofErr w:type="spellEnd"/>
      <w:r w:rsidRPr="002A7128">
        <w:rPr>
          <w:rFonts w:ascii="Calibri" w:hAnsi="Calibri" w:cs="Calibri"/>
        </w:rPr>
        <w:t>) increases number of regulatory T cells</w:t>
      </w:r>
      <w:r w:rsidRPr="002A7128">
        <w:rPr>
          <w:rFonts w:ascii="Calibri" w:hAnsi="Calibri" w:cs="Calibri"/>
        </w:rPr>
        <w:fldChar w:fldCharType="begin"/>
      </w:r>
      <w:r w:rsidR="00A64B61" w:rsidRPr="002A7128">
        <w:rPr>
          <w:rFonts w:ascii="Calibri" w:hAnsi="Calibri" w:cs="Calibri"/>
        </w:rPr>
        <w:instrText xml:space="preserve"> ADDIN ZOTERO_ITEM CSL_CITATION {"citationID":"a21dte321t7","properties":{"formattedCitation":"\\super 91\\nosupersub{}","plainCitation":"91","noteIndex":0},"citationItems":[{"id":11240,"uris":["http://zotero.org/groups/2667333/items/W6DQ4RYI"],"itemData":{"id":11240,"type":"article-journal","abstract":"Radiation remains an important component of cancer treatment. In addition to inducing tumor cell death through direct cytotoxic effects, radiation can also promote the regression of tumor via augment of immune response. Regulatory T cells (Tregs) are a unique subpopulation of CD4 positive cells, which are characterized by expression of the forkhead box P3 (Foxp3) transcription factor and high levels of CD25. Mounting evidence has shown that Tregs are implicated in the development and progression of various types of cancer, which makes Tregs an important target in cancer therapeutics. Generally, lymphocytes are regarded as radiosensitive. However, Tregs have been demonstrated to be relatively resistant to radiotherapy, which is partly mediated by downregulation of pro-apoptotic proteins and upregulation of anti-apoptotic proteins. Moreover, radiotherapy can increase the production of Tregs and the recruitment of Tregs to local tumor microenvironment. Tregs can attenuate radiation-induced tumor death, which cause the resistance of tumor to radiotherapy. Recent experimental studies and clinical trails have demonstrated that the combination of radiation with medications that target Tregs is promising in the treatment of several types of neoplasms. In this review, we discussed the effect of radiation on Tregs in physiological states and cancer. Further, we presented an overview of therapies that target Tregs to enhance the efficacy of radiation in cancer therapeutics.","container-title":"American Journal of Cancer Research","ISSN":"2156-6976","issue":"11","journalAbbreviation":"Am J Cancer Res","language":"eng","note":"PMID: 26807310\nPMCID: PMC4697676","page":"3276-3285","source":"PubMed","title":"Effects of radiation on T regulatory cells in normal states and cancer: mechanisms and clinical implications","title-short":"Effects of radiation on T regulatory cells in normal states and cancer","volume":"5","author":[{"family":"Liu","given":"Shu"},{"family":"Sun","given":"Xiangdong"},{"family":"Luo","given":"Jinhua"},{"family":"Zhu","given":"Hongcheng"},{"family":"Yang","given":"Xi"},{"family":"Guo","given":"Qing"},{"family":"Song","given":"Yaqi"},{"family":"Sun","given":"Xinchen"}],"issued":{"date-parts":[["2015"]]},"citation-key":"liu_effects_2015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91</w:t>
      </w:r>
      <w:r w:rsidRPr="002A7128">
        <w:rPr>
          <w:rFonts w:ascii="Calibri" w:hAnsi="Calibri" w:cs="Calibri"/>
        </w:rPr>
        <w:fldChar w:fldCharType="end"/>
      </w:r>
      <w:r w:rsidRPr="002A7128">
        <w:rPr>
          <w:rFonts w:ascii="Calibri" w:hAnsi="Calibri" w:cs="Calibri"/>
        </w:rPr>
        <w:t>, which in return suppresses anti-tumor immunity. Moreover, multifractionated and single dose of radiation was shown to induce different DAMP release profiles in human prostate cancer cell lines</w:t>
      </w:r>
      <w:r w:rsidRPr="002A7128">
        <w:rPr>
          <w:rFonts w:ascii="Calibri" w:hAnsi="Calibri" w:cs="Calibri"/>
        </w:rPr>
        <w:fldChar w:fldCharType="begin"/>
      </w:r>
      <w:r w:rsidR="00A64B61" w:rsidRPr="002A7128">
        <w:rPr>
          <w:rFonts w:ascii="Calibri" w:hAnsi="Calibri" w:cs="Calibri"/>
        </w:rPr>
        <w:instrText xml:space="preserve"> ADDIN ZOTERO_ITEM CSL_CITATION {"citationID":"a1eis746gp0","properties":{"formattedCitation":"\\super 92\\nosupersub{}","plainCitation":"92","noteIndex":0},"citationItems":[{"id":11242,"uris":["http://zotero.org/groups/2667333/items/FNXXFY36"],"itemData":{"id":11242,"type":"article-journal","container-title":"Radiation Research","DOI":"10.1667/RR13731.1","ISSN":"0033-7587, 1938-5404","issue":"2","journalAbbreviation":"Radiation Research","language":"en","page":"139-148","source":"DOI.org (Crossref)","title":"Defining Molecular Signature of Pro-Immunogenic Radiotherapy Targets in Human Prostate Cancer Cells","URL":"http://www.bioone.org/doi/10.1667/RR13731.1","volume":"182","author":[{"family":"Aryankalayil","given":"Molykutty J."},{"family":"Makinde","given":"Adeola Y."},{"family":"Gameiro","given":"Sofia R."},{"family":"Hodge","given":"James W."},{"family":"Rivera-Solis","given":"Patricia P."},{"family":"Palayoor","given":"Sanjeewani T."},{"family":"Ahmed","given":"Mansoor M."},{"family":"Coleman","given":"C. Norman"}],"accessed":{"date-parts":[["2022",7,12]]},"issued":{"date-parts":[["2014",8]]},"citation-key":"aryankalayil_defining_2014"}}],"schema":"https://github.com/citation-style-language/schema/raw/master/csl-citation.json"}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92</w:t>
      </w:r>
      <w:r w:rsidRPr="002A7128">
        <w:rPr>
          <w:rFonts w:ascii="Calibri" w:hAnsi="Calibri" w:cs="Calibri"/>
        </w:rPr>
        <w:fldChar w:fldCharType="end"/>
      </w:r>
      <w:r w:rsidRPr="002A7128">
        <w:rPr>
          <w:rFonts w:ascii="Calibri" w:hAnsi="Calibri" w:cs="Calibri"/>
        </w:rPr>
        <w:t>. In correlation with this study, multifractionated or single dose of radiation was shown to change the infiltration of antigen-specific effector cells</w:t>
      </w:r>
      <w:r w:rsidRPr="002A7128">
        <w:rPr>
          <w:rFonts w:ascii="Calibri" w:hAnsi="Calibri" w:cs="Calibri"/>
        </w:rPr>
        <w:fldChar w:fldCharType="begin"/>
      </w:r>
      <w:r w:rsidR="00A64B61" w:rsidRPr="002A7128">
        <w:rPr>
          <w:rFonts w:ascii="Calibri" w:hAnsi="Calibri" w:cs="Calibri"/>
        </w:rPr>
        <w:instrText xml:space="preserve"> ADDIN ZOTERO_ITEM CSL_CITATION {"citationID":"a1oookaipi2","properties":{"formattedCitation":"\\super 93\\nosupersub{}","plainCitation":"93","noteIndex":0},"citationItems":[{"id":11244,"uris":["http://zotero.org/groups/2667333/items/N4ATUU5T"],"itemData":{"id":11244,"type":"article-journal","container-title":"The Journal of Immunology","DOI":"10.4049/jimmunol.174.12.7516","ISSN":"0022-1767, 1550-6606","issue":"12","journalAbbreviation":"J Immunol","language":"en","page":"7516-7523","source":"DOI.org (Crossref)","title":"Local Radiation Therapy of B16 Melanoma Tumors Increases the Generation of Tumor Antigen-Specific Effector Cells That Traffic to the Tumor","URL":"http://www.jimmunol.org/lookup/doi/10.4049/jimmunol.174.12.7516","volume":"174","author":[{"family":"Lugade","given":"Amit A."},{"family":"Moran","given":"James P."},{"family":"Gerber","given":"Scott A."},{"family":"Rose","given":"Robert C."},{"family":"Frelinger","given":"John G."},{"family":"Lord","given":"Edith M."}],"accessed":{"date-parts":[["2022",7,12]]},"issued":{"date-parts":[["2005",6,15]]},"citation-key":"lugade_local_2005"}}],"schema":"https://github.com/citation-style-language/schema/raw/master/csl-citation.json"}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93</w:t>
      </w:r>
      <w:r w:rsidRPr="002A7128">
        <w:rPr>
          <w:rFonts w:ascii="Calibri" w:hAnsi="Calibri" w:cs="Calibri"/>
        </w:rPr>
        <w:fldChar w:fldCharType="end"/>
      </w:r>
      <w:r w:rsidRPr="002A7128">
        <w:rPr>
          <w:rFonts w:ascii="Calibri" w:hAnsi="Calibri" w:cs="Calibri"/>
        </w:rPr>
        <w:t xml:space="preserve"> </w:t>
      </w:r>
    </w:p>
    <w:p w14:paraId="4E2F878F" w14:textId="6AA563A4" w:rsidR="00A27485" w:rsidRPr="002A7128" w:rsidRDefault="00A27485" w:rsidP="00A27485">
      <w:pPr>
        <w:spacing w:line="480" w:lineRule="auto"/>
        <w:jc w:val="both"/>
        <w:rPr>
          <w:rFonts w:ascii="Calibri" w:hAnsi="Calibri" w:cs="Calibri"/>
        </w:rPr>
      </w:pPr>
      <w:r w:rsidRPr="002A7128">
        <w:rPr>
          <w:rFonts w:ascii="Calibri" w:hAnsi="Calibri" w:cs="Calibri"/>
        </w:rPr>
        <w:t>Photothermal therapy (PTT) aims to selectively induce cancer cell ablation. Variety of nanoparticles (organic and inorganic) have been utilized for PTT</w:t>
      </w:r>
      <w:r w:rsidRPr="002A7128">
        <w:rPr>
          <w:rFonts w:ascii="Calibri" w:hAnsi="Calibri" w:cs="Calibri"/>
        </w:rPr>
        <w:fldChar w:fldCharType="begin"/>
      </w:r>
      <w:r w:rsidR="00A64B61" w:rsidRPr="002A7128">
        <w:rPr>
          <w:rFonts w:ascii="Calibri" w:hAnsi="Calibri" w:cs="Calibri"/>
        </w:rPr>
        <w:instrText xml:space="preserve"> ADDIN ZOTERO_ITEM CSL_CITATION {"citationID":"a15io5mee2r","properties":{"formattedCitation":"\\super 94\\nosupersub{}","plainCitation":"94","noteIndex":0},"citationItems":[{"id":11400,"uris":["http://zotero.org/groups/2667333/items/WV9NBY44"],"itemData":{"id":11400,"type":"article-journal","container-title":"Bioconjugate Chemistry","DOI":"10.1021/acs.bioconjchem.0c00135","ISSN":"1043-1802, 1520-4812","issue":"5","journalAbbreviation":"Bioconjugate Chem.","language":"en","note":"tex.ids= hu_reprogramming_2020-1","page":"1268-1278","source":"DOI.org (Crossref)","title":"Reprogramming Tumor Microenvironment with Photothermal Therapy","URL":"https://pubs.acs.org/doi/10.1021/acs.bioconjchem.0c00135","volume":"31","author":[{"family":"Hu","given":"Qinglian"},{"family":"Huang","given":"Zemin"},{"family":"Duan","given":"Yukun"},{"family":"Fu","given":"Zhengwei"},{"literal":"Bin Liu"}],"accessed":{"date-parts":[["2022",7,26]]},"issued":{"date-parts":[["2020",5,20]]},"citation-key":"hu_reprogramming_2020"}}],"schema":"https://github.com/citation-style-language/schema/raw/master/csl-citation.json"}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94</w:t>
      </w:r>
      <w:r w:rsidRPr="002A7128">
        <w:rPr>
          <w:rFonts w:ascii="Calibri" w:hAnsi="Calibri" w:cs="Calibri"/>
        </w:rPr>
        <w:fldChar w:fldCharType="end"/>
      </w:r>
      <w:r w:rsidRPr="002A7128">
        <w:rPr>
          <w:rFonts w:ascii="Calibri" w:hAnsi="Calibri" w:cs="Calibri"/>
        </w:rPr>
        <w:t xml:space="preserve">. This system has been shown </w:t>
      </w:r>
      <w:r w:rsidRPr="002A7128">
        <w:rPr>
          <w:rFonts w:ascii="Calibri" w:hAnsi="Calibri" w:cs="Calibri"/>
        </w:rPr>
        <w:lastRenderedPageBreak/>
        <w:t xml:space="preserve">to induce tumor cell death and release of DAMPs as well as tumor associated antigens. However, thermal dose or thermal window eventually dictates the immunogenicity induced by PTT. Prussian blue nanoparticle mediated PTT showed higher levels of ATP, HMGB-1 and </w:t>
      </w:r>
      <w:r w:rsidR="00AD6EF4">
        <w:rPr>
          <w:rFonts w:ascii="Calibri" w:hAnsi="Calibri" w:cs="Calibri"/>
        </w:rPr>
        <w:t>CRT</w:t>
      </w:r>
      <w:r w:rsidR="00AD6EF4" w:rsidRPr="002A7128">
        <w:rPr>
          <w:rFonts w:ascii="Calibri" w:hAnsi="Calibri" w:cs="Calibri"/>
        </w:rPr>
        <w:t xml:space="preserve"> </w:t>
      </w:r>
      <w:r w:rsidRPr="002A7128">
        <w:rPr>
          <w:rFonts w:ascii="Calibri" w:hAnsi="Calibri" w:cs="Calibri"/>
        </w:rPr>
        <w:t xml:space="preserve">between 63.3-66.4 </w:t>
      </w:r>
      <w:r w:rsidRPr="002A7128">
        <w:rPr>
          <w:rFonts w:ascii="Calibri" w:hAnsi="Calibri" w:cs="Calibri"/>
        </w:rPr>
        <w:sym w:font="Symbol" w:char="F0B0"/>
      </w:r>
      <w:r w:rsidRPr="002A7128">
        <w:rPr>
          <w:rFonts w:ascii="Calibri" w:hAnsi="Calibri" w:cs="Calibri"/>
        </w:rPr>
        <w:t>C, while higher and lower temperatures resulted in non-ICD</w:t>
      </w:r>
      <w:r w:rsidRPr="002A7128">
        <w:rPr>
          <w:rFonts w:ascii="Calibri" w:hAnsi="Calibri" w:cs="Calibri"/>
        </w:rPr>
        <w:fldChar w:fldCharType="begin"/>
      </w:r>
      <w:r w:rsidR="00A64B61" w:rsidRPr="002A7128">
        <w:rPr>
          <w:rFonts w:ascii="Calibri" w:hAnsi="Calibri" w:cs="Calibri"/>
        </w:rPr>
        <w:instrText xml:space="preserve"> ADDIN ZOTERO_ITEM CSL_CITATION {"citationID":"a1h49tvaje9","properties":{"formattedCitation":"\\super 95\\nosupersub{}","plainCitation":"95","noteIndex":0},"citationItems":[{"id":6151,"uris":["http://zotero.org/groups/2667333/items/WSQBTCLY"],"itemData":{"id":6151,"type":"article-journal","abstract":"A thermal “window” of immunogenic cell death (ICD) elicited by nanoparticle-based photothermal therapy (PTT) in an animal model of neuroblastoma is described. In studies using Prussian blue nanoparticles to administer photothermal therapy (PBNP-PTT) to established localized tumors in the neuroblastoma model, it is observed that PBNP-PTT conforms to the “more is better” paradigm, wherein higher doses of PBNP-PTT generates higher cell/local heating and thereby more cell death, and consequently improved animal survival. However, in vitro analysis of the biochemical correlates of ICD (ATP, high-motility group box 1, and calreticulin) elicited by PBNP-PTT demonstrates that PBNP-PTT triggers a thermal window of ICD. ICD markers are highly expressed within an optimal temperature (thermal dose) window of PBNP-PTT (63.3–66.4 °C) as compared with higher (83.0–83.5 °C) and lower PBNP-PTT (50.7–52.7 °C) temperatures, which both yield lower expression. Subsequent vaccination studies in the neuroblastoma model confirm the in vitro findings, wherein PBNP-PTT administered within the optimal temperature window results in long-term survival (33.3% at 100 d) compared with PBNP-PTT administered within the higher (0%) and lower (20%) temperature ranges, and controls (0%). The findings demonstrate a tunable immune response to heat generated by PBNP-PTT, which should be critically engaged in the administration of PTT for maximizing its therapeutic benefits.","container-title":"Small","DOI":"https://doi.org/10.1002/smll.201800678","ISSN":"1613-6829","issue":"20","language":"en","license":"© 2018 WILEY‐VCH Verlag GmbH &amp; Co. KGaA, Weinheim","note":"_eprint: https://onlinelibrary.wiley.com/doi/pdf/10.1002/smll.201800678\ntex.ids= sweeney_photothermal_2018-1","page":"1800678","source":"Wiley Online Library","title":"Photothermal Therapy Generates a Thermal Window of Immunogenic Cell Death in Neuroblastoma","URL":"https://onlinelibrary.wiley.com/doi/abs/10.1002/smll.201800678","volume":"14","author":[{"family":"Sweeney","given":"Elizabeth E."},{"family":"Cano‐Mejia","given":"Juliana"},{"family":"Fernandes","given":"Rohan"}],"accessed":{"date-parts":[["2021",3,28]]},"issued":{"date-parts":[["2018"]]},"citation-key":"sweeney_photothermal_2018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95</w:t>
      </w:r>
      <w:r w:rsidRPr="002A7128">
        <w:rPr>
          <w:rFonts w:ascii="Calibri" w:hAnsi="Calibri" w:cs="Calibri"/>
        </w:rPr>
        <w:fldChar w:fldCharType="end"/>
      </w:r>
      <w:r w:rsidRPr="002A7128">
        <w:rPr>
          <w:rFonts w:ascii="Calibri" w:hAnsi="Calibri" w:cs="Calibri"/>
        </w:rPr>
        <w:t>. It was discussed by Hu et al.,</w:t>
      </w:r>
      <w:r w:rsidRPr="002A7128">
        <w:rPr>
          <w:rFonts w:ascii="Calibri" w:hAnsi="Calibri" w:cs="Calibri"/>
        </w:rPr>
        <w:fldChar w:fldCharType="begin"/>
      </w:r>
      <w:r w:rsidR="00A64B61" w:rsidRPr="002A7128">
        <w:rPr>
          <w:rFonts w:ascii="Calibri" w:hAnsi="Calibri" w:cs="Calibri"/>
        </w:rPr>
        <w:instrText xml:space="preserve"> ADDIN ZOTERO_ITEM CSL_CITATION {"citationID":"aidmt3tkr2","properties":{"formattedCitation":"\\super 94\\nosupersub{}","plainCitation":"94","noteIndex":0},"citationItems":[{"id":11400,"uris":["http://zotero.org/groups/2667333/items/WV9NBY44"],"itemData":{"id":11400,"type":"article-journal","container-title":"Bioconjugate Chemistry","DOI":"10.1021/acs.bioconjchem.0c00135","ISSN":"1043-1802, 1520-4812","issue":"5","journalAbbreviation":"Bioconjugate Chem.","language":"en","note":"tex.ids= hu_reprogramming_2020-1","page":"1268-1278","source":"DOI.org (Crossref)","title":"Reprogramming Tumor Microenvironment with Photothermal Therapy","URL":"https://pubs.acs.org/doi/10.1021/acs.bioconjchem.0c00135","volume":"31","author":[{"family":"Hu","given":"Qinglian"},{"family":"Huang","given":"Zemin"},{"family":"Duan","given":"Yukun"},{"family":"Fu","given":"Zhengwei"},{"literal":"Bin Liu"}],"accessed":{"date-parts":[["2022",7,26]]},"issued":{"date-parts":[["2020",5,20]]},"citation-key":"hu_reprogramming_2020"}}],"schema":"https://github.com/citation-style-language/schema/raw/master/csl-citation.json"}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94</w:t>
      </w:r>
      <w:r w:rsidRPr="002A7128">
        <w:rPr>
          <w:rFonts w:ascii="Calibri" w:hAnsi="Calibri" w:cs="Calibri"/>
        </w:rPr>
        <w:fldChar w:fldCharType="end"/>
      </w:r>
      <w:r w:rsidRPr="002A7128">
        <w:rPr>
          <w:rFonts w:ascii="Calibri" w:hAnsi="Calibri" w:cs="Calibri"/>
        </w:rPr>
        <w:t xml:space="preserve"> that PTT alone is not sufficient to protect against metastasis and recurrence. In fact another study showed that gold </w:t>
      </w:r>
      <w:proofErr w:type="spellStart"/>
      <w:r w:rsidRPr="002A7128">
        <w:rPr>
          <w:rFonts w:ascii="Calibri" w:hAnsi="Calibri" w:cs="Calibri"/>
        </w:rPr>
        <w:t>nanoshell</w:t>
      </w:r>
      <w:proofErr w:type="spellEnd"/>
      <w:r w:rsidRPr="002A7128">
        <w:rPr>
          <w:rFonts w:ascii="Calibri" w:hAnsi="Calibri" w:cs="Calibri"/>
        </w:rPr>
        <w:t>-enabled PTT of a single tumor delays the growth of contralateral B16-OVA tumors, however remains ineffective for less immunogenic B16-F10 tumors</w:t>
      </w:r>
      <w:r w:rsidRPr="002A7128">
        <w:rPr>
          <w:rFonts w:ascii="Calibri" w:hAnsi="Calibri" w:cs="Calibri"/>
        </w:rPr>
        <w:fldChar w:fldCharType="begin"/>
      </w:r>
      <w:r w:rsidR="00A64B61" w:rsidRPr="002A7128">
        <w:rPr>
          <w:rFonts w:ascii="Calibri" w:hAnsi="Calibri" w:cs="Calibri"/>
        </w:rPr>
        <w:instrText xml:space="preserve"> ADDIN ZOTERO_ITEM CSL_CITATION {"citationID":"a1v97tj5948","properties":{"formattedCitation":"\\super 96\\nosupersub{}","plainCitation":"96","noteIndex":0},"citationItems":[{"id":11403,"uris":["http://zotero.org/groups/2667333/items/M79KQ98T"],"itemData":{"id":11403,"type":"article-journal","container-title":"PLoS ONE","DOI":"10.1371/journal.pone.0069073","ISSN":"1932-6203","issue":"7","journalAbbreviation":"PLoS ONE","language":"en","page":"e69073","source":"DOI.org (Crossref)","title":"Elimination of Metastatic Melanoma Using Gold Nanoshell-Enabled Photothermal Therapy and Adoptive T Cell Transfer","URL":"https://dx.plos.org/10.1371/journal.pone.0069073","volume":"8","author":[{"family":"Bear","given":"Adham S."},{"family":"Kennedy","given":"Laura C."},{"family":"Young","given":"Joseph K."},{"family":"Perna","given":"Serena K."},{"family":"Mattos Almeida","given":"Joao Paulo"},{"family":"Lin","given":"Adam Y."},{"family":"Eckels","given":"Phillip C."},{"family":"Drezek","given":"Rebekah A."},{"family":"Foster","given":"Aaron E."}],"editor":[{"family":"Najbauer","given":"Joseph"}],"accessed":{"date-parts":[["2022",7,26]]},"issued":{"date-parts":[["2013",7,23]]},"citation-key":"bear_elimination_2013"}}],"schema":"https://github.com/citation-style-language/schema/raw/master/csl-citation.json"}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96</w:t>
      </w:r>
      <w:r w:rsidRPr="002A7128">
        <w:rPr>
          <w:rFonts w:ascii="Calibri" w:hAnsi="Calibri" w:cs="Calibri"/>
        </w:rPr>
        <w:fldChar w:fldCharType="end"/>
      </w:r>
      <w:r w:rsidRPr="002A7128">
        <w:rPr>
          <w:rFonts w:ascii="Calibri" w:hAnsi="Calibri" w:cs="Calibri"/>
        </w:rPr>
        <w:t>. Same study also showed that PTT induced the generation of myeloid-derived suppressor cells leading to metastasis, however combination with adoptive T cell therapy increased the efficacy against both the primary and metastatic tumor</w:t>
      </w:r>
      <w:r w:rsidRPr="002A7128">
        <w:rPr>
          <w:rFonts w:ascii="Calibri" w:hAnsi="Calibri" w:cs="Calibri"/>
        </w:rPr>
        <w:fldChar w:fldCharType="begin"/>
      </w:r>
      <w:r w:rsidR="00A64B61" w:rsidRPr="002A7128">
        <w:rPr>
          <w:rFonts w:ascii="Calibri" w:hAnsi="Calibri" w:cs="Calibri"/>
        </w:rPr>
        <w:instrText xml:space="preserve"> ADDIN ZOTERO_ITEM CSL_CITATION {"citationID":"a18djpjmh07","properties":{"formattedCitation":"\\super 96\\nosupersub{}","plainCitation":"96","noteIndex":0},"citationItems":[{"id":11403,"uris":["http://zotero.org/groups/2667333/items/M79KQ98T"],"itemData":{"id":11403,"type":"article-journal","container-title":"PLoS ONE","DOI":"10.1371/journal.pone.0069073","ISSN":"1932-6203","issue":"7","journalAbbreviation":"PLoS ONE","language":"en","page":"e69073","source":"DOI.org (Crossref)","title":"Elimination of Metastatic Melanoma Using Gold Nanoshell-Enabled Photothermal Therapy and Adoptive T Cell Transfer","URL":"https://dx.plos.org/10.1371/journal.pone.0069073","volume":"8","author":[{"family":"Bear","given":"Adham S."},{"family":"Kennedy","given":"Laura C."},{"family":"Young","given":"Joseph K."},{"family":"Perna","given":"Serena K."},{"family":"Mattos Almeida","given":"Joao Paulo"},{"family":"Lin","given":"Adam Y."},{"family":"Eckels","given":"Phillip C."},{"family":"Drezek","given":"Rebekah A."},{"family":"Foster","given":"Aaron E."}],"editor":[{"family":"Najbauer","given":"Joseph"}],"accessed":{"date-parts":[["2022",7,26]]},"issued":{"date-parts":[["2013",7,23]]},"citation-key":"bear_elimination_2013"}}],"schema":"https://github.com/citation-style-language/schema/raw/master/csl-citation.json"}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96</w:t>
      </w:r>
      <w:r w:rsidRPr="002A7128">
        <w:rPr>
          <w:rFonts w:ascii="Calibri" w:hAnsi="Calibri" w:cs="Calibri"/>
        </w:rPr>
        <w:fldChar w:fldCharType="end"/>
      </w:r>
      <w:r w:rsidRPr="002A7128">
        <w:rPr>
          <w:rFonts w:ascii="Calibri" w:hAnsi="Calibri" w:cs="Calibri"/>
        </w:rPr>
        <w:t>. Another strategy is to combine PTT and immunotherapy. PTT combined with glycated chitosan (GC) showed tumor regression if 75% of mice through increase DAMP release upon PTT and infiltration of APCs</w:t>
      </w:r>
      <w:r w:rsidRPr="002A7128">
        <w:rPr>
          <w:rFonts w:ascii="Calibri" w:hAnsi="Calibri" w:cs="Calibri"/>
        </w:rPr>
        <w:fldChar w:fldCharType="begin"/>
      </w:r>
      <w:r w:rsidR="00A64B61" w:rsidRPr="002A7128">
        <w:rPr>
          <w:rFonts w:ascii="Calibri" w:hAnsi="Calibri" w:cs="Calibri"/>
        </w:rPr>
        <w:instrText xml:space="preserve"> ADDIN ZOTERO_ITEM CSL_CITATION {"citationID":"abmuif4gop","properties":{"formattedCitation":"\\super 97\\nosupersub{}","plainCitation":"97","noteIndex":0},"citationItems":[{"id":9980,"uris":["http://zotero.org/groups/2667333/items/96H83XCT"],"itemData":{"id":9980,"type":"article-journal","container-title":"Clinical Cancer Research","DOI":"10.1158/1078-0432.CCR-18-1126","ISSN":"1078-0432, 1557-3265","issue":"21","journalAbbreviation":"Clin Cancer Res","language":"en","note":"Citation Key: zhou_local_2018","page":"5335-5346","source":"DOI.org (Crossref)","title":"Local Phototherapy Synergizes with Immunoadjuvant for Treatment of Pancreatic Cancer through Induced Immunogenic Tumor Vaccine","URL":"http://clincancerres.aacrjournals.org/lookup/doi/10.1158/1078-0432.CCR-18-1126","volume":"24","author":[{"family":"Zhou","given":"Feifan"},{"family":"Yang","given":"Jingxuan"},{"family":"Zhang","given":"Yuqing"},{"family":"Liu","given":"Mingyang"},{"family":"Lang","given":"Mark L."},{"family":"Li","given":"Min"},{"family":"Chen","given":"Wei R."}],"accessed":{"date-parts":[["2022",2,10]]},"issued":{"date-parts":[["2018",11,1]]},"citation-key":"zhou_local_2018"}}],"schema":"https://github.com/citation-style-language/schema/raw/master/csl-citation.json"}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97</w:t>
      </w:r>
      <w:r w:rsidRPr="002A7128">
        <w:rPr>
          <w:rFonts w:ascii="Calibri" w:hAnsi="Calibri" w:cs="Calibri"/>
        </w:rPr>
        <w:fldChar w:fldCharType="end"/>
      </w:r>
      <w:r w:rsidRPr="002A7128">
        <w:rPr>
          <w:rFonts w:ascii="Calibri" w:hAnsi="Calibri" w:cs="Calibri"/>
        </w:rPr>
        <w:t>.</w:t>
      </w:r>
    </w:p>
    <w:p w14:paraId="107055B7" w14:textId="0B50A219" w:rsidR="00A27485" w:rsidRPr="002A7128" w:rsidRDefault="00A27485">
      <w:pPr>
        <w:pStyle w:val="Heading2"/>
        <w:numPr>
          <w:ilvl w:val="2"/>
          <w:numId w:val="2"/>
        </w:numPr>
        <w:spacing w:line="480" w:lineRule="auto"/>
        <w:jc w:val="both"/>
        <w:rPr>
          <w:rFonts w:ascii="Calibri" w:hAnsi="Calibri" w:cs="Calibri"/>
        </w:rPr>
      </w:pPr>
      <w:bookmarkStart w:id="34" w:name="_Toc115787973"/>
      <w:bookmarkStart w:id="35" w:name="_Toc120794131"/>
      <w:r w:rsidRPr="002A7128">
        <w:rPr>
          <w:rFonts w:ascii="Calibri" w:hAnsi="Calibri" w:cs="Calibri"/>
        </w:rPr>
        <w:t>Antimicrobial peptides</w:t>
      </w:r>
      <w:bookmarkEnd w:id="34"/>
      <w:bookmarkEnd w:id="35"/>
      <w:r w:rsidRPr="002A7128">
        <w:rPr>
          <w:rFonts w:ascii="Calibri" w:hAnsi="Calibri" w:cs="Calibri"/>
        </w:rPr>
        <w:t xml:space="preserve"> </w:t>
      </w:r>
    </w:p>
    <w:p w14:paraId="4094FC03" w14:textId="3BC08CEB" w:rsidR="00A27485" w:rsidRPr="002A7128" w:rsidRDefault="00A27485" w:rsidP="00A27485">
      <w:pPr>
        <w:spacing w:line="480" w:lineRule="auto"/>
        <w:jc w:val="both"/>
        <w:rPr>
          <w:rFonts w:ascii="Calibri" w:hAnsi="Calibri" w:cs="Calibri"/>
        </w:rPr>
      </w:pPr>
      <w:r w:rsidRPr="002A7128">
        <w:rPr>
          <w:rFonts w:ascii="Calibri" w:hAnsi="Calibri" w:cs="Calibri"/>
        </w:rPr>
        <w:t>Antimicrobial peptides (AMPs) are found in the host defense mechanism displaying activity against bacteria, viruses and fungi</w:t>
      </w:r>
      <w:r w:rsidRPr="002A7128">
        <w:rPr>
          <w:rFonts w:ascii="Calibri" w:hAnsi="Calibri" w:cs="Calibri"/>
        </w:rPr>
        <w:fldChar w:fldCharType="begin"/>
      </w:r>
      <w:r w:rsidR="00A64B61" w:rsidRPr="002A7128">
        <w:rPr>
          <w:rFonts w:ascii="Calibri" w:hAnsi="Calibri" w:cs="Calibri"/>
        </w:rPr>
        <w:instrText xml:space="preserve"> ADDIN ZOTERO_ITEM CSL_CITATION {"citationID":"a29a5bvlfb","properties":{"formattedCitation":"\\super 98\\nosupersub{}","plainCitation":"98","noteIndex":0},"citationItems":[{"id":3401,"uris":["http://zotero.org/groups/2667333/items/JGRAZQSA"],"itemData":{"id":3401,"type":"article-journal","abstract":"The rapid increase in drug-resistant infections has presented a serious challenge to antimicrobial therapies. The failure of the most potent antibiotics to kill “superbugs” emphasizes the urgent need to develop other control agents. Here we review the history and new development of antimicrobial peptides (AMPs), a growing class of natural and synthetic peptides with a wide spectrum of targets including viruses, bacteria, fungi, and parasites. We summarize the major types of AMPs, their modes of action, and the common mechanisms of AMP resistance. In addition, we discuss the principles for designing effective AMPs and the potential of using AMPs to control biofilms (multicellular structures of bacteria embedded in extracellular matrixes) and persister cells (dormant phenotypic variants of bacterial cells that are highly tolerant to antibiotics).","container-title":"Pharmaceuticals","DOI":"10.3390/ph6121543","issue":"12","language":"en","license":"http://creativecommons.org/licenses/by/3.0/","note":"number: 12\npublisher: Multidisciplinary Digital Publishing Institute\ntex.ids= bahar_antimicrobial_2013-2","page":"1543-1575","source":"www.mdpi.com","title":"Antimicrobial Peptides","URL":"https://www.mdpi.com/1424-8247/6/12/1543","volume":"6","author":[{"family":"Bahar","given":"Ali Adem"},{"family":"Ren","given":"Dacheng"}],"accessed":{"date-parts":[["2021",1,4]]},"issued":{"date-parts":[["2013",12]]},"citation-key":"bahar_antimicrobial_2013"},"locator":"2013-1"}],"schema":"https://github.com/citation-style-language/schema/raw/master/csl-citation.json"}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98</w:t>
      </w:r>
      <w:r w:rsidRPr="002A7128">
        <w:rPr>
          <w:rFonts w:ascii="Calibri" w:hAnsi="Calibri" w:cs="Calibri"/>
        </w:rPr>
        <w:fldChar w:fldCharType="end"/>
      </w:r>
      <w:r w:rsidRPr="002A7128">
        <w:rPr>
          <w:rFonts w:ascii="Calibri" w:hAnsi="Calibri" w:cs="Calibri"/>
        </w:rPr>
        <w:t>. Several AMPs have been discovered and currently more than a thousand AMPs are present (natural or synthetic). Majority of AMPs share structural similarities in terms of containing hydrophobic and cationic amino acids (high amounts of lysine and arginine). AMPs interact with the negatively charged membrane through electrostatic interactions and multiple different mechanisms have been proposed for their hemolytic activity and discussed detailly elsewhere</w:t>
      </w:r>
      <w:r w:rsidRPr="002A7128">
        <w:rPr>
          <w:rFonts w:ascii="Calibri" w:hAnsi="Calibri" w:cs="Calibri"/>
        </w:rPr>
        <w:fldChar w:fldCharType="begin"/>
      </w:r>
      <w:r w:rsidR="00A64B61" w:rsidRPr="002A7128">
        <w:rPr>
          <w:rFonts w:ascii="Calibri" w:hAnsi="Calibri" w:cs="Calibri"/>
        </w:rPr>
        <w:instrText xml:space="preserve"> ADDIN ZOTERO_ITEM CSL_CITATION {"citationID":"a1q0u2klqsp","properties":{"formattedCitation":"\\super 99\\nosupersub{}","plainCitation":"99","noteIndex":0},"citationItems":[{"id":10893,"uris":["http://zotero.org/groups/2667333/items/39TLWS67"],"itemData":{"id":10893,"type":"article-journal","abstract":"Nowadays, the bacterial drug resistance leads to serious healthy problem worldwide due to the long-term use and the abuse of traditional antibiotics result in drug resistance of bacteria. Finding a new antibiotic is becoming more and more difficult. Antimicrobial peptides (AMPs) are the host defense peptides with most of them being the cationic (positively charged) and amphiphilic (hydrophilic and hydrophobic) α-helical peptide molecules. The membrane permeability is mostly recognized as the well-accepted mechanism to describe the action of cationic AMPs. These cationic AMPs can bind and interact with the negatively charged bacterial cell membranes, leading to the change of the electrochemical potential on bacterial cell membranes, inducing cell membrane damage and the permeation of larger molecules such as proteins, destroying cell morphology and membranes and eventually resulting in cell death. These AMPs have been demonstrated to have their own advantages over the traditional antibiotics with a broad-spectrum of antimicrobial activities including anti-bacteria, anti-fungi, anti-viruses, and anti-cancers, and even overcome bacterial drug-resistance. The natural AMPs exist in a variety of organisms and are not stable with a short half-life, more or less toxic side effects, and particularly may have severe hemolytic activity. To open the clinical applications, it is necessary and important to develop the synthetic and long-lasting AMP analogs that overcome the disadvantages of their natural peptides and the potential problems for the drug candidates.","container-title":"American Journal of Translational Research","ISSN":"1943-8141","issue":"7","journalAbbreviation":"Am J Transl Res","language":"eng","note":"PMID: 31396309\nPMCID: PMC6684887","page":"3919-3931","source":"PubMed","title":"The antimicrobial peptides and their potential clinical applications","volume":"11","author":[{"family":"Lei","given":"Jun"},{"family":"Sun","given":"Lichun"},{"family":"Huang","given":"Siyu"},{"family":"Zhu","given":"Chenhong"},{"family":"Li","given":"Ping"},{"family":"He","given":"Jun"},{"family":"Mackey","given":"Vienna"},{"family":"Coy","given":"David H."},{"family":"He","given":"Quanyong"}],"issued":{"date-parts":[["2019"]]},"citation-key":"lei_antimicrobial_2019"}}],"schema":"https://github.com/citation-style-language/schema/raw/master/csl-citation.json"}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99</w:t>
      </w:r>
      <w:r w:rsidRPr="002A7128">
        <w:rPr>
          <w:rFonts w:ascii="Calibri" w:hAnsi="Calibri" w:cs="Calibri"/>
        </w:rPr>
        <w:fldChar w:fldCharType="end"/>
      </w:r>
      <w:r w:rsidRPr="002A7128">
        <w:rPr>
          <w:rFonts w:ascii="Calibri" w:hAnsi="Calibri" w:cs="Calibri"/>
        </w:rPr>
        <w:t>. Strikingly, AMPs activity are not limited to microbes but extend to cancer cells. They bind to the phospholipid phosphatidylserines on the outer leaflet of cancer cell plasma membranes</w:t>
      </w:r>
      <w:r w:rsidRPr="002A7128">
        <w:rPr>
          <w:rFonts w:ascii="Calibri" w:hAnsi="Calibri" w:cs="Calibri"/>
        </w:rPr>
        <w:fldChar w:fldCharType="begin"/>
      </w:r>
      <w:r w:rsidR="00A64B61" w:rsidRPr="002A7128">
        <w:rPr>
          <w:rFonts w:ascii="Calibri" w:hAnsi="Calibri" w:cs="Calibri"/>
        </w:rPr>
        <w:instrText xml:space="preserve"> ADDIN ZOTERO_ITEM CSL_CITATION {"citationID":"a2ijglpiqpt","properties":{"formattedCitation":"\\super 100\\nosupersub{}","plainCitation":"100","noteIndex":0},"citationItems":[{"id":10917,"uris":["http://zotero.org/groups/2667333/items/AF836PYS"],"itemData":{"id":10917,"type":"article-journal","container-title":"PLOS ONE","DOI":"10.1371/journal.pone.0211187","ISSN":"1932-6203","issue":"1","journalAbbreviation":"PLoS ONE","language":"en","page":"e0211187","source":"DOI.org (Crossref)","title":"Interaction of two antitumor peptides with membrane lipids – Influence of phosphatidylserine and cholesterol on specificity for melanoma cells","URL":"https://dx.plos.org/10.1371/journal.pone.0211187","volume":"14","author":[{"family":"Wodlej","given":"Christina"},{"family":"Riedl","given":"Sabrina"},{"family":"Rinner","given":"Beate"},{"family":"Leber","given":"Regina"},{"family":"Drechsler","given":"Carina"},{"family":"Voelker","given":"Dennis R."},{"family":"Choi","given":"Jae-Yeon"},{"family":"Lohner","given":"Karl"},{"family":"Zweytick","given":"Dagmar"}],"editor":[{"family":"Johnson","given":"Colin"}],"accessed":{"date-parts":[["2022",7,5]]},"issued":{"date-parts":[["2019",1,25]]},"citation-key":"wodlej_interaction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100</w:t>
      </w:r>
      <w:r w:rsidRPr="002A7128">
        <w:rPr>
          <w:rFonts w:ascii="Calibri" w:hAnsi="Calibri" w:cs="Calibri"/>
        </w:rPr>
        <w:fldChar w:fldCharType="end"/>
      </w:r>
      <w:r w:rsidRPr="002A7128">
        <w:rPr>
          <w:rFonts w:ascii="Calibri" w:hAnsi="Calibri" w:cs="Calibri"/>
        </w:rPr>
        <w:t xml:space="preserve">. Several natural and engineered AMPs has been shown to act </w:t>
      </w:r>
      <w:r w:rsidRPr="002A7128">
        <w:rPr>
          <w:rFonts w:ascii="Calibri" w:hAnsi="Calibri" w:cs="Calibri"/>
        </w:rPr>
        <w:lastRenderedPageBreak/>
        <w:t>as anti-cancer peptides. Majority of these AMPs either induce apoptosis</w:t>
      </w:r>
      <w:r w:rsidRPr="002A7128">
        <w:rPr>
          <w:rFonts w:ascii="Calibri" w:hAnsi="Calibri" w:cs="Calibri"/>
        </w:rPr>
        <w:fldChar w:fldCharType="begin"/>
      </w:r>
      <w:r w:rsidR="00A64B61" w:rsidRPr="002A7128">
        <w:rPr>
          <w:rFonts w:ascii="Calibri" w:hAnsi="Calibri" w:cs="Calibri"/>
        </w:rPr>
        <w:instrText xml:space="preserve"> ADDIN ZOTERO_ITEM CSL_CITATION {"citationID":"a1fqtvihp5a","properties":{"formattedCitation":"\\super 101\\uc0\\u8211{}104\\nosupersub{}","plainCitation":"101–104","noteIndex":0},"citationItems":[{"id":10926,"uris":["http://zotero.org/groups/2667333/items/6LN6AFLK"],"itemData":{"id":10926,"type":"article-journal","abstract":"Abstract\n            Purpose: Human neutrophil peptides (HNP1-3), small molecular antimicrobial peptides, are expressed within tumors and associated with tumor necrosis and inhibition of angiogenesis. Recent investigations have suggested that HNP1-3 are likely to be involved in the host immune responses to tumors.\n            Experimental Design: We used recombinant pSec-HNP1, which expresses a secretable form of HNP1, to obtain expression of HNP1 in the tumor milieu in immunocompetent mice to explore the possible roles of HNP1 in tumor immunity. The antitumor effects were investigated in established CT26 colon cancer and 4T1 breast cancer models.\n            Results: HNP1-mediated chemotactic and activating effects on immature dendritic cells were detected both in vitro and in vivo. Intratumoral expression of HNP1 resulted in not only significant tumor growth inhibition but also increased CTL infiltration within tumors. Adoptive transfer of splenocytes and a 51Cr release assay revealed specific cellular immune responses. Furthermore, increased antibodies were also found in sera from pSec-HNP1treated mice supporting specific humoral immune responses. Increased apoptosis and decreased angiogenesis were also shown in treated tumors.\n            Conclusions: These findings indicate that HNP1 can exert multiple antitumor effects through different mechanisms; more importantly, HNP1 mediates host immune responses to tumors in situ through the recruitment and subsequent activation of immature dendritic cells and thus shows promising potential in cancer therapy. (Clin Cancer Res 2009;15(22):690111)","container-title":"Clinical Cancer Research","DOI":"10.1158/1078-0432.CCR-09-0484","ISSN":"1078-0432, 1557-3265","issue":"22","language":"en","page":"6901-6911","source":"DOI.org (Crossref)","title":"Intratumoral Expression of Mature Human Neutrophil Peptide-1 Mediates Antitumor Immunity in Mice","URL":"https://aacrjournals.org/clincancerres/article/15/22/6901/75046/Intratumoral-Expression-of-Mature-Human-Neutrophil","volume":"15","author":[{"family":"Wang","given":"Yong-sheng"},{"family":"Li","given":"Dan"},{"family":"Shi","given":"Hua-shan"},{"family":"Wen","given":"Yan-jun"},{"family":"Yang","given":"Li"},{"family":"Xu","given":"Ning"},{"family":"Chen","given":"Xian-cheng"},{"family":"Chen","given":"Xiang"},{"family":"Chen","given":"Ping"},{"family":"Li","given":"Jiong"},{"family":"Deng","given":"Hong-xin"},{"family":"Wang","given":"Chun-ting"},{"family":"Xie","given":"Gang"},{"family":"Huang","given":"Shan"},{"family":"Mao","given":"Yong-qiu"},{"family":"Chen","given":"Li-juan"},{"family":"Zhao","given":"Xia"},{"family":"Wei","given":"Yu-quan"}],"accessed":{"date-parts":[["2022",7,6]]},"issued":{"date-parts":[["2009",11,15]]},"citation-key":"wang_intratumoral_2009"}},{"id":10925,"uris":["http://zotero.org/groups/2667333/items/JE8QULXZ"],"itemData":{"id":10925,"type":"article-journal","container-title":"Cancer Letters","DOI":"10.1016/j.canlet.2008.05.041","ISSN":"03043835","issue":"1","journalAbbreviation":"Cancer Letters","language":"en","page":"47-55","source":"DOI.org (Crossref)","title":"Mechanism of anticancer activity of buforin IIb, a histone H2A-derived peptide","URL":"https://linkinghub.elsevier.com/retrieve/pii/S0304383508004357","volume":"271","author":[{"family":"Lee","given":"Hyun Soo"},{"family":"Park","given":"Chan Bae"},{"family":"Kim","given":"Jung Min"},{"family":"Jang","given":"Su A"},{"family":"Park","given":"In Yup"},{"family":"Kim","given":"Mi Sun"},{"family":"Cho","given":"Ju Hyun"},{"family":"Kim","given":"Sun Chang"}],"accessed":{"date-parts":[["2022",7,6]]},"issued":{"date-parts":[["2008",11]]},"citation-key":"lee_mechanism_2008"}},{"id":10923,"uris":["http://zotero.org/groups/2667333/items/8HM3PBSY"],"itemData":{"id":10923,"type":"article-journal","abstract":"Antimicrobial peptides are a promising resource for developing novel antibiotic and even anticancer drugs. Here, a 28-mer polypeptide, Ranatuerin-2PLx (R2PLx), was identified from lyophilised skin secretions. The chemically synthetic replicates exhibited moderate and broadspectrum antimicrobial effect against various microorganisms including methicillin-resistant Staphylococcus aureus (MRSA, minimal inhibitory concentration = 256 µM). In addition, R2PLx was found to inhibit the proliferation of several tumour cells, especially showing more potent effect on prostate cancer cell, PC-3. The early cell apoptosis was observed in 6 h by Annexin V-FITC/propidium iodide staining, as well as the activation of Caspase-3 at 5 µM peptide concentration. R2PLx may therefore be promising for developing new therapeutic approach for cancer treatment. Moreover, the artificial deficiency of conserved rana-box loop or net positive charge in C-terminal domain notably reduced the biological activities of the truncated and substituted isoforms, respectively, suggesting for maintaining their biological potency of ranatuerin family requires both cysteine-bridged segment and cationincity within the loop domain in C-terminus.","container-title":"Bioscience Reports","DOI":"10.1042/BSR20180710","ISSN":"0144-8463, 1573-4935","issue":"6","language":"en","page":"BSR20180710","source":"DOI.org (Crossref)","title":"A novel antimicrobial peptide, Ranatuerin-2PLx, showing therapeutic potential in inhibiting proliferation of cancer cells","URL":"https://portlandpress.com/bioscirep/article/38/6/BSR20180710/98235/A-novel-antimicrobial-peptide-Ranatuerin-2PLx","volume":"38","author":[{"family":"Chen","given":"Xiaoling"},{"family":"Zhang","given":"Luyao"},{"family":"Ma","given":"Chengbang"},{"family":"Zhang","given":"Yingqi"},{"family":"Xi","given":"Xinping"},{"family":"Wang","given":"Lei"},{"family":"Zhou","given":"Mei"},{"family":"Burrows","given":"James F."},{"family":"Chen","given":"Tianbao"}],"accessed":{"date-parts":[["2022",7,6]]},"issued":{"date-parts":[["2018",12,21]]},"citation-key":"chen_novel_2018"}},{"id":967,"uris":["http://zotero.org/groups/2667333/items/IEGRDIA5"],"itemData":{"id":967,"type":"article-journal","abstract":"https://doi.org/10.18632/oncotarget.8719 Ji-Young Kim, Ji-Hae Han, Geon Park, Young-Woo Seo, Cheol-Won Yun, Byung-Chul Lee, Jeehyeon Bae, Ae Ran Moon, Tae-Hyoung Kim","container-title":"Oncotarget","DOI":"10.18632/oncotarget.8719","ISSN":"1949-2553","issue":"22","note":"publisher: Impact Journals","page":"32449-32461","source":"www.oncotarget.com","title":"Necrosis-inducing peptide has the beneficial effect on killing tumor cells through neuropilin (NRP-1) targeting","URL":"https://www.oncotarget.com/article/8719/text/","volume":"7","author":[{"family":"Kim","given":"Ji-Young"},{"family":"Han","given":"Ji-Hae"},{"family":"Park","given":"Geon"},{"family":"Seo","given":"Young-Woo"},{"family":"Yun","given":"Cheol-Won"},{"family":"Lee","given":"Byung-Chul"},{"family":"Bae","given":"Jeehyeon"},{"family":"Moon","given":"Ae Ran"},{"family":"Kim","given":"Tae-Hyoung"}],"accessed":{"date-parts":[["2020",10,5]]},"issued":{"date-parts":[["2016",4,13]]},"citation-key":"kim_necrosis-inducing_2016"}}],"schema":"https://github.com/citation-style-language/schema/raw/master/csl-citation.json"}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101–104</w:t>
      </w:r>
      <w:r w:rsidRPr="002A7128">
        <w:rPr>
          <w:rFonts w:ascii="Calibri" w:hAnsi="Calibri" w:cs="Calibri"/>
        </w:rPr>
        <w:fldChar w:fldCharType="end"/>
      </w:r>
      <w:r w:rsidRPr="002A7128">
        <w:rPr>
          <w:rFonts w:ascii="Calibri" w:hAnsi="Calibri" w:cs="Calibri"/>
        </w:rPr>
        <w:t xml:space="preserve"> or membrane permeabilization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{"citationID":"a2jprba75i7","properties":{"formattedCitation":"\\super 104,105\\nosupersub{}","plainCitation":"104,105","noteIndex":0},"citationItems":[{"id":10928,"uris":["http://zotero.org/groups/2667333/items/RPGEXCJ7"],"itemData":{"id":10928,"type":"article-journal","container-title":"Oncotarget","DOI":"10.18632/oncotarget.6520","ISSN":"1949-2553","issue":"2","journalAbbreviation":"Oncotarget","language":"en","page":"2054-2069","source":"DOI.org (Crossref)","title":"Human β-defensin 3 contains an oncolytic motif that binds PI(4,5)P2 to mediate tumour cell permeabilisation","URL":"https://www.oncotarget.com/lookup/doi/10.18632/oncotarget.6520","volume":"7","author":[{"family":"Phan","given":"Thanh Kha"},{"family":"Lay","given":"Fung T."},{"family":"Poon","given":"Ivan K.H."},{"family":"Hinds","given":"Mark G."},{"family":"Kvansakul","given":"Marc"},{"family":"Hulett","given":"Mark D."}],"accessed":{"date-parts":[["2022",7,6]]},"issued":{"date-parts":[["2016",1,12]]},"citation-key":"phan_human_2016"}},{"id":967,"uris":["http://zotero.org/groups/2667333/items/IEGRDIA5"],"itemData":{"id":967,"type":"article-journal","abstract":"https://doi.org/10.18632/oncotarget.8719 Ji-Young Kim, Ji-Hae Han, Geon Park, Young-Woo Seo, Cheol-Won Yun, Byung-Chul Lee, Jeehyeon Bae, Ae Ran Moon, Tae-Hyoung Kim","container-title":"Oncotarget","DOI":"10.18632/oncotarget.8719","ISSN":"1949-2553","issue":"22","note":"publisher: Impact Journals","page":"32449-32461","source":"www.oncotarget.com","title":"Necrosis-inducing peptide has the beneficial effect on killing tumor cells through neuropilin (NRP-1) targeting","URL":"https://www.oncotarget.com/article/8719/text/","volume":"7","author":[{"family":"Kim","given":"Ji-Young"},{"family":"Han","given":"Ji-Hae"},{"family":"Park","given":"Geon"},{"family":"Seo","given":"Young-Woo"},{"family":"Yun","given":"Cheol-Won"},{"family":"Lee","given":"Byung-Chul"},{"family":"Bae","given":"Jeehyeon"},{"family":"Moon","given":"Ae Ran"},{"family":"Kim","given":"Tae-Hyoung"}],"accessed":{"date-parts":[["2020",10,5]]},"issued":{"date-parts":[["2016",4,13]]},"citation-key":"kim_necrosis-inducing_2016"}}],"schema":"https://github.com/citation-style-language/schema/raw/master/csl-citation.json"}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104,105</w:t>
      </w:r>
      <w:r w:rsidRPr="002A7128">
        <w:rPr>
          <w:rFonts w:ascii="Calibri" w:hAnsi="Calibri" w:cs="Calibri"/>
        </w:rPr>
        <w:fldChar w:fldCharType="end"/>
      </w:r>
      <w:r w:rsidRPr="002A7128">
        <w:rPr>
          <w:rFonts w:ascii="Calibri" w:hAnsi="Calibri" w:cs="Calibri"/>
        </w:rPr>
        <w:t xml:space="preserve">, however only a handful has been shown to induce ICD. LTX-315 is one of the peptides inducing ICD and has been studied extensively. It induces the release of ATP, HMGB-1 and </w:t>
      </w:r>
      <w:r w:rsidR="00AD6EF4">
        <w:rPr>
          <w:rFonts w:ascii="Calibri" w:hAnsi="Calibri" w:cs="Calibri"/>
        </w:rPr>
        <w:t>CRT</w:t>
      </w:r>
      <w:r w:rsidRPr="002A7128">
        <w:rPr>
          <w:rFonts w:ascii="Calibri" w:hAnsi="Calibri" w:cs="Calibri"/>
        </w:rPr>
        <w:t xml:space="preserve"> exposure</w:t>
      </w:r>
      <w:r w:rsidRPr="002A7128">
        <w:rPr>
          <w:rFonts w:ascii="Calibri" w:hAnsi="Calibri" w:cs="Calibri"/>
        </w:rPr>
        <w:fldChar w:fldCharType="begin"/>
      </w:r>
      <w:r w:rsidR="00A64B61" w:rsidRPr="002A7128">
        <w:rPr>
          <w:rFonts w:ascii="Calibri" w:hAnsi="Calibri" w:cs="Calibri"/>
        </w:rPr>
        <w:instrText xml:space="preserve"> ADDIN ZOTERO_ITEM CSL_CITATION {"citationID":"a1s2vvr9q2p","properties":{"formattedCitation":"\\super 106,107\\nosupersub{}","plainCitation":"106,107","noteIndex":0},"citationItems":[{"id":7032,"uris":["http://zotero.org/groups/2667333/items/NCUAZYSD"],"itemData":{"id":7032,"type":"article-journal","container-title":"Cell Death &amp; Disease","DOI":"10.1038/cddis.2016.47","ISSN":"2041-4889","issue":"3","journalAbbreviation":"Cell Death Dis","language":"en","page":"e2134-e2134","source":"DOI.org (Crossref)","title":"The oncolytic peptide LTX-315 triggers immunogenic cell death","URL":"http://www.nature.com/articles/cddis201647","volume":"7","author":[{"family":"Zhou","given":"H"},{"family":"Forveille","given":"S"},{"family":"Sauvat","given":"A"},{"family":"Yamazaki","given":"T"},{"family":"Senovilla","given":"L"},{"family":"Ma","given":"Y"},{"family":"Liu","given":"P"},{"family":"Yang","given":"H"},{"family":"Bezu","given":"L"},{"family":"Müller","given":"K"},{"family":"Zitvogel","given":"L"},{"family":"Rekdal","given":"Ø"},{"family":"Kepp","given":"O"},{"family":"Kroemer","given":"G"}],"accessed":{"date-parts":[["2021",8,8]]},"issued":{"date-parts":[["2016",3]]},"citation-key":"zhou_oncolytic_2016"}},{"id":7062,"uris":["http://zotero.org/groups/2667333/items/V4DVW39V"],"itemData":{"id":7062,"type":"article-journal","container-title":"Oncotarget","DOI":"10.18632/oncotarget.5308","ISSN":"1949-2553","issue":"33","journalAbbreviation":"Oncotarget","language":"en","page":"34910-34923","source":"DOI.org (Crossref)","title":"The oncolytic peptide LTX-315 induces cell death and DAMP release by mitochondria distortion in human melanoma cells","URL":"https://www.oncotarget.com/lookup/doi/10.18632/oncotarget.5308","volume":"6","author":[{"family":"Eike","given":"Liv-Marie"},{"family":"Yang","given":"Nannan"},{"family":"Rekdal","given":"Øystein"},{"family":"Sveinbjørnsson","given":"Baldur"}],"accessed":{"date-parts":[["2021",8,10]]},"issued":{"date-parts":[["2015",10,27]]},"citation-key":"eike_oncolytic_2015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106,107</w:t>
      </w:r>
      <w:r w:rsidRPr="002A7128">
        <w:rPr>
          <w:rFonts w:ascii="Calibri" w:hAnsi="Calibri" w:cs="Calibri"/>
        </w:rPr>
        <w:fldChar w:fldCharType="end"/>
      </w:r>
      <w:r w:rsidRPr="002A7128">
        <w:rPr>
          <w:rFonts w:ascii="Calibri" w:hAnsi="Calibri" w:cs="Calibri"/>
        </w:rPr>
        <w:t xml:space="preserve"> and its mechanism of action is through mitochondrial outer membrane permeabilization. In B16 melanoma model LTX-315 showed tumor regression in 30/37 of the animals used in the study and was protective in 15/25 of the animals upon rechallenge</w:t>
      </w:r>
      <w:r w:rsidRPr="002A7128">
        <w:rPr>
          <w:rFonts w:ascii="Calibri" w:hAnsi="Calibri" w:cs="Calibri"/>
        </w:rPr>
        <w:fldChar w:fldCharType="begin"/>
      </w:r>
      <w:r w:rsidR="00A64B61" w:rsidRPr="002A7128">
        <w:rPr>
          <w:rFonts w:ascii="Calibri" w:hAnsi="Calibri" w:cs="Calibri"/>
        </w:rPr>
        <w:instrText xml:space="preserve"> ADDIN ZOTERO_ITEM CSL_CITATION {"citationID":"a16dnim0elr","properties":{"formattedCitation":"\\super 108\\nosupersub{}","plainCitation":"108","noteIndex":0},"citationItems":[{"id":10930,"uris":["http://zotero.org/groups/2667333/items/GRKYSWTS"],"itemData":{"id":10930,"type":"article-journal","container-title":"Cancer Immunology, Immunotherapy","DOI":"10.1007/s00262-014-1540-0","ISSN":"0340-7004, 1432-0851","issue":"6","journalAbbreviation":"Cancer Immunol Immunother","language":"en","page":"601-613","source":"DOI.org (Crossref)","title":"Complete regression and systemic protective immune responses obtained in B16 melanomas after treatment with LTX-315","URL":"http://link.springer.com/10.1007/s00262-014-1540-0","volume":"63","author":[{"family":"Camilio","given":"Ketil André"},{"family":"Berge","given":"Gerd"},{"family":"Ravuri","given":"Chandra Sekhar"},{"family":"Rekdal","given":"Øystein"},{"family":"Sveinbjørnsson","given":"Baldur"}],"accessed":{"date-parts":[["2022",7,6]]},"issued":{"date-parts":[["2014",6]]},"citation-key":"camilio_complete_2014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108</w:t>
      </w:r>
      <w:r w:rsidRPr="002A7128">
        <w:rPr>
          <w:rFonts w:ascii="Calibri" w:hAnsi="Calibri" w:cs="Calibri"/>
        </w:rPr>
        <w:fldChar w:fldCharType="end"/>
      </w:r>
      <w:r w:rsidRPr="002A7128">
        <w:rPr>
          <w:rFonts w:ascii="Calibri" w:hAnsi="Calibri" w:cs="Calibri"/>
        </w:rPr>
        <w:t>. The mechanism of action was later shown to be dependent on the expression of BAX and BAK proteins</w:t>
      </w:r>
      <w:r w:rsidRPr="002A7128">
        <w:rPr>
          <w:rFonts w:ascii="Calibri" w:hAnsi="Calibri" w:cs="Calibri"/>
        </w:rPr>
        <w:fldChar w:fldCharType="begin"/>
      </w:r>
      <w:r w:rsidR="00A64B61" w:rsidRPr="002A7128">
        <w:rPr>
          <w:rFonts w:ascii="Calibri" w:hAnsi="Calibri" w:cs="Calibri"/>
        </w:rPr>
        <w:instrText xml:space="preserve"> ADDIN ZOTERO_ITEM CSL_CITATION {"citationID":"a1o4ef345ga","properties":{"formattedCitation":"\\super 109\\nosupersub{}","plainCitation":"109","noteIndex":0},"citationItems":[{"id":9401,"uris":["http://zotero.org/groups/2667333/items/YEYQEFQR"],"itemData":{"id":9401,"type":"article-journal","abstract":"LTX-315 has been developed as an amphipathic cationic peptide that kills cancer cells. Here, we investigated the putative involvement of mitochondria in the cytotoxic action of LTX-315. Subcellular fractionation of LTX-315-treated cells, followed by mass spectrometric quantification, revealed that the agent was enriched in mitochondria. LTX-315 caused an immediate arrest of mitochondrial respiration without any major uncoupling effect. Accordingly, LTX-315 disrupted the mitochondrial network, dissipated the mitochondrial inner transmembrane potential, and caused the release of mitochondrial intermembrane proteins into the cytosol. LTX-315 was relatively inefficient in stimulating mitophagy. Cells lacking the two pro-apoptotic multidomain proteins from the BCL-2 family, BAX and BAK, were less susceptible to LTX-315-mediated killing. Moreover, cells engineered to lose their mitochondria (by transfection with Parkin combined with treatment with a protonophore causing mitophagy) were relatively resistant against LTX-315, underscoring the importance of this organelle for LTX-315-mediated cytotoxicity. Altogether, these results support the notion that LTX-315 kills cancer cells by virtue of its capacity to permeabilize mitochondrial membranes.","container-title":"Oncotarget","ISSN":"1949-2553","issue":"29","journalAbbreviation":"Oncotarget","note":"PMID: 26378049\nPMCID: PMC4694939","page":"26599-26614","source":"PubMed Central","title":"The oncolytic peptide LTX-315 kills cancer cells through Bax/Bak-regulated mitochondrial membrane permeabilization","URL":"https://www.ncbi.nlm.nih.gov/pmc/articles/PMC4694939/","volume":"6","author":[{"family":"Zhou","given":"Heng"},{"family":"Forveille","given":"Sabrina"},{"family":"Sauvat","given":"Allan"},{"family":"Sica","given":"Valentina"},{"family":"Izzo","given":"Valentina"},{"family":"Durand","given":"Sylvère"},{"family":"Müller","given":"Kevin"},{"family":"Liu","given":"Peng"},{"family":"Zitvogel","given":"Laurence"},{"family":"Rekdal","given":"Øystein"},{"family":"Kepp","given":"Oliver"},{"family":"Kroemer","given":"Guido"}],"accessed":{"date-parts":[["2021",11,3]]},"issued":{"date-parts":[["2015",9,10]]},"citation-key":"zhou_oncolytic_2015-1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109</w:t>
      </w:r>
      <w:r w:rsidRPr="002A7128">
        <w:rPr>
          <w:rFonts w:ascii="Calibri" w:hAnsi="Calibri" w:cs="Calibri"/>
        </w:rPr>
        <w:fldChar w:fldCharType="end"/>
      </w:r>
      <w:r w:rsidRPr="002A7128">
        <w:rPr>
          <w:rFonts w:ascii="Calibri" w:hAnsi="Calibri" w:cs="Calibri"/>
        </w:rPr>
        <w:t>. However, some cancer types downregulate the expression of these molecules such as breast cancer</w:t>
      </w:r>
      <w:r w:rsidRPr="002A7128">
        <w:rPr>
          <w:rFonts w:ascii="Calibri" w:hAnsi="Calibri" w:cs="Calibri"/>
        </w:rPr>
        <w:fldChar w:fldCharType="begin"/>
      </w:r>
      <w:r w:rsidR="00A64B61" w:rsidRPr="002A7128">
        <w:rPr>
          <w:rFonts w:ascii="Calibri" w:hAnsi="Calibri" w:cs="Calibri"/>
        </w:rPr>
        <w:instrText xml:space="preserve"> ADDIN ZOTERO_ITEM CSL_CITATION {"citationID":"a26iupqmae1","properties":{"formattedCitation":"\\super 110\\nosupersub{}","plainCitation":"110","noteIndex":0},"citationItems":[{"id":10932,"uris":["http://zotero.org/groups/2667333/items/XUX75PUZ"],"itemData":{"id":10932,"type":"article-journal","abstract":"Bax is a homologue of Bcl-2 that promotes apoptosis. Bax protein levels were assessed by immunohistochemical methods in primary tumors derived from 119 women with metastatic breast cancer. These patients had received combination chemotherapy either with a once a month dosage schedule or in 4 weekly divided doses. The BAX immunostaining results were retrospectively compared with overall survival, time to tumor progression (TTP), and response, as well as several laboratory markers. Normal breast epithelium and in situ carcinomas immunostained positively for Bax. Marked reductions in Bax immunostaining were observed in 40 (34%) of 119 evaluable tumors. Reduced Bax correlated with shorter overall survival (median, 8.1 versus 15.7 months; P = 0.04), faster TTP (median, 2.0 versus 6.3 months; P = 0.009), and failure to respond (complete response, partial responses; 6% versus 42%, P = 0.01) in the subgroup of patients who received divided dose therapy. Reduced Bax immunostaining was not significant in the monthly dose group. When the two groups were combined, however, reduced Bax was significantly correlated in univariate analysis with failure to respond (21 versus 43% achieving complete response or partial response; P = 0.02), faster TTP (median, 3.7 versus 9.0 months; P = 0.02), and shorter survival (median, 10.7 versus 17.1 months; P = 0.04). Bax immunostaining was not significantly correlated with tumor histology, S-phase fraction, aneuploidy, p53 HER2, or cathepsin D, but was positively associated with Bcl-2 (P = 0.005). In multivariate analysis (Bax, tumor grade, and treatment group), reduced Bax was strongly associated with faster TTP (P approximately equal to 0.009) and shorter survival (P approximately equal to 0.001). Although highly preliminary, the finding suggest that loss of Bax immunostaining represents a novel prognostic indicator of poor response to chemotherapy and shorter survival in women with metastatic breast cancer, and raise the possibility that the subgroup of women with Bax-negative tumors may benefit from more aggressive therapy.","container-title":"Cancer Research","ISSN":"0008-5472","issue":"19","journalAbbreviation":"Cancer Res","language":"eng","note":"PMID: 7671262","page":"4471-4478","source":"PubMed","title":"Reduced expression of proapoptotic gene BAX is associated with poor response rates to combination chemotherapy and shorter survival in women with metastatic breast adenocarcinoma","volume":"55","author":[{"family":"Krajewski","given":"S."},{"family":"Blomqvist","given":"C."},{"family":"Franssila","given":"K."},{"family":"Krajewska","given":"M."},{"family":"Wasenius","given":"V. M."},{"family":"Niskanen","given":"E."},{"family":"Nordling","given":"S."},{"family":"Reed","given":"J. C."}],"issued":{"date-parts":[["1995",10,1]]},"citation-key":"krajewski_reduced_1995"}}],"schema":"https://github.com/citation-style-language/schema/raw/master/csl-citation.json"}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110</w:t>
      </w:r>
      <w:r w:rsidRPr="002A7128">
        <w:rPr>
          <w:rFonts w:ascii="Calibri" w:hAnsi="Calibri" w:cs="Calibri"/>
        </w:rPr>
        <w:fldChar w:fldCharType="end"/>
      </w:r>
      <w:r w:rsidRPr="002A7128">
        <w:rPr>
          <w:rFonts w:ascii="Calibri" w:hAnsi="Calibri" w:cs="Calibri"/>
        </w:rPr>
        <w:t xml:space="preserve">. When used in a triple negative breast cancer model, LTX-315 had no protective effects upon </w:t>
      </w:r>
      <w:proofErr w:type="spellStart"/>
      <w:r w:rsidRPr="002A7128">
        <w:rPr>
          <w:rFonts w:ascii="Calibri" w:hAnsi="Calibri" w:cs="Calibri"/>
        </w:rPr>
        <w:t>intratumoral</w:t>
      </w:r>
      <w:proofErr w:type="spellEnd"/>
      <w:r w:rsidRPr="002A7128">
        <w:rPr>
          <w:rFonts w:ascii="Calibri" w:hAnsi="Calibri" w:cs="Calibri"/>
        </w:rPr>
        <w:t xml:space="preserve"> injection 0/8 and was partially protective in combination with doxorubicin</w:t>
      </w:r>
      <w:r w:rsidRPr="002A7128">
        <w:rPr>
          <w:rFonts w:ascii="Calibri" w:hAnsi="Calibri" w:cs="Calibri"/>
        </w:rPr>
        <w:fldChar w:fldCharType="begin"/>
      </w:r>
      <w:r w:rsidR="00A64B61" w:rsidRPr="002A7128">
        <w:rPr>
          <w:rFonts w:ascii="Calibri" w:hAnsi="Calibri" w:cs="Calibri"/>
        </w:rPr>
        <w:instrText xml:space="preserve"> ADDIN ZOTERO_ITEM CSL_CITATION {"citationID":"a1a1utr5o00","properties":{"formattedCitation":"\\super 111\\nosupersub{}","plainCitation":"111","noteIndex":0},"citationItems":[{"id":9995,"uris":["http://zotero.org/groups/2667333/items/M2ES7YNI"],"itemData":{"id":9995,"type":"article-journal","container-title":"Breast Cancer Research","DOI":"10.1186/s13058-018-1092-x","ISSN":"1465-542X","issue":"1","journalAbbreviation":"Breast Cancer Res","language":"en","page":"9","source":"DOI.org (Crossref)","title":"Combining the oncolytic peptide LTX-315 with doxorubicin demonstrates therapeutic potential in a triple-negative breast cancer model","URL":"https://breast-cancer-research.biomedcentral.com/articles/10.1186/s13058-018-1092-x","volume":"21","author":[{"family":"Camilio","given":"Ketil A."},{"family":"Wang","given":"Meng-Yu"},{"family":"Mauseth","given":"Brynjar"},{"family":"Waagene","given":"Stein"},{"family":"Kvalheim","given":"Gunnar"},{"family":"Rekdal","given":"Øystein"},{"family":"Sveinbjørnsson","given":"Baldur"},{"family":"Mælandsmo","given":"Gunhild M."}],"accessed":{"date-parts":[["2022",2,10]]},"issued":{"date-parts":[["2019",12]]},"citation-key":"camilio_combining_2019"}}],"schema":"https://github.com/citation-style-language/schema/raw/master/csl-citation.json"}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111</w:t>
      </w:r>
      <w:r w:rsidRPr="002A7128">
        <w:rPr>
          <w:rFonts w:ascii="Calibri" w:hAnsi="Calibri" w:cs="Calibri"/>
        </w:rPr>
        <w:fldChar w:fldCharType="end"/>
      </w:r>
      <w:r w:rsidRPr="002A7128">
        <w:rPr>
          <w:rFonts w:ascii="Calibri" w:hAnsi="Calibri" w:cs="Calibri"/>
        </w:rPr>
        <w:t>. Similarly, LTX-401 was shown to induce ICD and DAMP release from B16 melanoma cells and induced survival in 9/11 mice</w:t>
      </w:r>
      <w:r w:rsidRPr="002A7128">
        <w:rPr>
          <w:rFonts w:ascii="Calibri" w:hAnsi="Calibri" w:cs="Calibri"/>
        </w:rPr>
        <w:fldChar w:fldCharType="begin"/>
      </w:r>
      <w:r w:rsidR="00A64B61" w:rsidRPr="002A7128">
        <w:rPr>
          <w:rFonts w:ascii="Calibri" w:hAnsi="Calibri" w:cs="Calibri"/>
        </w:rPr>
        <w:instrText xml:space="preserve"> ADDIN ZOTERO_ITEM CSL_CITATION {"citationID":"a4nr7dlkus","properties":{"formattedCitation":"\\super 112\\nosupersub{}","plainCitation":"112","noteIndex":0},"citationItems":[{"id":10554,"uris":["http://zotero.org/groups/2667333/items/HMUJSRFE"],"itemData":{"id":10554,"type":"article-journal","container-title":"PLOS ONE","DOI":"10.1371/journal.pone.0148980","ISSN":"1932-6203","issue":"2","journalAbbreviation":"PLoS ONE","language":"en","page":"e0148980","source":"DOI.org (Crossref)","title":"The Cytolytic Amphipathic β(2,2)-Amino Acid LTX-401 Induces DAMP Release in Melanoma Cells and Causes Complete Regression of B16 Melanoma","URL":"https://dx.plos.org/10.1371/journal.pone.0148980","volume":"11","author":[{"family":"Eike","given":"Liv-Marie"},{"family":"Mauseth","given":"Brynjar"},{"family":"Camilio","given":"Ketil André"},{"family":"Rekdal","given":"Øystein"},{"family":"Sveinbjørnsson","given":"Baldur"}],"editor":[{"family":"Chen","given":"Suzie"}],"accessed":{"date-parts":[["2022",5,17]]},"issued":{"date-parts":[["2016",2,16]]},"citation-key":"eike_cytolytic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112</w:t>
      </w:r>
      <w:r w:rsidRPr="002A7128">
        <w:rPr>
          <w:rFonts w:ascii="Calibri" w:hAnsi="Calibri" w:cs="Calibri"/>
        </w:rPr>
        <w:fldChar w:fldCharType="end"/>
      </w:r>
      <w:r w:rsidRPr="002A7128">
        <w:rPr>
          <w:rFonts w:ascii="Calibri" w:hAnsi="Calibri" w:cs="Calibri"/>
        </w:rPr>
        <w:t xml:space="preserve">. LTX-401 was also shown to be inducing protective effects (multiple injections) through ICD in fibrosarcoma tumor model; however, single </w:t>
      </w:r>
      <w:proofErr w:type="spellStart"/>
      <w:r w:rsidRPr="002A7128">
        <w:rPr>
          <w:rFonts w:ascii="Calibri" w:hAnsi="Calibri" w:cs="Calibri"/>
        </w:rPr>
        <w:t>intratumoral</w:t>
      </w:r>
      <w:proofErr w:type="spellEnd"/>
      <w:r w:rsidRPr="002A7128">
        <w:rPr>
          <w:rFonts w:ascii="Calibri" w:hAnsi="Calibri" w:cs="Calibri"/>
        </w:rPr>
        <w:t xml:space="preserve"> injection was not effective for reducing the tumor volume</w:t>
      </w:r>
      <w:r w:rsidRPr="002A7128">
        <w:rPr>
          <w:rFonts w:ascii="Calibri" w:hAnsi="Calibri" w:cs="Calibri"/>
        </w:rPr>
        <w:fldChar w:fldCharType="begin"/>
      </w:r>
      <w:r w:rsidR="00A64B61" w:rsidRPr="002A7128">
        <w:rPr>
          <w:rFonts w:ascii="Calibri" w:hAnsi="Calibri" w:cs="Calibri"/>
        </w:rPr>
        <w:instrText xml:space="preserve"> ADDIN ZOTERO_ITEM CSL_CITATION {"citationID":"a1pu66n4707","properties":{"formattedCitation":"\\super 113\\nosupersub{}","plainCitation":"113","noteIndex":0},"citationItems":[{"id":9999,"uris":["http://zotero.org/groups/2667333/items/L2R86RC8"],"itemData":{"id":9999,"type":"article-journal","container-title":"OncoImmunology","DOI":"10.1080/2162402X.2019.1594555","ISSN":"2162-402X","issue":"7","journalAbbreviation":"OncoImmunology","language":"en","page":"e1594555","source":"DOI.org (Crossref)","title":"Tumor lysis with LTX-401 creates anticancer immunity","URL":"https://www.tandfonline.com/doi/full/10.1080/2162402X.2019.1594555","volume":"8","author":[{"family":"Xie","given":"Wei"},{"family":"Mondragón","given":"Laura"},{"family":"Mauseth","given":"Brynjar"},{"family":"Wang","given":"Yan"},{"family":"Pol","given":"Jonathan"},{"family":"Lévesque","given":"Sarah"},{"family":"Zhou","given":"Heng"},{"family":"Yamazaki","given":"Takahiro"},{"family":"Eksteen","given":"Johannes J."},{"family":"Zitvogel","given":"Laurence"},{"family":"Sveinbjørnsson","given":"Baldur"},{"family":"Rekdal","given":"Øystein"},{"family":"Kepp","given":"Oliver"},{"family":"Kroemer","given":"Guido"}],"accessed":{"date-parts":[["2022",2,10]]},"issued":{"date-parts":[["2019",7,3]]},"citation-key":"xie_tumor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113</w:t>
      </w:r>
      <w:r w:rsidRPr="002A7128">
        <w:rPr>
          <w:rFonts w:ascii="Calibri" w:hAnsi="Calibri" w:cs="Calibri"/>
        </w:rPr>
        <w:fldChar w:fldCharType="end"/>
      </w:r>
      <w:r w:rsidRPr="002A7128">
        <w:rPr>
          <w:rFonts w:ascii="Calibri" w:hAnsi="Calibri" w:cs="Calibri"/>
        </w:rPr>
        <w:t xml:space="preserve">. </w:t>
      </w:r>
    </w:p>
    <w:p w14:paraId="2E94D136" w14:textId="5424BFBF" w:rsidR="00A27485" w:rsidRPr="002A7128" w:rsidRDefault="00A27485" w:rsidP="00A27485">
      <w:pPr>
        <w:spacing w:line="480" w:lineRule="auto"/>
        <w:jc w:val="both"/>
        <w:rPr>
          <w:rFonts w:ascii="Calibri" w:hAnsi="Calibri" w:cs="Calibri"/>
        </w:rPr>
      </w:pPr>
      <w:r w:rsidRPr="002A7128">
        <w:rPr>
          <w:rFonts w:ascii="Calibri" w:hAnsi="Calibri" w:cs="Calibri"/>
        </w:rPr>
        <w:t>Development of readily available vaccines is essential to combat life-threatening infections. Recently, a bovine AMP called Bactenecin 5 was used as an adjuvant in a mycobacterial antigen vaccination model. Even though it induced the activation of macrophages, it failed to induce antigen-specific antibody production</w:t>
      </w:r>
      <w:r w:rsidRPr="002A7128">
        <w:rPr>
          <w:rFonts w:ascii="Calibri" w:hAnsi="Calibri" w:cs="Calibri"/>
        </w:rPr>
        <w:fldChar w:fldCharType="begin"/>
      </w:r>
      <w:r w:rsidR="00A64B61" w:rsidRPr="002A7128">
        <w:rPr>
          <w:rFonts w:ascii="Calibri" w:hAnsi="Calibri" w:cs="Calibri"/>
        </w:rPr>
        <w:instrText xml:space="preserve"> ADDIN ZOTERO_ITEM CSL_CITATION {"citationID":"aoagnl720s","properties":{"formattedCitation":"\\super 114\\nosupersub{}","plainCitation":"114","noteIndex":0},"citationItems":[{"id":11082,"uris":["http://zotero.org/groups/2667333/items/AEVUMCBW"],"itemData":{"id":11082,"type":"article-journal","abstract":"Bactenecin (Bac) 5 is a bovine antimicrobial peptide (AMP) capable of killing some species of bacteria through the inhibition of protein synthesis. Bac5 and other AMPs have also been shown to have chemotactic properties and can induce inflammatory cytokine expression by innate immune cells. Recently, AMPs have begun to be investigated for their potential use as novel vaccine adjuvants. In the current work, we characterise the functionality of Bac5 in vitro using murine macrophage-like cells, ex vivo using human tonsil tissue and in vivo using a murine model of vaccination. We report the effects of the peptide in isolation and in the context of co-presentation with mycobacterial antigen and whole, inert Bacillus subtilis spore antigens. We find that Bac5 can trigger the release of nitric oxide from murine macrophages and upregulate surface marker expression including CD86, MHC-I and MHC-II, in the absence of additional agonists. When coupled with mycobacterial Ag85 and B. subtilis spores, Bac5 also enhanced IFNγ secretion. We provide evidence that B. subtilis spores, but not the Bac5 peptide, act as strong adjuvants in promoting antigen-specific immunoglobulin production in Ag85B-vaccinated mice. Our findings suggest that Bac5 is an important regulator of the early cell-mediated host immune response.","container-title":"Antibiotics","DOI":"10.3390/antibiotics9120926","ISSN":"2079-6382","issue":"12","journalAbbreviation":"Antibiotics","language":"en","page":"926","source":"DOI.org (Crossref)","title":"The Antimicrobial Peptide, Bactenecin 5, Supports Cell-Mediated but Not Humoral Immunity in the Context of a Mycobacterial Antigen Vaccine Model","URL":"https://www.mdpi.com/2079-6382/9/12/926","volume":"9","author":[{"family":"Munshi","given":"Tulika"},{"family":"Sparrow","given":"Adam"},{"family":"Wren","given":"Brendan W."},{"family":"Reljic","given":"Rajko"},{"family":"Willcocks","given":"Samuel J."}],"accessed":{"date-parts":[["2022",7,6]]},"issued":{"date-parts":[["2020",12,19]]},"citation-key":"munshi_antimicrobial_2020"}}],"schema":"https://github.com/citation-style-language/schema/raw/master/csl-citation.json"}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114</w:t>
      </w:r>
      <w:r w:rsidRPr="002A7128">
        <w:rPr>
          <w:rFonts w:ascii="Calibri" w:hAnsi="Calibri" w:cs="Calibri"/>
        </w:rPr>
        <w:fldChar w:fldCharType="end"/>
      </w:r>
      <w:r w:rsidRPr="002A7128">
        <w:rPr>
          <w:rFonts w:ascii="Calibri" w:hAnsi="Calibri" w:cs="Calibri"/>
        </w:rPr>
        <w:t>. Another strategy combined the 11-mer AMP KLKL</w:t>
      </w:r>
      <w:r w:rsidRPr="002A7128">
        <w:rPr>
          <w:rFonts w:ascii="Calibri" w:hAnsi="Calibri" w:cs="Calibri"/>
          <w:vertAlign w:val="subscript"/>
        </w:rPr>
        <w:t>5</w:t>
      </w:r>
      <w:r w:rsidRPr="002A7128">
        <w:rPr>
          <w:rFonts w:ascii="Calibri" w:hAnsi="Calibri" w:cs="Calibri"/>
        </w:rPr>
        <w:t>KLK with CpG-ODN and adjuvant called IC31. This adjuvant increased the production of antigen specific antibodies faster than only antigen group</w:t>
      </w:r>
      <w:r w:rsidRPr="002A7128">
        <w:rPr>
          <w:rFonts w:ascii="Calibri" w:hAnsi="Calibri" w:cs="Calibri"/>
        </w:rPr>
        <w:fldChar w:fldCharType="begin"/>
      </w:r>
      <w:r w:rsidR="00A64B61" w:rsidRPr="002A7128">
        <w:rPr>
          <w:rFonts w:ascii="Calibri" w:hAnsi="Calibri" w:cs="Calibri"/>
        </w:rPr>
        <w:instrText xml:space="preserve"> ADDIN ZOTERO_ITEM CSL_CITATION {"citationID":"a2kbpg8na53","properties":{"formattedCitation":"\\super 115\\nosupersub{}","plainCitation":"115","noteIndex":0},"citationItems":[{"id":11084,"uris":["http://zotero.org/groups/2667333/items/IFE395PM"],"itemData":{"id":11084,"type":"article-journal","container-title":"Scandinavian Journal of Immunology","DOI":"10.1111/j.1365-3083.2008.02225.x","ISSN":"03009475, 13653083","issue":"3","language":"en","page":"194-202","source":"DOI.org (Crossref)","title":"IC31 &lt;sup&gt;®&lt;/sup&gt; , a Two-Component Novel Adjuvant Mixed with a Conjugate Vaccine Enhances Protective Immunity against Pneumococcal Disease in Neonatal Mice","URL":"https://onlinelibrary.wiley.com/doi/10.1111/j.1365-3083.2008.02225.x","volume":"69","author":[{"family":"Olafsdottir","given":"T. A."},{"family":"Lingnau","given":"K."},{"family":"Nagy","given":"E."},{"family":"Jonsdottir","given":"I."}],"accessed":{"date-parts":[["2022",7,6]]},"issued":{"date-parts":[["2009",3]]},"citation-key":"olafsdottir_ic31_2009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115</w:t>
      </w:r>
      <w:r w:rsidRPr="002A7128">
        <w:rPr>
          <w:rFonts w:ascii="Calibri" w:hAnsi="Calibri" w:cs="Calibri"/>
        </w:rPr>
        <w:fldChar w:fldCharType="end"/>
      </w:r>
      <w:r w:rsidRPr="002A7128">
        <w:rPr>
          <w:rFonts w:ascii="Calibri" w:hAnsi="Calibri" w:cs="Calibri"/>
        </w:rPr>
        <w:t xml:space="preserve">, however the protective capacity was similar to only antigen group. AMPs have potential to be utilized for different applications in the context of ICD including tumor treatment and adjuvant design for vaccination platforms. However, </w:t>
      </w:r>
      <w:r w:rsidRPr="002A7128">
        <w:rPr>
          <w:rFonts w:ascii="Calibri" w:hAnsi="Calibri" w:cs="Calibri"/>
        </w:rPr>
        <w:lastRenderedPageBreak/>
        <w:t xml:space="preserve">current efforts have aforementioned limitations and require modifications that would increase their effectivity for increased immunological responses. </w:t>
      </w:r>
    </w:p>
    <w:p w14:paraId="1E2AE175" w14:textId="571C290C" w:rsidR="00A27485" w:rsidRPr="002A7128" w:rsidRDefault="00A27485" w:rsidP="00A27485">
      <w:pPr>
        <w:pStyle w:val="Caption"/>
        <w:keepNext/>
        <w:rPr>
          <w:rFonts w:ascii="Calibri" w:hAnsi="Calibri" w:cs="Calibri"/>
          <w:i w:val="0"/>
          <w:iCs w:val="0"/>
          <w:color w:val="000000" w:themeColor="text1"/>
          <w:sz w:val="24"/>
          <w:szCs w:val="24"/>
        </w:rPr>
      </w:pPr>
      <w:bookmarkStart w:id="36" w:name="_Toc120787084"/>
      <w:r w:rsidRPr="002A7128">
        <w:rPr>
          <w:rFonts w:ascii="Calibri" w:hAnsi="Calibri" w:cs="Calibri"/>
          <w:b/>
          <w:bCs/>
          <w:i w:val="0"/>
          <w:iCs w:val="0"/>
          <w:color w:val="000000" w:themeColor="text1"/>
          <w:sz w:val="24"/>
          <w:szCs w:val="24"/>
        </w:rPr>
        <w:t xml:space="preserve">Table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Table \* ARABIC </w:instrText>
      </w:r>
      <w:r w:rsidRPr="002A7128">
        <w:rPr>
          <w:rFonts w:ascii="Calibri" w:hAnsi="Calibri" w:cs="Calibri"/>
          <w:b/>
          <w:bCs/>
          <w:i w:val="0"/>
          <w:iCs w:val="0"/>
          <w:color w:val="000000" w:themeColor="text1"/>
          <w:sz w:val="24"/>
          <w:szCs w:val="24"/>
        </w:rPr>
        <w:fldChar w:fldCharType="separate"/>
      </w:r>
      <w:r w:rsidR="00FA204E">
        <w:rPr>
          <w:rFonts w:ascii="Calibri" w:hAnsi="Calibri" w:cs="Calibri"/>
          <w:b/>
          <w:bCs/>
          <w:i w:val="0"/>
          <w:iCs w:val="0"/>
          <w:noProof/>
          <w:color w:val="000000" w:themeColor="text1"/>
          <w:sz w:val="24"/>
          <w:szCs w:val="24"/>
        </w:rPr>
        <w:t>2</w:t>
      </w:r>
      <w:r w:rsidRPr="002A7128">
        <w:rPr>
          <w:rFonts w:ascii="Calibri" w:hAnsi="Calibri" w:cs="Calibri"/>
          <w:b/>
          <w:bCs/>
          <w:i w:val="0"/>
          <w:iCs w:val="0"/>
          <w:color w:val="000000" w:themeColor="text1"/>
          <w:sz w:val="24"/>
          <w:szCs w:val="24"/>
        </w:rPr>
        <w:fldChar w:fldCharType="end"/>
      </w:r>
      <w:r w:rsidRPr="002A7128">
        <w:rPr>
          <w:rFonts w:ascii="Calibri" w:hAnsi="Calibri" w:cs="Calibri"/>
          <w:i w:val="0"/>
          <w:iCs w:val="0"/>
          <w:color w:val="000000" w:themeColor="text1"/>
          <w:sz w:val="24"/>
          <w:szCs w:val="24"/>
        </w:rPr>
        <w:t xml:space="preserve"> ICD and DAMP release inducing agents and their potential limitations.</w:t>
      </w:r>
      <w:bookmarkEnd w:id="36"/>
    </w:p>
    <w:tbl>
      <w:tblPr>
        <w:tblStyle w:val="TableGrid"/>
        <w:tblW w:w="9355" w:type="dxa"/>
        <w:tblLook w:val="04A0" w:firstRow="1" w:lastRow="0" w:firstColumn="1" w:lastColumn="0" w:noHBand="0" w:noVBand="1"/>
      </w:tblPr>
      <w:tblGrid>
        <w:gridCol w:w="2171"/>
        <w:gridCol w:w="5916"/>
        <w:gridCol w:w="1268"/>
      </w:tblGrid>
      <w:tr w:rsidR="00A27485" w:rsidRPr="002A7128" w14:paraId="0B1985DA" w14:textId="77777777" w:rsidTr="00261A88">
        <w:trPr>
          <w:trHeight w:val="296"/>
        </w:trPr>
        <w:tc>
          <w:tcPr>
            <w:tcW w:w="2112" w:type="dxa"/>
          </w:tcPr>
          <w:p w14:paraId="6E17FB00" w14:textId="77777777" w:rsidR="00A27485" w:rsidRPr="002A7128" w:rsidRDefault="00A27485" w:rsidP="00987778">
            <w:pPr>
              <w:spacing w:line="276" w:lineRule="auto"/>
              <w:jc w:val="both"/>
              <w:rPr>
                <w:rFonts w:ascii="Calibri" w:hAnsi="Calibri" w:cs="Calibri"/>
                <w:b/>
                <w:bCs/>
              </w:rPr>
            </w:pPr>
            <w:r w:rsidRPr="002A7128">
              <w:rPr>
                <w:rFonts w:ascii="Calibri" w:hAnsi="Calibri" w:cs="Calibri"/>
                <w:b/>
                <w:bCs/>
              </w:rPr>
              <w:t>ICD and DAMP release inducing agent</w:t>
            </w:r>
          </w:p>
        </w:tc>
        <w:tc>
          <w:tcPr>
            <w:tcW w:w="6343" w:type="dxa"/>
          </w:tcPr>
          <w:p w14:paraId="2905235E" w14:textId="77777777" w:rsidR="00A27485" w:rsidRPr="002A7128" w:rsidRDefault="00A27485" w:rsidP="00987778">
            <w:pPr>
              <w:spacing w:line="276" w:lineRule="auto"/>
              <w:jc w:val="both"/>
              <w:rPr>
                <w:rFonts w:ascii="Calibri" w:hAnsi="Calibri" w:cs="Calibri"/>
                <w:b/>
                <w:bCs/>
              </w:rPr>
            </w:pPr>
            <w:r w:rsidRPr="002A7128">
              <w:rPr>
                <w:rFonts w:ascii="Calibri" w:hAnsi="Calibri" w:cs="Calibri"/>
                <w:b/>
                <w:bCs/>
              </w:rPr>
              <w:t>Potential limitations</w:t>
            </w:r>
          </w:p>
        </w:tc>
        <w:tc>
          <w:tcPr>
            <w:tcW w:w="900" w:type="dxa"/>
          </w:tcPr>
          <w:p w14:paraId="452A8412" w14:textId="77777777" w:rsidR="00A27485" w:rsidRPr="002A7128" w:rsidRDefault="00A27485" w:rsidP="00987778">
            <w:pPr>
              <w:spacing w:line="276" w:lineRule="auto"/>
              <w:jc w:val="both"/>
              <w:rPr>
                <w:rFonts w:ascii="Calibri" w:hAnsi="Calibri" w:cs="Calibri"/>
                <w:b/>
                <w:bCs/>
              </w:rPr>
            </w:pPr>
            <w:r w:rsidRPr="002A7128">
              <w:rPr>
                <w:rFonts w:ascii="Calibri" w:hAnsi="Calibri" w:cs="Calibri"/>
                <w:b/>
                <w:bCs/>
              </w:rPr>
              <w:t>Ref</w:t>
            </w:r>
          </w:p>
        </w:tc>
      </w:tr>
      <w:tr w:rsidR="00A27485" w:rsidRPr="002A7128" w14:paraId="35EEEA97" w14:textId="77777777" w:rsidTr="00261A88">
        <w:tc>
          <w:tcPr>
            <w:tcW w:w="2112" w:type="dxa"/>
          </w:tcPr>
          <w:p w14:paraId="6D30B178" w14:textId="77777777" w:rsidR="00A27485" w:rsidRPr="002A7128" w:rsidRDefault="00A27485" w:rsidP="00987778">
            <w:pPr>
              <w:spacing w:line="276" w:lineRule="auto"/>
              <w:jc w:val="both"/>
              <w:rPr>
                <w:rFonts w:ascii="Calibri" w:hAnsi="Calibri" w:cs="Calibri"/>
                <w:b/>
                <w:bCs/>
              </w:rPr>
            </w:pPr>
            <w:r w:rsidRPr="002A7128">
              <w:rPr>
                <w:rFonts w:ascii="Calibri" w:hAnsi="Calibri" w:cs="Calibri"/>
                <w:b/>
                <w:bCs/>
              </w:rPr>
              <w:t>Chemotherapeutics</w:t>
            </w:r>
          </w:p>
        </w:tc>
        <w:tc>
          <w:tcPr>
            <w:tcW w:w="6343" w:type="dxa"/>
          </w:tcPr>
          <w:p w14:paraId="0015280E" w14:textId="77777777" w:rsidR="00A27485" w:rsidRPr="002A7128" w:rsidRDefault="00A27485">
            <w:pPr>
              <w:pStyle w:val="ListParagraph"/>
              <w:numPr>
                <w:ilvl w:val="0"/>
                <w:numId w:val="5"/>
              </w:numPr>
              <w:spacing w:line="276" w:lineRule="auto"/>
              <w:jc w:val="both"/>
              <w:rPr>
                <w:rFonts w:ascii="Calibri" w:hAnsi="Calibri" w:cs="Calibri"/>
              </w:rPr>
            </w:pPr>
            <w:r w:rsidRPr="002A7128">
              <w:rPr>
                <w:rFonts w:ascii="Calibri" w:hAnsi="Calibri" w:cs="Calibri"/>
              </w:rPr>
              <w:t>Concentration dependent changes in DAMP release</w:t>
            </w:r>
          </w:p>
          <w:p w14:paraId="46AE6472" w14:textId="77777777" w:rsidR="00A27485" w:rsidRPr="002A7128" w:rsidRDefault="00A27485">
            <w:pPr>
              <w:pStyle w:val="ListParagraph"/>
              <w:numPr>
                <w:ilvl w:val="0"/>
                <w:numId w:val="5"/>
              </w:numPr>
              <w:spacing w:line="276" w:lineRule="auto"/>
              <w:jc w:val="both"/>
              <w:rPr>
                <w:rFonts w:ascii="Calibri" w:hAnsi="Calibri" w:cs="Calibri"/>
              </w:rPr>
            </w:pPr>
            <w:r w:rsidRPr="002A7128">
              <w:rPr>
                <w:rFonts w:ascii="Calibri" w:hAnsi="Calibri" w:cs="Calibri"/>
              </w:rPr>
              <w:t xml:space="preserve">Only a select few have been shown to induce bone fide ICD </w:t>
            </w:r>
          </w:p>
          <w:p w14:paraId="2B504E92" w14:textId="77777777" w:rsidR="00A27485" w:rsidRPr="002A7128" w:rsidRDefault="00A27485">
            <w:pPr>
              <w:pStyle w:val="ListParagraph"/>
              <w:numPr>
                <w:ilvl w:val="0"/>
                <w:numId w:val="5"/>
              </w:numPr>
              <w:spacing w:line="276" w:lineRule="auto"/>
              <w:jc w:val="both"/>
              <w:rPr>
                <w:rFonts w:ascii="Calibri" w:hAnsi="Calibri" w:cs="Calibri"/>
              </w:rPr>
            </w:pPr>
            <w:r w:rsidRPr="002A7128">
              <w:rPr>
                <w:rFonts w:ascii="Calibri" w:hAnsi="Calibri" w:cs="Calibri"/>
              </w:rPr>
              <w:t>Cancer cell type dependent immunological outcome</w:t>
            </w:r>
          </w:p>
          <w:p w14:paraId="42E30065" w14:textId="77777777" w:rsidR="00A27485" w:rsidRPr="002A7128" w:rsidRDefault="00A27485">
            <w:pPr>
              <w:pStyle w:val="ListParagraph"/>
              <w:numPr>
                <w:ilvl w:val="0"/>
                <w:numId w:val="5"/>
              </w:numPr>
              <w:spacing w:line="276" w:lineRule="auto"/>
              <w:jc w:val="both"/>
              <w:rPr>
                <w:rFonts w:ascii="Calibri" w:hAnsi="Calibri" w:cs="Calibri"/>
              </w:rPr>
            </w:pPr>
            <w:r w:rsidRPr="002A7128">
              <w:rPr>
                <w:rFonts w:ascii="Calibri" w:hAnsi="Calibri" w:cs="Calibri"/>
              </w:rPr>
              <w:t>Release of inhibitor DAMPs</w:t>
            </w:r>
          </w:p>
        </w:tc>
        <w:tc>
          <w:tcPr>
            <w:tcW w:w="900" w:type="dxa"/>
          </w:tcPr>
          <w:p w14:paraId="1992F5DD" w14:textId="07EE2361" w:rsidR="00A27485" w:rsidRPr="002A7128" w:rsidRDefault="00A27485" w:rsidP="00987778">
            <w:pPr>
              <w:spacing w:line="276" w:lineRule="auto"/>
              <w:jc w:val="both"/>
              <w:rPr>
                <w:rFonts w:ascii="Calibri" w:hAnsi="Calibri" w:cs="Calibri"/>
              </w:rPr>
            </w:pPr>
            <w:r w:rsidRPr="002A7128">
              <w:rPr>
                <w:rFonts w:ascii="Calibri" w:hAnsi="Calibri" w:cs="Calibri"/>
              </w:rPr>
              <w:fldChar w:fldCharType="begin"/>
            </w:r>
            <w:r w:rsidR="00317E7D" w:rsidRPr="002A7128">
              <w:rPr>
                <w:rFonts w:ascii="Calibri" w:hAnsi="Calibri" w:cs="Calibri"/>
              </w:rPr>
              <w:instrText xml:space="preserve"> ADDIN ZOTERO_ITEM CSL_CITATION {"citationID":"ahldvh3pb0","properties":{"formattedCitation":"\\super 30,46,73,83,116\\nosupersub{}","plainCitation":"30,46,73,83,116","noteIndex":0},"citationItems":[{"id":9669,"uris":["http://zotero.org/groups/2667333/items/Z4YLJ2ZH"],"itemData":{"id":9669,"type":"article-journal","abstract":"Abstract\n            \n              Induction of tumor cell death is the therapeutic goal for most anticancer drugs. Yet, a mode of drug-induced cell death, known as immunogenic cell death (ICD), can propagate antitumoral immunity to augment therapeutic efficacy. Currently, the molecular hallmark of ICD features the release of damage-associated molecular patterns (DAMPs) by dying cancer cells. Here, we show that gemcitabine, a standard chemotherapy for various solid tumors, triggers hallmark immunostimualtory DAMP release (e.g., calreticulin, HSP70, and HMGB1); however, is unable to induce ICD. Mechanistic studies reveal gemcitabine concurrently triggers prostaglandin E\n              2\n              release as an inhibitory DAMP to counterpoise the adjuvanticity of immunostimulatory DAMPs. Pharmacological blockade of prostaglandin E\n              2\n              biosythesis favors CD103\n              +\n              dendritic cell activation that primes a Tc1-polarized CD8\n              +\n              T cell response to bolster tumor rejection. Herein, we postulate that an intricate balance between immunostimulatory and inhibitory DAMPs could determine the outcome of drug-induced ICD and pose COX-2/prostaglandin E\n              2\n              blockade as a strategy to harness ICD.","container-title":"Nature Communications","DOI":"10.1038/s41467-020-19970-9","ISSN":"2041-1723","issue":"1","journalAbbreviation":"Nat Commun","language":"en","page":"6299","source":"DOI.org (Crossref)","title":"Tipping the immunostimulatory and inhibitory DAMP balance to harness immunogenic cell death","URL":"http://www.nature.com/articles/s41467-020-19970-9","volume":"11","author":[{"family":"Hayashi","given":"K."},{"family":"Nikolos","given":"F."},{"family":"Lee","given":"Y. C."},{"family":"Jain","given":"A."},{"family":"Tsouko","given":"E."},{"family":"Gao","given":"H."},{"family":"Kasabyan","given":"A."},{"family":"Leung","given":"H. E."},{"family":"Osipov","given":"A."},{"family":"Jung","given":"S. Y."},{"family":"Kurtova","given":"A. V."},{"family":"Chan","given":"K. S."}],"accessed":{"date-parts":[["2021",12,4]]},"issued":{"date-parts":[["2020",12]]},"citation-key":"hayashi_tipping_2020"}},{"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id":9882,"uris":["http://zotero.org/groups/2667333/items/FZVSZA5B"],"itemData":{"id":9882,"type":"article-journal","container-title":"Science Translational Medicine","DOI":"10.1126/scitranslmed.aba6110","ISSN":"1946-6234, 1946-6242","issue":"575","journalAbbreviation":"Sci. Transl. Med.","language":"en","page":"eaba6110","source":"DOI.org (Crossref)","title":"Mitochondrial metabolic reprogramming controls the induction of immunogenic cell death and efficacy of chemotherapy in bladder cancer","URL":"https://www.science.org/doi/10.1126/scitranslmed.aba6110","volume":"13","author":[{"family":"Oresta","given":"Bianca"},{"family":"Pozzi","given":"Chiara"},{"family":"Braga","given":"Daniele"},{"family":"Hurle","given":"Rodolfo"},{"family":"Lazzeri","given":"Massimo"},{"family":"Colombo","given":"Piergiuseppe"},{"family":"Frego","given":"Nicola"},{"family":"Erreni","given":"Marco"},{"family":"Faccani","given":"Cristina"},{"family":"Elefante","given":"Grazia"},{"family":"Barcella","given":"Matteo"},{"family":"Guazzoni","given":"Giorgio"},{"family":"Rescigno","given":"Maria"}],"accessed":{"date-parts":[["2022",1,11]]},"issued":{"date-parts":[["2021",1,6]]},"citation-key":"oresta_mitochondrial_2021"}},{"id":9794,"uris":["http://zotero.org/groups/2667333/items/HQFHTPKB"],"itemData":{"id":9794,"type":"article-journal","container-title":"OncoImmunology","DOI":"10.4161/21624011.2014.955691","ISSN":"2162-402X","issue":"9","journalAbbreviation":"OncoImmunology","language":"en","page":"e955691","source":"DOI.org (Crossref)","title":"Consensus guidelines for the detection of immunogenic cell death","URL":"http://www.tandfonline.com/doi/full/10.4161/21624011.2014.955691","volume":"3","author":[{"family":"Kepp","given":"Oliver"},{"family":"Senovilla","given":"Laura"},{"family":"Vitale","given":"Ilio"},{"family":"Vacchelli","given":"Erika"},{"family":"Adjemian","given":"Sandy"},{"family":"Agostinis","given":"Patrizia"},{"family":"Apetoh","given":"Lionel"},{"family":"Aranda","given":"Fernando"},{"family":"Barnaba","given":"Vincenzo"},{"family":"Bloy","given":"Norma"},{"family":"Bracci","given":"Laura"},{"family":"Breckpot","given":"Karine"},{"family":"Brough","given":"David"},{"family":"Buqué","given":"Aitziber"},{"family":"Castro","given":"Maria G."},{"family":"Cirone","given":"Mara"},{"family":"Colombo","given":"Maria I."},{"family":"Cremer","given":"Isabelle"},{"family":"Demaria","given":"Sandra"},{"family":"Dini","given":"Luciana"},{"family":"Eliopoulos","given":"Aristides G."},{"family":"Faggioni","given":"Alberto"},{"family":"Formenti","given":"Silvia C."},{"family":"Fučíková","given":"Jitka"},{"family":"Gabriele","given":"Lucia"},{"family":"Gaipl","given":"Udo S."},{"family":"Galon","given":"Jérôme"},{"family":"Garg","given":"Abhishek"},{"family":"Ghiringhelli","given":"François"},{"family":"Giese","given":"Nathalia A."},{"family":"Guo","given":"Zong Sheng"},{"family":"Hemminki","given":"Akseli"},{"family":"Herrmann","given":"Martin"},{"family":"Hodge","given":"James W."},{"family":"Holdenrieder","given":"Stefan"},{"family":"Honeychurch","given":"Jamie"},{"family":"Hu","given":"Hong-Min"},{"family":"Huang","given":"Xing"},{"family":"Illidge","given":"Tim M."},{"family":"Kono","given":"Koji"},{"family":"Korbelik","given":"Mladen"},{"family":"Krysko","given":"Dmitri V."},{"family":"Loi","given":"Sherene"},{"family":"Lowenstein","given":"Pedro R."},{"family":"Lugli","given":"Enrico"},{"family":"Ma","given":"Yuting"},{"family":"Madeo","given":"Frank"},{"family":"Manfredi","given":"Angelo A."},{"family":"Martins","given":"Isabelle"},{"family":"Mavilio","given":"Domenico"},{"family":"Menger","given":"Laurie"},{"family":"Merendino","given":"Nicolò"},{"family":"Michaud","given":"Michael"},{"family":"Mignot","given":"Gregoire"},{"family":"Mossman","given":"Karen L."},{"family":"Multhoff","given":"Gabriele"},{"family":"Oehler","given":"Rudolf"},{"family":"Palombo","given":"Fabio"},{"family":"Panaretakis","given":"Theocharis"},{"family":"Pol","given":"Jonathan"},{"family":"Proietti","given":"Enrico"},{"family":"Ricci","given":"Jean-Ehrland"},{"family":"Riganti","given":"Chiara"},{"family":"Rovere-Querini","given":"Patrizia"},{"family":"Rubartelli","given":"Anna"},{"family":"Sistigu","given":"Antonella"},{"family":"Smyth","given":"Mark J."},{"family":"Sonnemann","given":"Juergen"},{"family":"Spisek","given":"Radek"},{"family":"Stagg","given":"John"},{"family":"Sukkurwala","given":"Abdul Qader"},{"family":"Tartour","given":"Eric"},{"family":"Thorburn","given":"Andrew"},{"family":"Thorne","given":"Stephen H."},{"family":"Vandenabeele","given":"Peter"},{"family":"Velotti","given":"Francesca"},{"family":"Workenhe","given":"Samuel T."},{"family":"Yang","given":"Haining"},{"family":"Zong","given":"Wei-Xing"},{"family":"Zitvogel","given":"Laurence"},{"family":"Kroemer","given":"Guido"},{"family":"Galluzzi","given":"Lorenzo"}],"accessed":{"date-parts":[["2021",12,15]]},"issued":{"date-parts":[["2014",9,2]]},"citation-key":"kepp_consensus_2014"}},{"id":9300,"uris":["http://zotero.org/groups/2667333/items/D7RGVW9H"],"itemData":{"id":9300,"type":"article-journal","container-title":"Science Signaling","DOI":"10.1126/scisignal.abc4764","ISSN":"1945-0877, 1937-9145","issue":"705","journalAbbreviation":"Sci. Signal.","language":"en","page":"eabc4764","source":"DOI.org (Crossref)","title":"The injury response to DNA damage in live tumor cells promotes antitumor immunity","URL":"https://www.science.org/doi/10.1126/scisignal.abc4764","volume":"14","author":[{"family":"Sriram","given":"Ganapathy"},{"family":"Milling","given":"Lauren E."},{"family":"Chen","given":"Jung-Kuei"},{"family":"Kong","given":"Yi Wen"},{"family":"Joughin","given":"Brian A."},{"family":"Abraham","given":"Wuhbet"},{"family":"Swartwout","given":"Susanne"},{"family":"Handly","given":"Erika D."},{"family":"Irvine","given":"Darrell J."},{"family":"Yaffe","given":"Michael B."}],"accessed":{"date-parts":[["2021",10,27]]},"issued":{"date-parts":[["2021",10,19]]},"citation-key":"sriram_injury_2021"}}],"schema":"https://github.com/citation-style-language/schema/raw/master/csl-citation.json"}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30,46,73,83,116</w:t>
            </w:r>
            <w:r w:rsidRPr="002A7128">
              <w:rPr>
                <w:rFonts w:ascii="Calibri" w:hAnsi="Calibri" w:cs="Calibri"/>
              </w:rPr>
              <w:fldChar w:fldCharType="end"/>
            </w:r>
          </w:p>
        </w:tc>
      </w:tr>
      <w:tr w:rsidR="00A27485" w:rsidRPr="002A7128" w14:paraId="73C8D84D" w14:textId="77777777" w:rsidTr="00261A88">
        <w:tc>
          <w:tcPr>
            <w:tcW w:w="2112" w:type="dxa"/>
          </w:tcPr>
          <w:p w14:paraId="29AA6B63" w14:textId="77777777" w:rsidR="00A27485" w:rsidRPr="002A7128" w:rsidRDefault="00A27485" w:rsidP="00987778">
            <w:pPr>
              <w:spacing w:line="276" w:lineRule="auto"/>
              <w:jc w:val="both"/>
              <w:rPr>
                <w:rFonts w:ascii="Calibri" w:hAnsi="Calibri" w:cs="Calibri"/>
                <w:b/>
                <w:bCs/>
              </w:rPr>
            </w:pPr>
            <w:r w:rsidRPr="002A7128">
              <w:rPr>
                <w:rFonts w:ascii="Calibri" w:hAnsi="Calibri" w:cs="Calibri"/>
                <w:b/>
                <w:bCs/>
              </w:rPr>
              <w:t>Physical therapies</w:t>
            </w:r>
          </w:p>
        </w:tc>
        <w:tc>
          <w:tcPr>
            <w:tcW w:w="6343" w:type="dxa"/>
          </w:tcPr>
          <w:p w14:paraId="09E68837" w14:textId="77777777" w:rsidR="00A27485" w:rsidRPr="002A7128" w:rsidRDefault="00A27485" w:rsidP="00987778">
            <w:pPr>
              <w:spacing w:line="276" w:lineRule="auto"/>
              <w:jc w:val="both"/>
              <w:rPr>
                <w:rFonts w:ascii="Calibri" w:hAnsi="Calibri" w:cs="Calibri"/>
              </w:rPr>
            </w:pPr>
            <w:r w:rsidRPr="002A7128">
              <w:rPr>
                <w:rFonts w:ascii="Calibri" w:hAnsi="Calibri" w:cs="Calibri"/>
              </w:rPr>
              <w:t>Radiation</w:t>
            </w:r>
          </w:p>
          <w:p w14:paraId="6C0451E3" w14:textId="77777777" w:rsidR="00A27485" w:rsidRPr="002A7128" w:rsidRDefault="00A27485">
            <w:pPr>
              <w:pStyle w:val="ListParagraph"/>
              <w:numPr>
                <w:ilvl w:val="0"/>
                <w:numId w:val="4"/>
              </w:numPr>
              <w:spacing w:line="276" w:lineRule="auto"/>
              <w:jc w:val="both"/>
              <w:rPr>
                <w:rFonts w:ascii="Calibri" w:hAnsi="Calibri" w:cs="Calibri"/>
              </w:rPr>
            </w:pPr>
            <w:r w:rsidRPr="002A7128">
              <w:rPr>
                <w:rFonts w:ascii="Calibri" w:hAnsi="Calibri" w:cs="Calibri"/>
              </w:rPr>
              <w:t>Type and dose dependent changes in DAMP release</w:t>
            </w:r>
          </w:p>
          <w:p w14:paraId="7CC65C3C" w14:textId="77777777" w:rsidR="00A27485" w:rsidRPr="002A7128" w:rsidRDefault="00A27485">
            <w:pPr>
              <w:pStyle w:val="ListParagraph"/>
              <w:numPr>
                <w:ilvl w:val="0"/>
                <w:numId w:val="4"/>
              </w:numPr>
              <w:spacing w:line="276" w:lineRule="auto"/>
              <w:jc w:val="both"/>
              <w:rPr>
                <w:rFonts w:ascii="Calibri" w:hAnsi="Calibri" w:cs="Calibri"/>
              </w:rPr>
            </w:pPr>
            <w:r w:rsidRPr="002A7128">
              <w:rPr>
                <w:rFonts w:ascii="Calibri" w:hAnsi="Calibri" w:cs="Calibri"/>
              </w:rPr>
              <w:t>Type and dose dependent changes in cell death modality</w:t>
            </w:r>
          </w:p>
          <w:p w14:paraId="60CD63DA" w14:textId="77777777" w:rsidR="00A27485" w:rsidRPr="002A7128" w:rsidRDefault="00A27485">
            <w:pPr>
              <w:pStyle w:val="ListParagraph"/>
              <w:numPr>
                <w:ilvl w:val="0"/>
                <w:numId w:val="4"/>
              </w:numPr>
              <w:spacing w:line="276" w:lineRule="auto"/>
              <w:jc w:val="both"/>
              <w:rPr>
                <w:rFonts w:ascii="Calibri" w:hAnsi="Calibri" w:cs="Calibri"/>
              </w:rPr>
            </w:pPr>
            <w:r w:rsidRPr="002A7128">
              <w:rPr>
                <w:rFonts w:ascii="Calibri" w:hAnsi="Calibri" w:cs="Calibri"/>
              </w:rPr>
              <w:t>Type and dose dependent shift in anti-tumor immunity</w:t>
            </w:r>
          </w:p>
          <w:p w14:paraId="427C9E5A" w14:textId="77777777" w:rsidR="00A27485" w:rsidRPr="002A7128" w:rsidRDefault="00A27485" w:rsidP="00987778">
            <w:pPr>
              <w:spacing w:line="276" w:lineRule="auto"/>
              <w:jc w:val="both"/>
              <w:rPr>
                <w:rFonts w:ascii="Calibri" w:hAnsi="Calibri" w:cs="Calibri"/>
              </w:rPr>
            </w:pPr>
            <w:r w:rsidRPr="002A7128">
              <w:rPr>
                <w:rFonts w:ascii="Calibri" w:hAnsi="Calibri" w:cs="Calibri"/>
              </w:rPr>
              <w:t>PTT</w:t>
            </w:r>
          </w:p>
          <w:p w14:paraId="41D3BBB6" w14:textId="77777777" w:rsidR="00A27485" w:rsidRPr="002A7128" w:rsidRDefault="00A27485">
            <w:pPr>
              <w:pStyle w:val="ListParagraph"/>
              <w:numPr>
                <w:ilvl w:val="0"/>
                <w:numId w:val="3"/>
              </w:numPr>
              <w:spacing w:line="276" w:lineRule="auto"/>
              <w:jc w:val="both"/>
              <w:rPr>
                <w:rFonts w:ascii="Calibri" w:hAnsi="Calibri" w:cs="Calibri"/>
              </w:rPr>
            </w:pPr>
            <w:r w:rsidRPr="002A7128">
              <w:rPr>
                <w:rFonts w:ascii="Calibri" w:hAnsi="Calibri" w:cs="Calibri"/>
              </w:rPr>
              <w:t>Temperature dependent changes in cell death modality</w:t>
            </w:r>
          </w:p>
          <w:p w14:paraId="72D506DC" w14:textId="77777777" w:rsidR="00A27485" w:rsidRPr="002A7128" w:rsidRDefault="00A27485">
            <w:pPr>
              <w:pStyle w:val="ListParagraph"/>
              <w:numPr>
                <w:ilvl w:val="0"/>
                <w:numId w:val="3"/>
              </w:numPr>
              <w:spacing w:line="276" w:lineRule="auto"/>
              <w:jc w:val="both"/>
              <w:rPr>
                <w:rFonts w:ascii="Calibri" w:hAnsi="Calibri" w:cs="Calibri"/>
              </w:rPr>
            </w:pPr>
            <w:r w:rsidRPr="002A7128">
              <w:rPr>
                <w:rFonts w:ascii="Calibri" w:hAnsi="Calibri" w:cs="Calibri"/>
              </w:rPr>
              <w:t>Temperature dependent changes in DAMP release</w:t>
            </w:r>
          </w:p>
          <w:p w14:paraId="71752CA4" w14:textId="77777777" w:rsidR="00A27485" w:rsidRPr="002A7128" w:rsidRDefault="00A27485">
            <w:pPr>
              <w:pStyle w:val="ListParagraph"/>
              <w:numPr>
                <w:ilvl w:val="0"/>
                <w:numId w:val="3"/>
              </w:numPr>
              <w:spacing w:line="276" w:lineRule="auto"/>
              <w:jc w:val="both"/>
              <w:rPr>
                <w:rFonts w:ascii="Calibri" w:hAnsi="Calibri" w:cs="Calibri"/>
              </w:rPr>
            </w:pPr>
            <w:r w:rsidRPr="002A7128">
              <w:rPr>
                <w:rFonts w:ascii="Calibri" w:hAnsi="Calibri" w:cs="Calibri"/>
              </w:rPr>
              <w:t>Low protection capacity when used alone</w:t>
            </w:r>
          </w:p>
        </w:tc>
        <w:tc>
          <w:tcPr>
            <w:tcW w:w="900" w:type="dxa"/>
          </w:tcPr>
          <w:p w14:paraId="373E8032" w14:textId="5BEF6BBA" w:rsidR="00A27485" w:rsidRPr="002A7128" w:rsidRDefault="00A27485" w:rsidP="00987778">
            <w:pPr>
              <w:spacing w:line="276" w:lineRule="auto"/>
              <w:jc w:val="both"/>
              <w:rPr>
                <w:rFonts w:ascii="Calibri" w:hAnsi="Calibri" w:cs="Calibri"/>
              </w:rPr>
            </w:pPr>
            <w:r w:rsidRPr="002A7128">
              <w:rPr>
                <w:rFonts w:ascii="Calibri" w:hAnsi="Calibri" w:cs="Calibri"/>
              </w:rPr>
              <w:fldChar w:fldCharType="begin"/>
            </w:r>
            <w:r w:rsidR="00A64B61" w:rsidRPr="002A7128">
              <w:rPr>
                <w:rFonts w:ascii="Calibri" w:hAnsi="Calibri" w:cs="Calibri"/>
              </w:rPr>
              <w:instrText xml:space="preserve"> ADDIN ZOTERO_ITEM CSL_CITATION {"citationID":"a2i5mbiibgf","properties":{"formattedCitation":"\\super 89\\uc0\\u8211{}91,94\\uc0\\u8211{}96\\nosupersub{}","plainCitation":"89–91,94–96","noteIndex":0},"citationItems":[{"id":11246,"uris":["http://zotero.org/groups/2667333/items/JY7854ZC"],"itemData":{"id":11246,"type":"article-journal","abstract":"Immunogenic cell death (ICD) is a form of regulated cell death (RCD) induced by various stresses and produces antitumor immunity\n              via\n              damage-associated molecular patterns (DAMPs) release or exposure, mainly including high mobility group box 1 (HMGB1), calreticulin (CRT), adenosine triphosphate (ATP), and heat shock proteins (HSPs). Emerging evidence has suggested that ionizing radiation (IR) can induce ICD, and the dose, type, and fractionation of irradiation influence the induction of ICD. At present, IR-induced ICD is mainly verified\n              in vitro\n              in mice and there is few clinical evidence about it. To boost the induction of ICD by IR, some strategies have shown synergy with IR to enhance antitumor immune response, such as hyperthermia, nanoparticles, and chemotherapy. In this review, we focus on the molecular mechanisms of ICD, ICD-promoting factors associated with irradiation, the clinical evidence of ICD, and immunogenic forms of cell death. Finally, we summarize various methods of improving ICD induced by IR.","container-title":"Frontiers in Immunology","DOI":"10.3389/fimmu.2021.705361","ISSN":"1664-3224","journalAbbreviation":"Front. Immunol.","page":"705361","source":"DOI.org (Crossref)","title":"Immunogenic Cell Death Induction by Ionizing Radiation","URL":"https://www.frontiersin.org/articles/10.3389/fimmu.2021.705361/full","volume":"12","author":[{"family":"Zhu","given":"Mengqin"},{"family":"Yang","given":"Mengdie"},{"family":"Zhang","given":"Jiajia"},{"family":"Yin","given":"Yuzhen"},{"family":"Fan","given":"Xin"},{"family":"Zhang","given":"Yu"},{"family":"Qin","given":"Shanshan"},{"family":"Zhang","given":"Han"},{"family":"Yu","given":"Fei"}],"accessed":{"date-parts":[["2022",7,12]]},"issued":{"date-parts":[["2021",8,20]]},"citation-key":"zhu_immunogenic_2021"}},{"id":11238,"uris":["http://zotero.org/groups/2667333/items/DETJ7R2M"],"itemData":{"id":11238,"type":"article-journal","container-title":"Annals of Translational Medicine","DOI":"10.21037/atm.2019.09.128","ISSN":"23055839, 23055847","issue":"20","journalAbbreviation":"Ann. Transl. Med.","page":"542-542","source":"DOI.org (Crossref)","title":"Comparison of the effects of photon, proton and carbon-ion radiation on the ecto-calreticulin exposure in various tumor cell lines","URL":"http://atm.amegroups.com/article/view/30597/26317","volume":"7","author":[{"family":"Huang","given":"Yangle"},{"family":"Dong","given":"Yuanli"},{"family":"Zhao","given":"Jingfang"},{"family":"Zhang","given":"Lijia"},{"family":"Kong","given":"Lin"},{"family":"Lu","given":"Jiade Jay"}],"accessed":{"date-parts":[["2022",7,12]]},"issued":{"date-parts":[["2019",10]]},"citation-key":"huang_comparison_2019"}},{"id":11240,"uris":["http://zotero.org/groups/2667333/items/W6DQ4RYI"],"itemData":{"id":11240,"type":"article-journal","abstract":"Radiation remains an important component of cancer treatment. In addition to inducing tumor cell death through direct cytotoxic effects, radiation can also promote the regression of tumor via augment of immune response. Regulatory T cells (Tregs) are a unique subpopulation of CD4 positive cells, which are characterized by expression of the forkhead box P3 (Foxp3) transcription factor and high levels of CD25. Mounting evidence has shown that Tregs are implicated in the development and progression of various types of cancer, which makes Tregs an important target in cancer therapeutics. Generally, lymphocytes are regarded as radiosensitive. However, Tregs have been demonstrated to be relatively resistant to radiotherapy, which is partly mediated by downregulation of pro-apoptotic proteins and upregulation of anti-apoptotic proteins. Moreover, radiotherapy can increase the production of Tregs and the recruitment of Tregs to local tumor microenvironment. Tregs can attenuate radiation-induced tumor death, which cause the resistance of tumor to radiotherapy. Recent experimental studies and clinical trails have demonstrated that the combination of radiation with medications that target Tregs is promising in the treatment of several types of neoplasms. In this review, we discussed the effect of radiation on Tregs in physiological states and cancer. Further, we presented an overview of therapies that target Tregs to enhance the efficacy of radiation in cancer therapeutics.","container-title":"American Journal of Cancer Research","ISSN":"2156-6976","issue":"11","journalAbbreviation":"Am J Cancer Res","language":"eng","note":"PMID: 26807310\nPMCID: PMC4697676","page":"3276-3285","source":"PubMed","title":"Effects of radiation on T regulatory cells in normal states and cancer: mechanisms and clinical implications","title-short":"Effects of radiation on T regulatory cells in normal states and cancer","volume":"5","author":[{"family":"Liu","given":"Shu"},{"family":"Sun","given":"Xiangdong"},{"family":"Luo","given":"Jinhua"},{"family":"Zhu","given":"Hongcheng"},{"family":"Yang","given":"Xi"},{"family":"Guo","given":"Qing"},{"family":"Song","given":"Yaqi"},{"family":"Sun","given":"Xinchen"}],"issued":{"date-parts":[["2015"]]},"citation-key":"liu_effects_2015"}},{"id":11400,"uris":["http://zotero.org/groups/2667333/items/WV9NBY44"],"itemData":{"id":11400,"type":"article-journal","container-title":"Bioconjugate Chemistry","DOI":"10.1021/acs.bioconjchem.0c00135","ISSN":"1043-1802, 1520-4812","issue":"5","journalAbbreviation":"Bioconjugate Chem.","language":"en","note":"tex.ids= hu_reprogramming_2020-1","page":"1268-1278","source":"DOI.org (Crossref)","title":"Reprogramming Tumor Microenvironment with Photothermal Therapy","URL":"https://pubs.acs.org/doi/10.1021/acs.bioconjchem.0c00135","volume":"31","author":[{"family":"Hu","given":"Qinglian"},{"family":"Huang","given":"Zemin"},{"family":"Duan","given":"Yukun"},{"family":"Fu","given":"Zhengwei"},{"literal":"Bin Liu"}],"accessed":{"date-parts":[["2022",7,26]]},"issued":{"date-parts":[["2020",5,20]]},"citation-key":"hu_reprogramming_2020"}},{"id":6151,"uris":["http://zotero.org/groups/2667333/items/WSQBTCLY"],"itemData":{"id":6151,"type":"article-journal","abstract":"A thermal “window” of immunogenic cell death (ICD) elicited by nanoparticle-based photothermal therapy (PTT) in an animal model of neuroblastoma is described. In studies using Prussian blue nanoparticles to administer photothermal therapy (PBNP-PTT) to established localized tumors in the neuroblastoma model, it is observed that PBNP-PTT conforms to the “more is better” paradigm, wherein higher doses of PBNP-PTT generates higher cell/local heating and thereby more cell death, and consequently improved animal survival. However, in vitro analysis of the biochemical correlates of ICD (ATP, high-motility group box 1, and calreticulin) elicited by PBNP-PTT demonstrates that PBNP-PTT triggers a thermal window of ICD. ICD markers are highly expressed within an optimal temperature (thermal dose) window of PBNP-PTT (63.3–66.4 °C) as compared with higher (83.0–83.5 °C) and lower PBNP-PTT (50.7–52.7 °C) temperatures, which both yield lower expression. Subsequent vaccination studies in the neuroblastoma model confirm the in vitro findings, wherein PBNP-PTT administered within the optimal temperature window results in long-term survival (33.3% at 100 d) compared with PBNP-PTT administered within the higher (0%) and lower (20%) temperature ranges, and controls (0%). The findings demonstrate a tunable immune response to heat generated by PBNP-PTT, which should be critically engaged in the administration of PTT for maximizing its therapeutic benefits.","container-title":"Small","DOI":"https://doi.org/10.1002/smll.201800678","ISSN":"1613-6829","issue":"20","language":"en","license":"© 2018 WILEY‐VCH Verlag GmbH &amp; Co. KGaA, Weinheim","note":"_eprint: https://onlinelibrary.wiley.com/doi/pdf/10.1002/smll.201800678\ntex.ids= sweeney_photothermal_2018-1","page":"1800678","source":"Wiley Online Library","title":"Photothermal Therapy Generates a Thermal Window of Immunogenic Cell Death in Neuroblastoma","URL":"https://onlinelibrary.wiley.com/doi/abs/10.1002/smll.201800678","volume":"14","author":[{"family":"Sweeney","given":"Elizabeth E."},{"family":"Cano‐Mejia","given":"Juliana"},{"family":"Fernandes","given":"Rohan"}],"accessed":{"date-parts":[["2021",3,28]]},"issued":{"date-parts":[["2018"]]},"citation-key":"sweeney_photothermal_2018"}},{"id":11403,"uris":["http://zotero.org/groups/2667333/items/M79KQ98T"],"itemData":{"id":11403,"type":"article-journal","container-title":"PLoS ONE","DOI":"10.1371/journal.pone.0069073","ISSN":"1932-6203","issue":"7","journalAbbreviation":"PLoS ONE","language":"en","page":"e69073","source":"DOI.org (Crossref)","title":"Elimination of Metastatic Melanoma Using Gold Nanoshell-Enabled Photothermal Therapy and Adoptive T Cell Transfer","URL":"https://dx.plos.org/10.1371/journal.pone.0069073","volume":"8","author":[{"family":"Bear","given":"Adham S."},{"family":"Kennedy","given":"Laura C."},{"family":"Young","given":"Joseph K."},{"family":"Perna","given":"Serena K."},{"family":"Mattos Almeida","given":"Joao Paulo"},{"family":"Lin","given":"Adam Y."},{"family":"Eckels","given":"Phillip C."},{"family":"Drezek","given":"Rebekah A."},{"family":"Foster","given":"Aaron E."}],"editor":[{"family":"Najbauer","given":"Joseph"}],"accessed":{"date-parts":[["2022",7,26]]},"issued":{"date-parts":[["2013",7,23]]},"citation-key":"bear_elimination_2013"}}],"schema":"https://github.com/citation-style-language/schema/raw/master/csl-citation.json"}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89–91,94–96</w:t>
            </w:r>
            <w:r w:rsidRPr="002A7128">
              <w:rPr>
                <w:rFonts w:ascii="Calibri" w:hAnsi="Calibri" w:cs="Calibri"/>
              </w:rPr>
              <w:fldChar w:fldCharType="end"/>
            </w:r>
          </w:p>
        </w:tc>
      </w:tr>
      <w:tr w:rsidR="00A27485" w:rsidRPr="002A7128" w14:paraId="6244F3F9" w14:textId="77777777" w:rsidTr="00261A88">
        <w:tc>
          <w:tcPr>
            <w:tcW w:w="2112" w:type="dxa"/>
          </w:tcPr>
          <w:p w14:paraId="7B1EEF84" w14:textId="77777777" w:rsidR="00A27485" w:rsidRPr="002A7128" w:rsidRDefault="00A27485" w:rsidP="00987778">
            <w:pPr>
              <w:spacing w:line="276" w:lineRule="auto"/>
              <w:jc w:val="both"/>
              <w:rPr>
                <w:rFonts w:ascii="Calibri" w:hAnsi="Calibri" w:cs="Calibri"/>
                <w:b/>
                <w:bCs/>
              </w:rPr>
            </w:pPr>
            <w:r w:rsidRPr="002A7128">
              <w:rPr>
                <w:rFonts w:ascii="Calibri" w:hAnsi="Calibri" w:cs="Calibri"/>
                <w:b/>
                <w:bCs/>
              </w:rPr>
              <w:t>Antimicrobial peptides</w:t>
            </w:r>
          </w:p>
        </w:tc>
        <w:tc>
          <w:tcPr>
            <w:tcW w:w="6343" w:type="dxa"/>
          </w:tcPr>
          <w:p w14:paraId="6CD78A5E" w14:textId="77777777" w:rsidR="00A27485" w:rsidRPr="002A7128" w:rsidRDefault="00A27485">
            <w:pPr>
              <w:pStyle w:val="ListParagraph"/>
              <w:numPr>
                <w:ilvl w:val="0"/>
                <w:numId w:val="6"/>
              </w:numPr>
              <w:spacing w:line="276" w:lineRule="auto"/>
              <w:jc w:val="both"/>
              <w:rPr>
                <w:rFonts w:ascii="Calibri" w:hAnsi="Calibri" w:cs="Calibri"/>
              </w:rPr>
            </w:pPr>
            <w:r w:rsidRPr="002A7128">
              <w:rPr>
                <w:rFonts w:ascii="Calibri" w:hAnsi="Calibri" w:cs="Calibri"/>
              </w:rPr>
              <w:t>Induction of apoptosis and membrane permeabilization, however ICD has not been analyzed thoroughly for most AMPs</w:t>
            </w:r>
          </w:p>
          <w:p w14:paraId="23E43C40" w14:textId="77777777" w:rsidR="00A27485" w:rsidRPr="002A7128" w:rsidRDefault="00A27485">
            <w:pPr>
              <w:pStyle w:val="ListParagraph"/>
              <w:numPr>
                <w:ilvl w:val="0"/>
                <w:numId w:val="6"/>
              </w:numPr>
              <w:spacing w:line="276" w:lineRule="auto"/>
              <w:jc w:val="both"/>
              <w:rPr>
                <w:rFonts w:ascii="Calibri" w:hAnsi="Calibri" w:cs="Calibri"/>
              </w:rPr>
            </w:pPr>
            <w:r w:rsidRPr="002A7128">
              <w:rPr>
                <w:rFonts w:ascii="Calibri" w:hAnsi="Calibri" w:cs="Calibri"/>
              </w:rPr>
              <w:t>Not significant antibody production and protective capacity when used as adjuvants for vaccine development</w:t>
            </w:r>
          </w:p>
          <w:p w14:paraId="05E81FB9" w14:textId="77777777" w:rsidR="00A27485" w:rsidRPr="002A7128" w:rsidRDefault="00A27485" w:rsidP="00987778">
            <w:pPr>
              <w:spacing w:line="276" w:lineRule="auto"/>
              <w:jc w:val="both"/>
              <w:rPr>
                <w:rFonts w:ascii="Calibri" w:hAnsi="Calibri" w:cs="Calibri"/>
              </w:rPr>
            </w:pPr>
            <w:r w:rsidRPr="002A7128">
              <w:rPr>
                <w:rFonts w:ascii="Calibri" w:hAnsi="Calibri" w:cs="Calibri"/>
              </w:rPr>
              <w:t>LTX 315 and LTX 410</w:t>
            </w:r>
          </w:p>
          <w:p w14:paraId="35159FB9" w14:textId="77777777" w:rsidR="00A27485" w:rsidRPr="002A7128" w:rsidRDefault="00A27485">
            <w:pPr>
              <w:pStyle w:val="ListParagraph"/>
              <w:numPr>
                <w:ilvl w:val="0"/>
                <w:numId w:val="6"/>
              </w:numPr>
              <w:spacing w:line="276" w:lineRule="auto"/>
              <w:jc w:val="both"/>
              <w:rPr>
                <w:rFonts w:ascii="Calibri" w:hAnsi="Calibri" w:cs="Calibri"/>
              </w:rPr>
            </w:pPr>
            <w:r w:rsidRPr="002A7128">
              <w:rPr>
                <w:rFonts w:ascii="Calibri" w:hAnsi="Calibri" w:cs="Calibri"/>
              </w:rPr>
              <w:t>Protective effect depends on cancer type</w:t>
            </w:r>
          </w:p>
          <w:p w14:paraId="199D59CC" w14:textId="77777777" w:rsidR="00A27485" w:rsidRPr="002A7128" w:rsidRDefault="00A27485">
            <w:pPr>
              <w:pStyle w:val="ListParagraph"/>
              <w:numPr>
                <w:ilvl w:val="0"/>
                <w:numId w:val="6"/>
              </w:numPr>
              <w:spacing w:line="276" w:lineRule="auto"/>
              <w:jc w:val="both"/>
              <w:rPr>
                <w:rFonts w:ascii="Calibri" w:hAnsi="Calibri" w:cs="Calibri"/>
              </w:rPr>
            </w:pPr>
            <w:r w:rsidRPr="002A7128">
              <w:rPr>
                <w:rFonts w:ascii="Calibri" w:hAnsi="Calibri" w:cs="Calibri"/>
              </w:rPr>
              <w:t>Requires multiple injections</w:t>
            </w:r>
          </w:p>
          <w:p w14:paraId="448A9591" w14:textId="77777777" w:rsidR="00A27485" w:rsidRPr="002A7128" w:rsidRDefault="00A27485">
            <w:pPr>
              <w:pStyle w:val="ListParagraph"/>
              <w:numPr>
                <w:ilvl w:val="0"/>
                <w:numId w:val="6"/>
              </w:numPr>
              <w:spacing w:line="276" w:lineRule="auto"/>
              <w:jc w:val="both"/>
              <w:rPr>
                <w:rFonts w:ascii="Calibri" w:hAnsi="Calibri" w:cs="Calibri"/>
              </w:rPr>
            </w:pPr>
            <w:r w:rsidRPr="002A7128">
              <w:rPr>
                <w:rFonts w:ascii="Calibri" w:hAnsi="Calibri" w:cs="Calibri"/>
              </w:rPr>
              <w:t>BAX and BAK expression dependent activity</w:t>
            </w:r>
          </w:p>
        </w:tc>
        <w:tc>
          <w:tcPr>
            <w:tcW w:w="900" w:type="dxa"/>
          </w:tcPr>
          <w:p w14:paraId="1398A6D5" w14:textId="33022B1A" w:rsidR="00A27485" w:rsidRPr="002A7128" w:rsidRDefault="00A27485" w:rsidP="00987778">
            <w:pPr>
              <w:spacing w:line="276" w:lineRule="auto"/>
              <w:jc w:val="both"/>
              <w:rPr>
                <w:rFonts w:ascii="Calibri" w:hAnsi="Calibri" w:cs="Calibri"/>
              </w:rPr>
            </w:pPr>
            <w:r w:rsidRPr="002A7128">
              <w:rPr>
                <w:rFonts w:ascii="Calibri" w:hAnsi="Calibri" w:cs="Calibri"/>
              </w:rPr>
              <w:fldChar w:fldCharType="begin"/>
            </w:r>
            <w:r w:rsidR="00A64B61" w:rsidRPr="002A7128">
              <w:rPr>
                <w:rFonts w:ascii="Calibri" w:hAnsi="Calibri" w:cs="Calibri"/>
              </w:rPr>
              <w:instrText xml:space="preserve"> ADDIN ZOTERO_ITEM CSL_CITATION {"citationID":"a2pqvvgbdb6","properties":{"formattedCitation":"\\super 101\\uc0\\u8211{}105,109,113\\uc0\\u8211{}115\\nosupersub{}","plainCitation":"101–105,109,113–115","noteIndex":0},"citationItems":[{"id":10926,"uris":["http://zotero.org/groups/2667333/items/6LN6AFLK"],"itemData":{"id":10926,"type":"article-journal","abstract":"Abstract\n            Purpose: Human neutrophil peptides (HNP1-3), small molecular antimicrobial peptides, are expressed within tumors and associated with tumor necrosis and inhibition of angiogenesis. Recent investigations have suggested that HNP1-3 are likely to be involved in the host immune responses to tumors.\n            Experimental Design: We used recombinant pSec-HNP1, which expresses a secretable form of HNP1, to obtain expression of HNP1 in the tumor milieu in immunocompetent mice to explore the possible roles of HNP1 in tumor immunity. The antitumor effects were investigated in established CT26 colon cancer and 4T1 breast cancer models.\n            Results: HNP1-mediated chemotactic and activating effects on immature dendritic cells were detected both in vitro and in vivo. Intratumoral expression of HNP1 resulted in not only significant tumor growth inhibition but also increased CTL infiltration within tumors. Adoptive transfer of splenocytes and a 51Cr release assay revealed specific cellular immune responses. Furthermore, increased antibodies were also found in sera from pSec-HNP1treated mice supporting specific humoral immune responses. Increased apoptosis and decreased angiogenesis were also shown in treated tumors.\n            Conclusions: These findings indicate that HNP1 can exert multiple antitumor effects through different mechanisms; more importantly, HNP1 mediates host immune responses to tumors in situ through the recruitment and subsequent activation of immature dendritic cells and thus shows promising potential in cancer therapy. (Clin Cancer Res 2009;15(22):690111)","container-title":"Clinical Cancer Research","DOI":"10.1158/1078-0432.CCR-09-0484","ISSN":"1078-0432, 1557-3265","issue":"22","language":"en","page":"6901-6911","source":"DOI.org (Crossref)","title":"Intratumoral Expression of Mature Human Neutrophil Peptide-1 Mediates Antitumor Immunity in Mice","URL":"https://aacrjournals.org/clincancerres/article/15/22/6901/75046/Intratumoral-Expression-of-Mature-Human-Neutrophil","volume":"15","author":[{"family":"Wang","given":"Yong-sheng"},{"family":"Li","given":"Dan"},{"family":"Shi","given":"Hua-shan"},{"family":"Wen","given":"Yan-jun"},{"family":"Yang","given":"Li"},{"family":"Xu","given":"Ning"},{"family":"Chen","given":"Xian-cheng"},{"family":"Chen","given":"Xiang"},{"family":"Chen","given":"Ping"},{"family":"Li","given":"Jiong"},{"family":"Deng","given":"Hong-xin"},{"family":"Wang","given":"Chun-ting"},{"family":"Xie","given":"Gang"},{"family":"Huang","given":"Shan"},{"family":"Mao","given":"Yong-qiu"},{"family":"Chen","given":"Li-juan"},{"family":"Zhao","given":"Xia"},{"family":"Wei","given":"Yu-quan"}],"accessed":{"date-parts":[["2022",7,6]]},"issued":{"date-parts":[["2009",11,15]]},"citation-key":"wang_intratumoral_2009"}},{"id":10925,"uris":["http://zotero.org/groups/2667333/items/JE8QULXZ"],"itemData":{"id":10925,"type":"article-journal","container-title":"Cancer Letters","DOI":"10.1016/j.canlet.2008.05.041","ISSN":"03043835","issue":"1","journalAbbreviation":"Cancer Letters","language":"en","page":"47-55","source":"DOI.org (Crossref)","title":"Mechanism of anticancer activity of buforin IIb, a histone H2A-derived peptide","URL":"https://linkinghub.elsevier.com/retrieve/pii/S0304383508004357","volume":"271","author":[{"family":"Lee","given":"Hyun Soo"},{"family":"Park","given":"Chan Bae"},{"family":"Kim","given":"Jung Min"},{"family":"Jang","given":"Su A"},{"family":"Park","given":"In Yup"},{"family":"Kim","given":"Mi Sun"},{"family":"Cho","given":"Ju Hyun"},{"family":"Kim","given":"Sun Chang"}],"accessed":{"date-parts":[["2022",7,6]]},"issued":{"date-parts":[["2008",11]]},"citation-key":"lee_mechanism_2008"}},{"id":10923,"uris":["http://zotero.org/groups/2667333/items/8HM3PBSY"],"itemData":{"id":10923,"type":"article-journal","abstract":"Antimicrobial peptides are a promising resource for developing novel antibiotic and even anticancer drugs. Here, a 28-mer polypeptide, Ranatuerin-2PLx (R2PLx), was identified from lyophilised skin secretions. The chemically synthetic replicates exhibited moderate and broadspectrum antimicrobial effect against various microorganisms including methicillin-resistant Staphylococcus aureus (MRSA, minimal inhibitory concentration = 256 µM). In addition, R2PLx was found to inhibit the proliferation of several tumour cells, especially showing more potent effect on prostate cancer cell, PC-3. The early cell apoptosis was observed in 6 h by Annexin V-FITC/propidium iodide staining, as well as the activation of Caspase-3 at 5 µM peptide concentration. R2PLx may therefore be promising for developing new therapeutic approach for cancer treatment. Moreover, the artificial deficiency of conserved rana-box loop or net positive charge in C-terminal domain notably reduced the biological activities of the truncated and substituted isoforms, respectively, suggesting for maintaining their biological potency of ranatuerin family requires both cysteine-bridged segment and cationincity within the loop domain in C-terminus.","container-title":"Bioscience Reports","DOI":"10.1042/BSR20180710","ISSN":"0144-8463, 1573-4935","issue":"6","language":"en","page":"BSR20180710","source":"DOI.org (Crossref)","title":"A novel antimicrobial peptide, Ranatuerin-2PLx, showing therapeutic potential in inhibiting proliferation of cancer cells","URL":"https://portlandpress.com/bioscirep/article/38/6/BSR20180710/98235/A-novel-antimicrobial-peptide-Ranatuerin-2PLx","volume":"38","author":[{"family":"Chen","given":"Xiaoling"},{"family":"Zhang","given":"Luyao"},{"family":"Ma","given":"Chengbang"},{"family":"Zhang","given":"Yingqi"},{"family":"Xi","given":"Xinping"},{"family":"Wang","given":"Lei"},{"family":"Zhou","given":"Mei"},{"family":"Burrows","given":"James F."},{"family":"Chen","given":"Tianbao"}],"accessed":{"date-parts":[["2022",7,6]]},"issued":{"date-parts":[["2018",12,21]]},"citation-key":"chen_novel_2018"}},{"id":967,"uris":["http://zotero.org/groups/2667333/items/IEGRDIA5"],"itemData":{"id":967,"type":"article-journal","abstract":"https://doi.org/10.18632/oncotarget.8719 Ji-Young Kim, Ji-Hae Han, Geon Park, Young-Woo Seo, Cheol-Won Yun, Byung-Chul Lee, Jeehyeon Bae, Ae Ran Moon, Tae-Hyoung Kim","container-title":"Oncotarget","DOI":"10.18632/oncotarget.8719","ISSN":"1949-2553","issue":"22","note":"publisher: Impact Journals","page":"32449-32461","source":"www.oncotarget.com","title":"Necrosis-inducing peptide has the beneficial effect on killing tumor cells through neuropilin (NRP-1) targeting","URL":"https://www.oncotarget.com/article/8719/text/","volume":"7","author":[{"family":"Kim","given":"Ji-Young"},{"family":"Han","given":"Ji-Hae"},{"family":"Park","given":"Geon"},{"family":"Seo","given":"Young-Woo"},{"family":"Yun","given":"Cheol-Won"},{"family":"Lee","given":"Byung-Chul"},{"family":"Bae","given":"Jeehyeon"},{"family":"Moon","given":"Ae Ran"},{"family":"Kim","given":"Tae-Hyoung"}],"accessed":{"date-parts":[["2020",10,5]]},"issued":{"date-parts":[["2016",4,13]]},"citation-key":"kim_necrosis-inducing_2016"}},{"id":10928,"uris":["http://zotero.org/groups/2667333/items/RPGEXCJ7"],"itemData":{"id":10928,"type":"article-journal","container-title":"Oncotarget","DOI":"10.18632/oncotarget.6520","ISSN":"1949-2553","issue":"2","journalAbbreviation":"Oncotarget","language":"en","page":"2054-2069","source":"DOI.org (Crossref)","title":"Human β-defensin 3 contains an oncolytic motif that binds PI(4,5)P2 to mediate tumour cell permeabilisation","URL":"https://www.oncotarget.com/lookup/doi/10.18632/oncotarget.6520","volume":"7","author":[{"family":"Phan","given":"Thanh Kha"},{"family":"Lay","given":"Fung T."},{"family":"Poon","given":"Ivan K.H."},{"family":"Hinds","given":"Mark G."},{"family":"Kvansakul","given":"Marc"},{"family":"Hulett","given":"Mark D."}],"accessed":{"date-parts":[["2022",7,6]]},"issued":{"date-parts":[["2016",1,12]]},"citation-key":"phan_human_2016"}},{"id":9401,"uris":["http://zotero.org/groups/2667333/items/YEYQEFQR"],"itemData":{"id":9401,"type":"article-journal","abstract":"LTX-315 has been developed as an amphipathic cationic peptide that kills cancer cells. Here, we investigated the putative involvement of mitochondria in the cytotoxic action of LTX-315. Subcellular fractionation of LTX-315-treated cells, followed by mass spectrometric quantification, revealed that the agent was enriched in mitochondria. LTX-315 caused an immediate arrest of mitochondrial respiration without any major uncoupling effect. Accordingly, LTX-315 disrupted the mitochondrial network, dissipated the mitochondrial inner transmembrane potential, and caused the release of mitochondrial intermembrane proteins into the cytosol. LTX-315 was relatively inefficient in stimulating mitophagy. Cells lacking the two pro-apoptotic multidomain proteins from the BCL-2 family, BAX and BAK, were less susceptible to LTX-315-mediated killing. Moreover, cells engineered to lose their mitochondria (by transfection with Parkin combined with treatment with a protonophore causing mitophagy) were relatively resistant against LTX-315, underscoring the importance of this organelle for LTX-315-mediated cytotoxicity. Altogether, these results support the notion that LTX-315 kills cancer cells by virtue of its capacity to permeabilize mitochondrial membranes.","container-title":"Oncotarget","ISSN":"1949-2553","issue":"29","journalAbbreviation":"Oncotarget","note":"PMID: 26378049\nPMCID: PMC4694939","page":"26599-26614","source":"PubMed Central","title":"The oncolytic peptide LTX-315 kills cancer cells through Bax/Bak-regulated mitochondrial membrane permeabilization","URL":"https://www.ncbi.nlm.nih.gov/pmc/articles/PMC4694939/","volume":"6","author":[{"family":"Zhou","given":"Heng"},{"family":"Forveille","given":"Sabrina"},{"family":"Sauvat","given":"Allan"},{"family":"Sica","given":"Valentina"},{"family":"Izzo","given":"Valentina"},{"family":"Durand","given":"Sylvère"},{"family":"Müller","given":"Kevin"},{"family":"Liu","given":"Peng"},{"family":"Zitvogel","given":"Laurence"},{"family":"Rekdal","given":"Øystein"},{"family":"Kepp","given":"Oliver"},{"family":"Kroemer","given":"Guido"}],"accessed":{"date-parts":[["2021",11,3]]},"issued":{"date-parts":[["2015",9,10]]},"citation-key":"zhou_oncolytic_2015-1"}},{"id":9999,"uris":["http://zotero.org/groups/2667333/items/L2R86RC8"],"itemData":{"id":9999,"type":"article-journal","container-title":"OncoImmunology","DOI":"10.1080/2162402X.2019.1594555","ISSN":"2162-402X","issue":"7","journalAbbreviation":"OncoImmunology","language":"en","page":"e1594555","source":"DOI.org (Crossref)","title":"Tumor lysis with LTX-401 creates anticancer immunity","URL":"https://www.tandfonline.com/doi/full/10.1080/2162402X.2019.1594555","volume":"8","author":[{"family":"Xie","given":"Wei"},{"family":"Mondragón","given":"Laura"},{"family":"Mauseth","given":"Brynjar"},{"family":"Wang","given":"Yan"},{"family":"Pol","given":"Jonathan"},{"family":"Lévesque","given":"Sarah"},{"family":"Zhou","given":"Heng"},{"family":"Yamazaki","given":"Takahiro"},{"family":"Eksteen","given":"Johannes J."},{"family":"Zitvogel","given":"Laurence"},{"family":"Sveinbjørnsson","given":"Baldur"},{"family":"Rekdal","given":"Øystein"},{"family":"Kepp","given":"Oliver"},{"family":"Kroemer","given":"Guido"}],"accessed":{"date-parts":[["2022",2,10]]},"issued":{"date-parts":[["2019",7,3]]},"citation-key":"xie_tumor_2019"}},{"id":11082,"uris":["http://zotero.org/groups/2667333/items/AEVUMCBW"],"itemData":{"id":11082,"type":"article-journal","abstract":"Bactenecin (Bac) 5 is a bovine antimicrobial peptide (AMP) capable of killing some species of bacteria through the inhibition of protein synthesis. Bac5 and other AMPs have also been shown to have chemotactic properties and can induce inflammatory cytokine expression by innate immune cells. Recently, AMPs have begun to be investigated for their potential use as novel vaccine adjuvants. In the current work, we characterise the functionality of Bac5 in vitro using murine macrophage-like cells, ex vivo using human tonsil tissue and in vivo using a murine model of vaccination. We report the effects of the peptide in isolation and in the context of co-presentation with mycobacterial antigen and whole, inert Bacillus subtilis spore antigens. We find that Bac5 can trigger the release of nitric oxide from murine macrophages and upregulate surface marker expression including CD86, MHC-I and MHC-II, in the absence of additional agonists. When coupled with mycobacterial Ag85 and B. subtilis spores, Bac5 also enhanced IFNγ secretion. We provide evidence that B. subtilis spores, but not the Bac5 peptide, act as strong adjuvants in promoting antigen-specific immunoglobulin production in Ag85B-vaccinated mice. Our findings suggest that Bac5 is an important regulator of the early cell-mediated host immune response.","container-title":"Antibiotics","DOI":"10.3390/antibiotics9120926","ISSN":"2079-6382","issue":"12","journalAbbreviation":"Antibiotics","language":"en","page":"926","source":"DOI.org (Crossref)","title":"The Antimicrobial Peptide, Bactenecin 5, Supports Cell-Mediated but Not Humoral Immunity in the Context of a Mycobacterial Antigen Vaccine Model","URL":"https://www.mdpi.com/2079-6382/9/12/926","volume":"9","author":[{"family":"Munshi","given":"Tulika"},{"family":"Sparrow","given":"Adam"},{"family":"Wren","given":"Brendan W."},{"family":"Reljic","given":"Rajko"},{"family":"Willcocks","given":"Samuel J."}],"accessed":{"date-parts":[["2022",7,6]]},"issued":{"date-parts":[["2020",12,19]]},"citation-key":"munshi_antimicrobial_2020"}},{"id":11084,"uris":["http://zotero.org/groups/2667333/items/IFE395PM"],"itemData":{"id":11084,"type":"article-journal","container-title":"Scandinavian Journal of Immunology","DOI":"10.1111/j.1365-3083.2008.02225.x","ISSN":"03009475, 13653083","issue":"3","language":"en","page":"194-202","source":"DOI.org (Crossref)","title":"IC31 &lt;sup&gt;®&lt;/sup&gt; , a Two-Component Novel Adjuvant Mixed with a Conjugate Vaccine Enhances Protective Immunity against Pneumococcal Disease in Neonatal Mice","URL":"https://onlinelibrary.wiley.com/doi/10.1111/j.1365-3083.2008.02225.x","volume":"69","author":[{"family":"Olafsdottir","given":"T. A."},{"family":"Lingnau","given":"K."},{"family":"Nagy","given":"E."},{"family":"Jonsdottir","given":"I."}],"accessed":{"date-parts":[["2022",7,6]]},"issued":{"date-parts":[["2009",3]]},"citation-key":"olafsdottir_ic31_2009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101–105,109,113–115</w:t>
            </w:r>
            <w:r w:rsidRPr="002A7128">
              <w:rPr>
                <w:rFonts w:ascii="Calibri" w:hAnsi="Calibri" w:cs="Calibri"/>
              </w:rPr>
              <w:fldChar w:fldCharType="end"/>
            </w:r>
          </w:p>
        </w:tc>
      </w:tr>
    </w:tbl>
    <w:p w14:paraId="0A5072F3" w14:textId="77777777" w:rsidR="00A27485" w:rsidRPr="002A7128" w:rsidRDefault="00A27485" w:rsidP="00A27485">
      <w:pPr>
        <w:spacing w:line="480" w:lineRule="auto"/>
        <w:jc w:val="both"/>
        <w:rPr>
          <w:rFonts w:ascii="Calibri" w:hAnsi="Calibri" w:cs="Calibri"/>
        </w:rPr>
      </w:pPr>
    </w:p>
    <w:p w14:paraId="4B567F70" w14:textId="59F3FBEA" w:rsidR="00A27485" w:rsidRPr="002A7128" w:rsidRDefault="00A27485">
      <w:pPr>
        <w:pStyle w:val="Heading2"/>
        <w:numPr>
          <w:ilvl w:val="2"/>
          <w:numId w:val="2"/>
        </w:numPr>
        <w:spacing w:line="480" w:lineRule="auto"/>
        <w:jc w:val="both"/>
        <w:rPr>
          <w:rFonts w:ascii="Calibri" w:hAnsi="Calibri" w:cs="Calibri"/>
        </w:rPr>
      </w:pPr>
      <w:bookmarkStart w:id="37" w:name="_Toc115787974"/>
      <w:bookmarkStart w:id="38" w:name="_Toc120794132"/>
      <w:r w:rsidRPr="002A7128">
        <w:rPr>
          <w:rFonts w:ascii="Calibri" w:hAnsi="Calibri" w:cs="Calibri"/>
        </w:rPr>
        <w:lastRenderedPageBreak/>
        <w:t>Protein/Peptide aggregation</w:t>
      </w:r>
      <w:bookmarkEnd w:id="37"/>
      <w:bookmarkEnd w:id="38"/>
    </w:p>
    <w:p w14:paraId="5063B724" w14:textId="454E3535" w:rsidR="00A27485" w:rsidRPr="002A7128" w:rsidRDefault="00A27485" w:rsidP="00A27485">
      <w:pPr>
        <w:spacing w:line="480" w:lineRule="auto"/>
        <w:jc w:val="both"/>
        <w:rPr>
          <w:rFonts w:ascii="Calibri" w:hAnsi="Calibri" w:cs="Calibri"/>
        </w:rPr>
      </w:pPr>
      <w:r w:rsidRPr="002A7128">
        <w:rPr>
          <w:rFonts w:ascii="Calibri" w:hAnsi="Calibri" w:cs="Calibri"/>
        </w:rPr>
        <w:t xml:space="preserve">Aggregation of proteins/peptides such as </w:t>
      </w:r>
      <w:r w:rsidR="00453128">
        <w:rPr>
          <w:rFonts w:ascii="Calibri" w:hAnsi="Calibri" w:cs="Calibri"/>
        </w:rPr>
        <w:t>A</w:t>
      </w:r>
      <w:r w:rsidR="00453128" w:rsidRPr="00453128">
        <w:rPr>
          <w:rFonts w:ascii="Symbol" w:hAnsi="Symbol" w:cs="Calibri"/>
        </w:rPr>
        <w:t>b</w:t>
      </w:r>
      <w:r w:rsidRPr="002A7128">
        <w:rPr>
          <w:rFonts w:ascii="Calibri" w:hAnsi="Calibri" w:cs="Calibri"/>
        </w:rPr>
        <w:t xml:space="preserve">, huntingtin and </w:t>
      </w:r>
      <w:r w:rsidR="001A4BC3" w:rsidRPr="002A7128">
        <w:rPr>
          <w:rFonts w:ascii="Calibri" w:hAnsi="Calibri" w:cs="Calibri"/>
        </w:rPr>
        <w:sym w:font="Symbol" w:char="F020"/>
      </w:r>
      <w:r w:rsidR="001A4BC3" w:rsidRPr="002A7128">
        <w:rPr>
          <w:rFonts w:ascii="Calibri" w:hAnsi="Calibri" w:cs="Calibri"/>
        </w:rPr>
        <w:sym w:font="Symbol" w:char="F061"/>
      </w:r>
      <w:r w:rsidRPr="002A7128">
        <w:rPr>
          <w:rFonts w:ascii="Calibri" w:hAnsi="Calibri" w:cs="Calibri"/>
        </w:rPr>
        <w:t xml:space="preserve">-synuclein are common hallmarks of neurodegenerative diseases such as Alzheimer’s, Huntington, and Parkinson diseases. Neuroinflammation is one of the consequences </w:t>
      </w:r>
      <w:r w:rsidR="00453128" w:rsidRPr="002A7128">
        <w:rPr>
          <w:rFonts w:ascii="Calibri" w:hAnsi="Calibri" w:cs="Calibri"/>
        </w:rPr>
        <w:t>aggregations</w:t>
      </w:r>
      <w:r w:rsidRPr="002A7128">
        <w:rPr>
          <w:rFonts w:ascii="Calibri" w:hAnsi="Calibri" w:cs="Calibri"/>
        </w:rPr>
        <w:t>, which recently was linked to DAMPs. Damaged/dying cells activate local immune cells like astrocytes and microglia through release of DAMPs</w:t>
      </w:r>
      <w:r w:rsidRPr="002A7128">
        <w:rPr>
          <w:rFonts w:ascii="Calibri" w:hAnsi="Calibri" w:cs="Calibri"/>
        </w:rPr>
        <w:fldChar w:fldCharType="begin"/>
      </w:r>
      <w:r w:rsidR="00A64B61" w:rsidRPr="002A7128">
        <w:rPr>
          <w:rFonts w:ascii="Calibri" w:hAnsi="Calibri" w:cs="Calibri"/>
        </w:rPr>
        <w:instrText xml:space="preserve"> ADDIN ZOTERO_ITEM CSL_CITATION {"citationID":"WTcMdAl9","properties":{"formattedCitation":"\\super 117\\nosupersub{}","plainCitation":"117","noteIndex":0},"citationItems":[{"id":10477,"uris":["http://zotero.org/groups/2667333/items/8YLH8426"],"itemData":{"id":10477,"type":"article-journal","abstract":"Abstract\n            \n              Both mitochondrial dysfunction and neuroinflammation are implicated in neurodegeneration and neurodegenerative diseases. Accumulating evidence shows multiple links between mitochondrial dysfunction and neuroinflammation. Mitochondrial-derived damage-associated molecular patterns (DAMPs) are recognized by immune receptors of microglia and aggravate neuroinflammation. On the other hand, inflammatory factors released by activated glial cells trigger an intracellular cascade, which regulates mitochondrial metabolism and function. The crosstalk between mitochondrial dysfunction and neuroinflammatory activation is a complex and dynamic process. There is strong evidence that mitochondrial dysfunction precedes neuroinflammation during the progression of diseases. Thus, an in-depth understanding of the specific molecular mechanisms associated with mitochondrial dysfunction and the progression of neuroinflammation in neurodegenerative diseases may contribute to the identification of new targets for the treatment of diseases. In this review, we describe in detail the DAMPs that induce or aggravate neuroinflammation in neurodegenerative diseases including mtDNA, mitochondrial unfolded protein response (mtUPR), mitochondrial reactive oxygen species (mtROS), adenosine triphosphate (ATP), transcription factor A mitochondria (TFAM), cardiolipin, cytochrome\n              c\n              , mitochondrial Ca\n              2+\n              and iron.","container-title":"Acta Pharmacologica Sinica","DOI":"10.1038/s41401-022-00879-6","ISSN":"1671-4083, 1745-7254","journalAbbreviation":"Acta Pharmacol Sin","language":"en","source":"DOI.org (Crossref)","title":"Mitochondrial-derived damage-associated molecular patterns amplify neuroinflammation in neurodegenerative diseases","URL":"https://www.nature.com/articles/s41401-022-00879-6","author":[{"family":"Lin","given":"Miao-miao"},{"family":"Liu","given":"Na"},{"family":"Qin","given":"Zheng-hong"},{"family":"Wang","given":"Yan"}],"accessed":{"date-parts":[["2022",5,3]]},"issued":{"date-parts":[["2022",3,1]]},"citation-key":"lin_mitochondrial-derived_2022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117</w:t>
      </w:r>
      <w:r w:rsidRPr="002A7128">
        <w:rPr>
          <w:rFonts w:ascii="Calibri" w:hAnsi="Calibri" w:cs="Calibri"/>
        </w:rPr>
        <w:fldChar w:fldCharType="end"/>
      </w:r>
      <w:r w:rsidRPr="002A7128">
        <w:rPr>
          <w:rFonts w:ascii="Calibri" w:hAnsi="Calibri" w:cs="Calibri"/>
        </w:rPr>
        <w:t>, elevating inflammation. One major example of DAMPs that is associated with aggregation in these disease conditions is mitochondrial DNA (</w:t>
      </w:r>
      <w:proofErr w:type="spellStart"/>
      <w:r w:rsidRPr="002A7128">
        <w:rPr>
          <w:rFonts w:ascii="Calibri" w:hAnsi="Calibri" w:cs="Calibri"/>
        </w:rPr>
        <w:t>mtDNA</w:t>
      </w:r>
      <w:proofErr w:type="spellEnd"/>
      <w:r w:rsidRPr="002A7128">
        <w:rPr>
          <w:rFonts w:ascii="Calibri" w:hAnsi="Calibri" w:cs="Calibri"/>
        </w:rPr>
        <w:t xml:space="preserve">). Degraded </w:t>
      </w:r>
      <w:proofErr w:type="spellStart"/>
      <w:r w:rsidRPr="002A7128">
        <w:rPr>
          <w:rFonts w:ascii="Calibri" w:hAnsi="Calibri" w:cs="Calibri"/>
        </w:rPr>
        <w:t>mtDNA</w:t>
      </w:r>
      <w:proofErr w:type="spellEnd"/>
      <w:r w:rsidRPr="002A7128">
        <w:rPr>
          <w:rFonts w:ascii="Calibri" w:hAnsi="Calibri" w:cs="Calibri"/>
        </w:rPr>
        <w:t xml:space="preserve"> activates astrocytes to release IL-6, monocyte chemotactic protein-1, TNF-</w:t>
      </w:r>
      <w:r w:rsidRPr="006A1E55">
        <w:rPr>
          <w:rFonts w:ascii="Symbol" w:hAnsi="Symbol" w:cs="Calibri"/>
        </w:rPr>
        <w:t xml:space="preserve">a </w:t>
      </w:r>
      <w:r w:rsidRPr="002A7128">
        <w:rPr>
          <w:rFonts w:ascii="Calibri" w:hAnsi="Calibri" w:cs="Calibri"/>
        </w:rPr>
        <w:t>and IL-1</w:t>
      </w:r>
      <w:r w:rsidRPr="006A1E55">
        <w:rPr>
          <w:rFonts w:ascii="Symbol" w:hAnsi="Symbol" w:cs="Calibri"/>
        </w:rPr>
        <w:t>b</w:t>
      </w:r>
      <w:r w:rsidRPr="002A7128">
        <w:rPr>
          <w:rFonts w:ascii="Calibri" w:hAnsi="Calibri" w:cs="Calibri"/>
        </w:rPr>
        <w:t>, all of which increase inflammation</w:t>
      </w:r>
      <w:r w:rsidRPr="002A7128">
        <w:rPr>
          <w:rFonts w:ascii="Calibri" w:hAnsi="Calibri" w:cs="Calibri"/>
        </w:rPr>
        <w:fldChar w:fldCharType="begin"/>
      </w:r>
      <w:r w:rsidR="00317E7D" w:rsidRPr="002A7128">
        <w:rPr>
          <w:rFonts w:ascii="Calibri" w:hAnsi="Calibri" w:cs="Calibri"/>
        </w:rPr>
        <w:instrText xml:space="preserve"> ADDIN ZOTERO_ITEM CSL_CITATION {"citationID":"8JYRpjQU","properties":{"formattedCitation":"\\super 36\\nosupersub{}","plainCitation":"36","noteIndex":0},"citationItems":[{"id":10486,"uris":["http://zotero.org/groups/2667333/items/F7IZFUNX"],"itemData":{"id":10486,"type":"article-journal","container-title":"Journal of Alzheimer's Disease","DOI":"10.3233/JAD-2012-120145","ISSN":"18758908, 13872877","issue":"3","journalAbbreviation":"JAD","page":"617-627","source":"DOI.org (Crossref)","title":"Degraded Mitochondrial DNA is a Newly Identified Subtype of the Damage Associated Molecular Pattern (DAMP) Family and Possible Trigger of Neurodegeneration","URL":"https://www.medra.org/servlet/aliasResolver?alias=iospress&amp;doi=10.3233/JAD-2012-120145","volume":"30","author":[{"family":"Mathew","given":"Alex"},{"family":"Lindsley","given":"Tara A."},{"family":"Sheridan","given":"Anna"},{"family":"Bhoiwala","given":"Devang L."},{"family":"Hushmendy","given":"Shazaan F."},{"family":"Yager","given":"Eric J."},{"family":"Ruggiero","given":"Elizabeth A."},{"family":"Crawford","given":"Dana R."}],"accessed":{"date-parts":[["2022",5,3]]},"issued":{"date-parts":[["2012",6,4]]},"citation-key":"mathew_degraded_2012"}}],"schema":"https://github.com/citation-style-language/schema/raw/master/csl-citation.json"}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36</w:t>
      </w:r>
      <w:r w:rsidRPr="002A7128">
        <w:rPr>
          <w:rFonts w:ascii="Calibri" w:hAnsi="Calibri" w:cs="Calibri"/>
        </w:rPr>
        <w:fldChar w:fldCharType="end"/>
      </w:r>
      <w:r w:rsidRPr="002A7128">
        <w:rPr>
          <w:rFonts w:ascii="Calibri" w:hAnsi="Calibri" w:cs="Calibri"/>
        </w:rPr>
        <w:t>. Cerebrospinal fluid analyses also indicate the presence of mtDNA</w:t>
      </w:r>
      <w:r w:rsidRPr="002A7128">
        <w:rPr>
          <w:rFonts w:ascii="Calibri" w:hAnsi="Calibri" w:cs="Calibri"/>
        </w:rPr>
        <w:fldChar w:fldCharType="begin"/>
      </w:r>
      <w:r w:rsidR="00A64B61" w:rsidRPr="002A7128">
        <w:rPr>
          <w:rFonts w:ascii="Calibri" w:hAnsi="Calibri" w:cs="Calibri"/>
        </w:rPr>
        <w:instrText xml:space="preserve"> ADDIN ZOTERO_ITEM CSL_CITATION {"citationID":"waipGuZh","properties":{"formattedCitation":"\\super 118\\nosupersub{}","plainCitation":"118","noteIndex":0},"citationItems":[{"id":10552,"uris":["http://zotero.org/groups/2667333/items/VB85HALV"],"itemData":{"id":10552,"type":"article-journal","container-title":"Frontiers in Immunology","DOI":"10.3389/fimmu.2019.01064","ISSN":"1664-3224","journalAbbreviation":"Front. Immunol.","page":"1064","source":"DOI.org (Crossref)","title":"ccf-mtDNA as a Potential Link Between the Brain and Immune System in Neuro-Immunological Disorders","URL":"https://www.frontiersin.org/article/10.3389/fimmu.2019.01064/full","volume":"10","author":[{"family":"Gambardella","given":"Stefano"},{"family":"Limanaqi","given":"Fiona"},{"family":"Ferese","given":"Rosangela"},{"family":"Biagioni","given":"Francesca"},{"family":"Campopiano","given":"Rosa"},{"family":"Centonze","given":"Diego"},{"family":"Fornai","given":"Francesco"}],"accessed":{"date-parts":[["2022",5,16]]},"issued":{"date-parts":[["2019",5,9]]},"citation-key":"gambardella_ccf-mtdna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118</w:t>
      </w:r>
      <w:r w:rsidRPr="002A7128">
        <w:rPr>
          <w:rFonts w:ascii="Calibri" w:hAnsi="Calibri" w:cs="Calibri"/>
        </w:rPr>
        <w:fldChar w:fldCharType="end"/>
      </w:r>
      <w:r w:rsidRPr="002A7128">
        <w:rPr>
          <w:rFonts w:ascii="Calibri" w:hAnsi="Calibri" w:cs="Calibri"/>
        </w:rPr>
        <w:t xml:space="preserve">. Moreover, administration of </w:t>
      </w:r>
      <w:proofErr w:type="spellStart"/>
      <w:r w:rsidRPr="002A7128">
        <w:rPr>
          <w:rFonts w:ascii="Calibri" w:hAnsi="Calibri" w:cs="Calibri"/>
        </w:rPr>
        <w:t>mtDNA</w:t>
      </w:r>
      <w:proofErr w:type="spellEnd"/>
      <w:r w:rsidRPr="002A7128">
        <w:rPr>
          <w:rFonts w:ascii="Calibri" w:hAnsi="Calibri" w:cs="Calibri"/>
        </w:rPr>
        <w:t xml:space="preserve"> or its degradation products lead to increased inflammation and Alzheimer’s disease like phenotype in the hippocampus of C57BL/6 mice</w:t>
      </w:r>
      <w:r w:rsidRPr="002A7128">
        <w:rPr>
          <w:rFonts w:ascii="Calibri" w:hAnsi="Calibri" w:cs="Calibri"/>
        </w:rPr>
        <w:fldChar w:fldCharType="begin"/>
      </w:r>
      <w:r w:rsidR="00A64B61" w:rsidRPr="002A7128">
        <w:rPr>
          <w:rFonts w:ascii="Calibri" w:hAnsi="Calibri" w:cs="Calibri"/>
        </w:rPr>
        <w:instrText xml:space="preserve"> ADDIN ZOTERO_ITEM CSL_CITATION {"citationID":"sci9CTjQ","properties":{"formattedCitation":"\\super 119\\nosupersub{}","plainCitation":"119","noteIndex":0},"citationItems":[{"id":10487,"uris":["http://zotero.org/groups/2667333/items/C9MD3KD7"],"itemData":{"id":10487,"type":"article-journal","container-title":"Journal of Neuroimmune Pharmacology","DOI":"10.1007/s11481-016-9704-7","ISSN":"1557-1890, 1557-1904","issue":"4","journalAbbreviation":"J Neuroimmune Pharmacol","language":"en","page":"622-628","source":"DOI.org (Crossref)","title":"Extracellular Mitochondria and Mitochondrial Components Act as Damage-Associated Molecular Pattern Molecules in the Mouse Brain","URL":"http://link.springer.com/10.1007/s11481-016-9704-7","volume":"11","author":[{"family":"Wilkins","given":"Heather M."},{"family":"Koppel","given":"Scott J."},{"family":"Weidling","given":"Ian W."},{"family":"Roy","given":"Nairita"},{"family":"Ryan","given":"Lauren N."},{"family":"Stanford","given":"John A."},{"family":"Swerdlow","given":"Russell H."}],"accessed":{"date-parts":[["2022",5,3]]},"issued":{"date-parts":[["2016",12]]},"citation-key":"wilkins_extracellular_2016"}}],"schema":"https://github.com/citation-style-language/schema/raw/master/csl-citation.json"}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119</w:t>
      </w:r>
      <w:r w:rsidRPr="002A7128">
        <w:rPr>
          <w:rFonts w:ascii="Calibri" w:hAnsi="Calibri" w:cs="Calibri"/>
        </w:rPr>
        <w:fldChar w:fldCharType="end"/>
      </w:r>
      <w:r w:rsidRPr="002A7128">
        <w:rPr>
          <w:rFonts w:ascii="Calibri" w:hAnsi="Calibri" w:cs="Calibri"/>
        </w:rPr>
        <w:t>. Another DAMP found in cerebrospinal fluid is HMGB-1</w:t>
      </w:r>
      <w:r w:rsidRPr="002A7128">
        <w:rPr>
          <w:rFonts w:ascii="Calibri" w:hAnsi="Calibri" w:cs="Calibri"/>
        </w:rPr>
        <w:fldChar w:fldCharType="begin"/>
      </w:r>
      <w:r w:rsidR="00A64B61" w:rsidRPr="002A7128">
        <w:rPr>
          <w:rFonts w:ascii="Calibri" w:hAnsi="Calibri" w:cs="Calibri"/>
        </w:rPr>
        <w:instrText xml:space="preserve"> ADDIN ZOTERO_ITEM CSL_CITATION {"citationID":"NEjWN5zv","properties":{"formattedCitation":"\\super 120\\nosupersub{}","plainCitation":"120","noteIndex":0},"citationItems":[{"id":10473,"uris":["http://zotero.org/groups/2667333/items/DILYG3E4"],"itemData":{"id":10473,"type":"article-journal","abstract":"Abstract\n            The timing and characteristics of neuronal death in Alzheimer’s disease (AD) remain largely unknown. Here we examine AD mouse models with an original marker, myristoylated alanine-rich C-kinase substrate phosphorylated at serine 46 (pSer46-MARCKS), and reveal an increase of neuronal necrosis during pre-symptomatic phase and a subsequent decrease during symptomatic phase. Postmortem brains of mild cognitive impairment (MCI) rather than symptomatic AD patients reveal a remarkable increase of necrosis. In vivo imaging reveals instability of endoplasmic reticulum (ER) in mouse AD models and genome-edited human AD iPS cell-derived neurons. The level of nuclear Yes-associated protein (YAP) is remarkably decreased in such neurons under AD pathology due to the sequestration into cytoplasmic amyloid beta (Aβ) aggregates, supporting the feature of YAP-dependent necrosis. Suppression of early-stage neuronal death by AAV-YAPdeltaC reduces the later-stage extracellular Aβ burden and cognitive impairment, suggesting that preclinical/prodromal YAP-dependent neuronal necrosis represents a target for AD therapeutics.","container-title":"Nature Communications","DOI":"10.1038/s41467-020-14353-6","ISSN":"2041-1723","issue":"1","journalAbbreviation":"Nat Commun","language":"en","page":"507","source":"DOI.org (Crossref)","title":"YAP-dependent necrosis occurs in early stages of Alzheimer’s disease and regulates mouse model pathology","URL":"http://www.nature.com/articles/s41467-020-14353-6","volume":"11","author":[{"family":"Tanaka","given":"Hikari"},{"family":"Homma","given":"Hidenori"},{"family":"Fujita","given":"Kyota"},{"family":"Kondo","given":"Kanoh"},{"family":"Yamada","given":"Shingo"},{"family":"Jin","given":"Xiaocen"},{"family":"Waragai","given":"Masaaki"},{"family":"Ohtomo","given":"Gaku"},{"family":"Iwata","given":"Atsushi"},{"family":"Tagawa","given":"Kazuhiko"},{"family":"Atsuta","given":"Naoki"},{"family":"Katsuno","given":"Masahisa"},{"family":"Tomita","given":"Naoki"},{"family":"Furukawa","given":"Katsutoshi"},{"family":"Saito","given":"Yuko"},{"family":"Saito","given":"Takashi"},{"family":"Ichise","given":"Ayaka"},{"family":"Shibata","given":"Shinsuke"},{"family":"Arai","given":"Hiroyuki"},{"family":"Saido","given":"Takaomi"},{"family":"Sudol","given":"Marius"},{"family":"Muramatsu","given":"Shin-ichi"},{"family":"Okano","given":"Hideyuki"},{"family":"Mufson","given":"Elliott J."},{"family":"Sobue","given":"Gen"},{"family":"Murayama","given":"Shigeo"},{"family":"Okazawa","given":"Hitoshi"}],"accessed":{"date-parts":[["2022",5,2]]},"issued":{"date-parts":[["2020",12]]},"citation-key":"tanaka_yap-dependent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120</w:t>
      </w:r>
      <w:r w:rsidRPr="002A7128">
        <w:rPr>
          <w:rFonts w:ascii="Calibri" w:hAnsi="Calibri" w:cs="Calibri"/>
        </w:rPr>
        <w:fldChar w:fldCharType="end"/>
      </w:r>
      <w:r w:rsidRPr="002A7128">
        <w:rPr>
          <w:rFonts w:ascii="Calibri" w:hAnsi="Calibri" w:cs="Calibri"/>
        </w:rPr>
        <w:t xml:space="preserve">. As mentioned before, one of the receptors HMGB-1 interacts is TLR-4 (Table 1) and loss of function in </w:t>
      </w:r>
      <w:r w:rsidRPr="002A7128">
        <w:rPr>
          <w:rFonts w:ascii="Calibri" w:hAnsi="Calibri" w:cs="Calibri"/>
          <w:i/>
          <w:iCs/>
        </w:rPr>
        <w:t>tlr4</w:t>
      </w:r>
      <w:r w:rsidRPr="002A7128">
        <w:rPr>
          <w:rFonts w:ascii="Calibri" w:hAnsi="Calibri" w:cs="Calibri"/>
        </w:rPr>
        <w:t xml:space="preserve"> has been shown to reduce the inflammatory profile induced by Ab aggregation</w:t>
      </w:r>
      <w:r w:rsidRPr="002A7128">
        <w:rPr>
          <w:rFonts w:ascii="Calibri" w:hAnsi="Calibri" w:cs="Calibri"/>
        </w:rPr>
        <w:fldChar w:fldCharType="begin"/>
      </w:r>
      <w:r w:rsidR="00A64B61" w:rsidRPr="002A7128">
        <w:rPr>
          <w:rFonts w:ascii="Calibri" w:hAnsi="Calibri" w:cs="Calibri"/>
        </w:rPr>
        <w:instrText xml:space="preserve"> ADDIN ZOTERO_ITEM CSL_CITATION {"citationID":"E3pXYUR5","properties":{"formattedCitation":"\\super 121\\nosupersub{}","plainCitation":"121","noteIndex":0},"citationItems":[{"id":10489,"uris":["http://zotero.org/groups/2667333/items/PYRUMHCE"],"itemData":{"id":10489,"type":"article-journal","container-title":"Cellular Physiology and Biochemistry","DOI":"10.1159/000110455","ISSN":"1015-8987, 1421-9778","issue":"6","journalAbbreviation":"Cell Physiol Biochem","language":"en","page":"947-956","source":"DOI.org (Crossref)","title":"Role of the Toll-Like Receptor 4 in Neuroinflammation in Alzheimer’s Disease","URL":"https://www.karger.com/Article/FullText/110455","volume":"20","author":[{"family":"Walter","given":"Silke"},{"family":"Letiembre","given":"Maryse"},{"family":"Liu","given":"Yang"},{"family":"Heine","given":"Holger"},{"family":"Penke","given":"Botond"},{"family":"Hao","given":"Wenlin"},{"family":"Bode","given":"Barbara"},{"family":"Manietta","given":"Nicole"},{"family":"Walter","given":"Jessica"},{"family":"Schulz-Schüffer","given":"Walter"},{"family":"Fassbender","given":"Klaus"}],"accessed":{"date-parts":[["2022",5,3]]},"issued":{"date-parts":[["2007"]]},"citation-key":"walter_role_2007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121</w:t>
      </w:r>
      <w:r w:rsidRPr="002A7128">
        <w:rPr>
          <w:rFonts w:ascii="Calibri" w:hAnsi="Calibri" w:cs="Calibri"/>
        </w:rPr>
        <w:fldChar w:fldCharType="end"/>
      </w:r>
      <w:r w:rsidRPr="002A7128">
        <w:rPr>
          <w:rFonts w:ascii="Calibri" w:hAnsi="Calibri" w:cs="Calibri"/>
        </w:rPr>
        <w:t xml:space="preserve">.   </w:t>
      </w:r>
    </w:p>
    <w:p w14:paraId="1C75B68C" w14:textId="24B78FD5" w:rsidR="00A27485" w:rsidRPr="002A7128" w:rsidRDefault="007D711E" w:rsidP="00A27485">
      <w:pPr>
        <w:spacing w:line="480" w:lineRule="auto"/>
        <w:jc w:val="both"/>
        <w:rPr>
          <w:rFonts w:ascii="Calibri" w:hAnsi="Calibri" w:cs="Calibri"/>
        </w:rPr>
      </w:pPr>
      <w:r w:rsidRPr="002A7128">
        <w:rPr>
          <w:rFonts w:ascii="Calibri" w:hAnsi="Calibri" w:cs="Calibri"/>
        </w:rPr>
        <w:t xml:space="preserve">Ab peptides are produced through the proteolytic cleavage of amyloid precursor protein and aggregate to induce cell death once cleaved. Additionally, it </w:t>
      </w:r>
      <w:r w:rsidR="00A27485" w:rsidRPr="002A7128">
        <w:rPr>
          <w:rFonts w:ascii="Calibri" w:hAnsi="Calibri" w:cs="Calibri"/>
        </w:rPr>
        <w:t xml:space="preserve">engages cell stress; such as ER stress marker and ICD marker: phosphorylation of </w:t>
      </w:r>
      <w:r w:rsidR="005140F7">
        <w:rPr>
          <w:rFonts w:ascii="Calibri" w:hAnsi="Calibri" w:cs="Calibri"/>
        </w:rPr>
        <w:t>eIF2</w:t>
      </w:r>
      <w:r w:rsidR="005140F7" w:rsidRPr="005140F7">
        <w:rPr>
          <w:rFonts w:ascii="Symbol" w:hAnsi="Symbol" w:cs="Calibri"/>
        </w:rPr>
        <w:t></w:t>
      </w:r>
      <w:r w:rsidR="00A27485" w:rsidRPr="002A7128">
        <w:rPr>
          <w:rFonts w:ascii="Calibri" w:hAnsi="Calibri" w:cs="Calibri"/>
        </w:rPr>
        <w:fldChar w:fldCharType="begin"/>
      </w:r>
      <w:r w:rsidR="00317E7D" w:rsidRPr="002A7128">
        <w:rPr>
          <w:rFonts w:ascii="Calibri" w:hAnsi="Calibri" w:cs="Calibri"/>
        </w:rPr>
        <w:instrText xml:space="preserve"> ADDIN ZOTERO_ITEM CSL_CITATION {"citationID":"yBGzUOOv","properties":{"formattedCitation":"\\super 54\\nosupersub{}","plainCitation":"54","noteIndex":0},"citationItems":[{"id":10265,"uris":["http://zotero.org/groups/2667333/items/GSRJJ3GT"],"itemData":{"id":10265,"type":"article-journal","container-title":"Cell Death &amp; Differentiation","DOI":"10.1038/s41418-017-0044-9","ISSN":"1350-9047, 1476-5403","issue":"8","journalAbbreviation":"Cell Death Differ","language":"en","page":"1375-1393","source":"DOI.org (Crossref)","title":"eIF2α phosphorylation is pathognomonic for immunogenic cell death","URL":"http://www.nature.com/articles/s41418-017-0044-9","volume":"25","author":[{"family":"Bezu","given":"Lucillia"},{"family":"Sauvat","given":"Allan"},{"family":"Humeau","given":"Juliette"},{"family":"Gomes-da-Silva","given":"Lígia C."},{"family":"Iribarren","given":"Kristina"},{"family":"Forveille","given":"Sabrina"},{"family":"Garcia","given":"Pauline"},{"family":"Zhao","given":"Liwei"},{"family":"Liu","given":"Peng"},{"family":"Zitvogel","given":"Laurence"},{"family":"Senovilla","given":"Laura"},{"family":"Kepp","given":"Oliver"},{"family":"Kroemer","given":"Guido"}],"accessed":{"date-parts":[["2022",4,18]]},"issued":{"date-parts":[["2018",8]]},"citation-key":"bezu_eif2_2018"}}],"schema":"https://github.com/citation-style-language/schema/raw/master/csl-citation.json"} </w:instrText>
      </w:r>
      <w:r w:rsidR="00A27485" w:rsidRPr="002A7128">
        <w:rPr>
          <w:rFonts w:ascii="Calibri" w:hAnsi="Calibri" w:cs="Calibri"/>
        </w:rPr>
        <w:fldChar w:fldCharType="separate"/>
      </w:r>
      <w:r w:rsidR="00317E7D" w:rsidRPr="002A7128">
        <w:rPr>
          <w:rFonts w:ascii="Calibri" w:hAnsi="Calibri" w:cs="Calibri"/>
          <w:vertAlign w:val="superscript"/>
        </w:rPr>
        <w:t>54</w:t>
      </w:r>
      <w:r w:rsidR="00A27485" w:rsidRPr="002A7128">
        <w:rPr>
          <w:rFonts w:ascii="Calibri" w:hAnsi="Calibri" w:cs="Calibri"/>
        </w:rPr>
        <w:fldChar w:fldCharType="end"/>
      </w:r>
      <w:r w:rsidR="00A27485" w:rsidRPr="002A7128">
        <w:rPr>
          <w:rFonts w:ascii="Calibri" w:hAnsi="Calibri" w:cs="Calibri"/>
        </w:rPr>
        <w:t>. Ab aggregation induces eIF2</w:t>
      </w:r>
      <w:r w:rsidR="00A27485" w:rsidRPr="005140F7">
        <w:rPr>
          <w:rFonts w:ascii="Symbol" w:hAnsi="Symbol" w:cs="Calibri"/>
        </w:rPr>
        <w:t xml:space="preserve">a </w:t>
      </w:r>
      <w:r w:rsidR="00A27485" w:rsidRPr="002A7128">
        <w:rPr>
          <w:rFonts w:ascii="Calibri" w:hAnsi="Calibri" w:cs="Calibri"/>
        </w:rPr>
        <w:t>phosphorylation in human neuroblastoma cells</w:t>
      </w:r>
      <w:r w:rsidR="00A27485" w:rsidRPr="002A7128">
        <w:rPr>
          <w:rFonts w:ascii="Calibri" w:hAnsi="Calibri" w:cs="Calibri"/>
        </w:rPr>
        <w:fldChar w:fldCharType="begin"/>
      </w:r>
      <w:r w:rsidR="00A64B61" w:rsidRPr="002A7128">
        <w:rPr>
          <w:rFonts w:ascii="Calibri" w:hAnsi="Calibri" w:cs="Calibri"/>
        </w:rPr>
        <w:instrText xml:space="preserve"> ADDIN ZOTERO_ITEM CSL_CITATION {"citationID":"wpBBHYJx","properties":{"formattedCitation":"\\super 122\\nosupersub{}","plainCitation":"122","noteIndex":0},"citationItems":[{"id":10483,"uris":["http://zotero.org/groups/2667333/items/LF5MA9N7"],"itemData":{"id":10483,"type":"article-journal","container-title":"PLoS ONE","DOI":"10.1371/journal.pone.0010489","ISSN":"1932-6203","issue":"5","journalAbbreviation":"PLoS ONE","language":"en","page":"e10489","source":"DOI.org (Crossref)","title":"Activation of PERK Signaling Attenuates Aβ-Mediated ER Stress","URL":"https://dx.plos.org/10.1371/journal.pone.0010489","volume":"5","author":[{"family":"Lee","given":"Do Yeon"},{"family":"Lee","given":"Kyu-Sun"},{"family":"Lee","given":"Hyun Jung"},{"family":"Kim","given":"Do Hee"},{"family":"Noh","given":"Yoo Hun"},{"family":"Yu","given":"Kweon"},{"family":"Jung","given":"Hee-Yeon"},{"family":"Lee","given":"Sang Hyung"},{"family":"Lee","given":"Jun Young"},{"family":"Youn","given":"Young Chul"},{"family":"Jeong","given":"Yoonhwa"},{"family":"Kim","given":"Dae Kyong"},{"family":"Lee","given":"Won Bok"},{"family":"Kim","given":"Sung Su"}],"editor":[{"family":"Feany","given":"Mel B."}],"accessed":{"date-parts":[["2022",5,3]]},"issued":{"date-parts":[["2010",5,5]]},"citation-key":"lee_activation_2010"}}],"schema":"https://github.com/citation-style-language/schema/raw/master/csl-citation.json"} </w:instrText>
      </w:r>
      <w:r w:rsidR="00A27485" w:rsidRPr="002A7128">
        <w:rPr>
          <w:rFonts w:ascii="Calibri" w:hAnsi="Calibri" w:cs="Calibri"/>
        </w:rPr>
        <w:fldChar w:fldCharType="separate"/>
      </w:r>
      <w:r w:rsidR="00A64B61" w:rsidRPr="002A7128">
        <w:rPr>
          <w:rFonts w:ascii="Calibri" w:hAnsi="Calibri" w:cs="Calibri"/>
          <w:vertAlign w:val="superscript"/>
        </w:rPr>
        <w:t>122</w:t>
      </w:r>
      <w:r w:rsidR="00A27485" w:rsidRPr="002A7128">
        <w:rPr>
          <w:rFonts w:ascii="Calibri" w:hAnsi="Calibri" w:cs="Calibri"/>
        </w:rPr>
        <w:fldChar w:fldCharType="end"/>
      </w:r>
      <w:r w:rsidR="00A27485" w:rsidRPr="002A7128">
        <w:rPr>
          <w:rFonts w:ascii="Calibri" w:hAnsi="Calibri" w:cs="Calibri"/>
        </w:rPr>
        <w:t>. Strikingly, histological analyses from Alzheimer’s patients indicate increased phosphorylation of eIF2</w:t>
      </w:r>
      <w:r w:rsidR="00A27485" w:rsidRPr="005140F7">
        <w:rPr>
          <w:rFonts w:ascii="Symbol" w:hAnsi="Symbol" w:cs="Calibri"/>
        </w:rPr>
        <w:t>a</w:t>
      </w:r>
      <w:r w:rsidR="00A27485" w:rsidRPr="002A7128">
        <w:rPr>
          <w:rFonts w:ascii="Calibri" w:hAnsi="Calibri" w:cs="Calibri"/>
        </w:rPr>
        <w:fldChar w:fldCharType="begin"/>
      </w:r>
      <w:r w:rsidR="00A64B61" w:rsidRPr="002A7128">
        <w:rPr>
          <w:rFonts w:ascii="Calibri" w:hAnsi="Calibri" w:cs="Calibri"/>
        </w:rPr>
        <w:instrText xml:space="preserve"> ADDIN ZOTERO_ITEM CSL_CITATION {"citationID":"7Emt1yDj","properties":{"formattedCitation":"\\super 123\\nosupersub{}","plainCitation":"123","noteIndex":0},"citationItems":[{"id":10485,"uris":["http://zotero.org/groups/2667333/items/LYC3S65E"],"itemData":{"id":10485,"type":"article-journal","container-title":"NeuroReport","DOI":"10.1097/00001756-200212200-00011","ISSN":"0959-4965","issue":"18","journalAbbreviation":"NeuroReport","language":"en","page":"2429-2432","source":"DOI.org (Crossref)","title":"Phosphorylation of eukaryotic initiation factor-2α (eIF2α) is associated with neuronal degeneration in Alzheimerʼs disease:","title-short":"Phosphorylation of eukaryotic initiation factor-2α (eIF2α) is associated with neuronal degeneration in Alzheimerʼs disease","URL":"http://journals.lww.com/00001756-200212200-00011","volume":"13","author":[{"family":"Chang","given":"Raymond C. C."},{"family":"Wong","given":"Ada K. Y."},{"family":"Ng","given":"Ho-Keung"},{"family":"Hugon","given":"Jacques"}],"accessed":{"date-parts":[["2022",5,3]]},"issued":{"date-parts":[["2002",12]]},"citation-key":"chang_phosphorylation_2002"}}],"schema":"https://github.com/citation-style-language/schema/raw/master/csl-citation.json"} </w:instrText>
      </w:r>
      <w:r w:rsidR="00A27485" w:rsidRPr="002A7128">
        <w:rPr>
          <w:rFonts w:ascii="Calibri" w:hAnsi="Calibri" w:cs="Calibri"/>
        </w:rPr>
        <w:fldChar w:fldCharType="separate"/>
      </w:r>
      <w:r w:rsidR="00A64B61" w:rsidRPr="002A7128">
        <w:rPr>
          <w:rFonts w:ascii="Calibri" w:hAnsi="Calibri" w:cs="Calibri"/>
          <w:vertAlign w:val="superscript"/>
        </w:rPr>
        <w:t>123</w:t>
      </w:r>
      <w:r w:rsidR="00A27485" w:rsidRPr="002A7128">
        <w:rPr>
          <w:rFonts w:ascii="Calibri" w:hAnsi="Calibri" w:cs="Calibri"/>
        </w:rPr>
        <w:fldChar w:fldCharType="end"/>
      </w:r>
      <w:r w:rsidR="00A27485" w:rsidRPr="002A7128">
        <w:rPr>
          <w:rFonts w:ascii="Calibri" w:hAnsi="Calibri" w:cs="Calibri"/>
        </w:rPr>
        <w:t>. While multiple mechanisms are under investigation regarding cell death mechanism induced by Ab aggregation</w:t>
      </w:r>
      <w:r w:rsidR="00A27485" w:rsidRPr="002A7128">
        <w:rPr>
          <w:rFonts w:ascii="Calibri" w:hAnsi="Calibri" w:cs="Calibri"/>
        </w:rPr>
        <w:fldChar w:fldCharType="begin"/>
      </w:r>
      <w:r w:rsidR="00A64B61" w:rsidRPr="002A7128">
        <w:rPr>
          <w:rFonts w:ascii="Calibri" w:hAnsi="Calibri" w:cs="Calibri"/>
        </w:rPr>
        <w:instrText xml:space="preserve"> ADDIN ZOTERO_ITEM CSL_CITATION {"citationID":"turtBb90","properties":{"formattedCitation":"\\super 124\\nosupersub{}","plainCitation":"124","noteIndex":0},"citationItems":[{"id":10458,"uris":["http://zotero.org/groups/2667333/items/NX5TA98X"],"itemData":{"id":10458,"type":"article-journal","abstract":"Amyloid beta (A\n              β\n              ) is a peptide of 39–43 amino acids found in large amounts and forming deposits in the brain tissue of patients with Alzheimer’s disease (AD). For this reason, it has been implicated in the pathophysiology of damage observed in this type of dementia. However, the role of A\n              β\n              in the pathophysiology of AD is not yet precisely understood. A\n              β\n              has been experimentally shown to have a wide range of toxic mechanisms\n              in vivo\n              and\n              in vitro\n              , such as excitotoxicity, mitochondrial alterations, synaptic dysfunction, altered calcium homeostasis, oxidative stress, and so forth. In contrast, A\n              β\n              has also shown some interesting neuroprotective and physiological properties under certain experimental conditions, suggesting that both physiological and pathological roles of A\n              β\n              may depend on several factors. In this paper, we reviewed both toxic and protective mechanisms of A\n              β\n              to further explore what their potential roles could be in the pathophysiology of AD. The complete understanding of such apparently opposed effects will also be an important guide for the therapeutic efforts coming in the future.","container-title":"Oxidative Medicine and Cellular Longevity","DOI":"10.1155/2014/795375","ISSN":"1942-0900, 1942-0994","journalAbbreviation":"Oxidative Medicine and Cellular Longevity","language":"en","page":"1-15","source":"DOI.org (Crossref)","title":"Amyloid Beta: Multiple Mechanisms of Toxicity and Only Some Protective Effects?","title-short":"Amyloid Beta","URL":"http://www.hindawi.com/journals/omcl/2014/795375/","volume":"2014","author":[{"family":"Carrillo-Mora","given":"Paul"},{"family":"Luna","given":"Rogelio"},{"family":"Colín-Barenque","given":"Laura"}],"accessed":{"date-parts":[["2022",4,27]]},"issued":{"date-parts":[["2014"]]},"citation-key":"carrillo-mora_amyloid_2014"}}],"schema":"https://github.com/citation-style-language/schema/raw/master/csl-citation.json"} </w:instrText>
      </w:r>
      <w:r w:rsidR="00A27485" w:rsidRPr="002A7128">
        <w:rPr>
          <w:rFonts w:ascii="Calibri" w:hAnsi="Calibri" w:cs="Calibri"/>
        </w:rPr>
        <w:fldChar w:fldCharType="separate"/>
      </w:r>
      <w:r w:rsidR="00A64B61" w:rsidRPr="002A7128">
        <w:rPr>
          <w:rFonts w:ascii="Calibri" w:hAnsi="Calibri" w:cs="Calibri"/>
          <w:vertAlign w:val="superscript"/>
        </w:rPr>
        <w:t>124</w:t>
      </w:r>
      <w:r w:rsidR="00A27485" w:rsidRPr="002A7128">
        <w:rPr>
          <w:rFonts w:ascii="Calibri" w:hAnsi="Calibri" w:cs="Calibri"/>
        </w:rPr>
        <w:fldChar w:fldCharType="end"/>
      </w:r>
      <w:r w:rsidR="00A27485" w:rsidRPr="002A7128">
        <w:rPr>
          <w:rFonts w:ascii="Calibri" w:hAnsi="Calibri" w:cs="Calibri"/>
        </w:rPr>
        <w:t xml:space="preserve">, the biological outcome points towards the involvement of DAMPs for the progression of neurodegenerative disorders. One potential mechanism for aggregation induced cell death and </w:t>
      </w:r>
      <w:r w:rsidR="00A27485" w:rsidRPr="002A7128">
        <w:rPr>
          <w:rFonts w:ascii="Calibri" w:hAnsi="Calibri" w:cs="Calibri"/>
        </w:rPr>
        <w:lastRenderedPageBreak/>
        <w:t>DAMP release is through sensing extracellular stimuli. The plasma membrane involves in sensing external stimuli and adapting to changes through intracellular signaling. One of the major pathways responding against a variety of external stimuli is the Hippo pathway. Recently it was shown that Ab42-mediated neurodegeneration involves the activation of the Hippo pathway, and upregulation of Hippo signaling increases neurodegeneration</w:t>
      </w:r>
      <w:r w:rsidR="00A27485" w:rsidRPr="002A7128">
        <w:rPr>
          <w:rFonts w:ascii="Calibri" w:hAnsi="Calibri" w:cs="Calibri"/>
        </w:rPr>
        <w:fldChar w:fldCharType="begin"/>
      </w:r>
      <w:r w:rsidR="00A64B61" w:rsidRPr="002A7128">
        <w:rPr>
          <w:rFonts w:ascii="Calibri" w:hAnsi="Calibri" w:cs="Calibri"/>
        </w:rPr>
        <w:instrText xml:space="preserve"> ADDIN ZOTERO_ITEM CSL_CITATION {"citationID":"X7rB54qH","properties":{"formattedCitation":"\\super 125\\nosupersub{}","plainCitation":"125","noteIndex":0},"citationItems":[{"id":10400,"uris":["http://zotero.org/groups/2667333/items/7LA3NFNP"],"itemData":{"id":10400,"type":"article-journal","container-title":"Frontiers in Cell and Developmental Biology","DOI":"10.3389/fcell.2020.00117","ISSN":"2296-634X","journalAbbreviation":"Front. Cell Dev. Biol.","page":"117","source":"DOI.org (Crossref)","title":"A Positive Feedback Loop of Hippo- and c-Jun-Amino-Terminal Kinase Signaling Pathways Regulates Amyloid-Beta-Mediated Neurodegeneration","URL":"https://www.frontiersin.org/article/10.3389/fcell.2020.00117/full","volume":"8","author":[{"family":"Irwin","given":"Madison"},{"family":"Tare","given":"Meghana"},{"family":"Singh","given":"Aditi"},{"family":"Puli","given":"Oorvashi Roy"},{"family":"Gogia","given":"Neha"},{"family":"Riccetti","given":"Matthew"},{"family":"Deshpande","given":"Prajakta"},{"family":"Kango-Singh","given":"Madhuri"},{"family":"Singh","given":"Amit"}],"accessed":{"date-parts":[["2022",4,27]]},"issued":{"date-parts":[["2020",3,13]]},"citation-key":"irwin_positive_2020"}}],"schema":"https://github.com/citation-style-language/schema/raw/master/csl-citation.json"} </w:instrText>
      </w:r>
      <w:r w:rsidR="00A27485" w:rsidRPr="002A7128">
        <w:rPr>
          <w:rFonts w:ascii="Calibri" w:hAnsi="Calibri" w:cs="Calibri"/>
        </w:rPr>
        <w:fldChar w:fldCharType="separate"/>
      </w:r>
      <w:r w:rsidR="00A64B61" w:rsidRPr="002A7128">
        <w:rPr>
          <w:rFonts w:ascii="Calibri" w:hAnsi="Calibri" w:cs="Calibri"/>
          <w:vertAlign w:val="superscript"/>
        </w:rPr>
        <w:t>125</w:t>
      </w:r>
      <w:r w:rsidR="00A27485" w:rsidRPr="002A7128">
        <w:rPr>
          <w:rFonts w:ascii="Calibri" w:hAnsi="Calibri" w:cs="Calibri"/>
        </w:rPr>
        <w:fldChar w:fldCharType="end"/>
      </w:r>
      <w:r w:rsidR="00A27485" w:rsidRPr="002A7128">
        <w:rPr>
          <w:rFonts w:ascii="Calibri" w:hAnsi="Calibri" w:cs="Calibri"/>
        </w:rPr>
        <w:t>. One of the central proteins within the Hippo pathway is yes-associated protein (YAP). YAP is a transcription factor found in the nucleus in its active form and when translocate to cytoplasm it gets inactivated. More specifically, phosphorylation of YAP at serine residue (S127) inhibits its activity and leads to its cytoplasmic retention</w:t>
      </w:r>
      <w:r w:rsidR="00A27485" w:rsidRPr="002A7128">
        <w:rPr>
          <w:rFonts w:ascii="Calibri" w:hAnsi="Calibri" w:cs="Calibri"/>
        </w:rPr>
        <w:fldChar w:fldCharType="begin"/>
      </w:r>
      <w:r w:rsidR="00A64B61" w:rsidRPr="002A7128">
        <w:rPr>
          <w:rFonts w:ascii="Calibri" w:hAnsi="Calibri" w:cs="Calibri"/>
        </w:rPr>
        <w:instrText xml:space="preserve"> ADDIN ZOTERO_ITEM CSL_CITATION {"citationID":"ItPLstXr","properties":{"formattedCitation":"\\super 126\\nosupersub{}","plainCitation":"126","noteIndex":0},"citationItems":[{"id":10373,"uris":["http://zotero.org/groups/2667333/items/MQRRSPPZ"],"itemData":{"id":10373,"type":"article-journal","container-title":"Journal of Biological Chemistry","DOI":"10.1074/jbc.M709037200","ISSN":"00219258","issue":"9","journalAbbreviation":"Journal of Biological Chemistry","language":"en","page":"5496-5509","source":"DOI.org (Crossref)","title":"Tumor Suppressor LATS1 Is a Negative Regulator of Oncogene YAP","URL":"https://linkinghub.elsevier.com/retrieve/pii/S0021925820572700","volume":"283","author":[{"family":"Hao","given":"Yawei"},{"family":"Chun","given":"Alex"},{"family":"Cheung","given":"Kevin"},{"family":"Rashidi","given":"Babak"},{"family":"Yang","given":"Xiaolong"}],"accessed":{"date-parts":[["2022",4,25]]},"issued":{"date-parts":[["2008",2]]},"citation-key":"hao_tumor_2008"}}],"schema":"https://github.com/citation-style-language/schema/raw/master/csl-citation.json"} </w:instrText>
      </w:r>
      <w:r w:rsidR="00A27485" w:rsidRPr="002A7128">
        <w:rPr>
          <w:rFonts w:ascii="Calibri" w:hAnsi="Calibri" w:cs="Calibri"/>
        </w:rPr>
        <w:fldChar w:fldCharType="separate"/>
      </w:r>
      <w:r w:rsidR="00A64B61" w:rsidRPr="002A7128">
        <w:rPr>
          <w:rFonts w:ascii="Calibri" w:hAnsi="Calibri" w:cs="Calibri"/>
          <w:vertAlign w:val="superscript"/>
        </w:rPr>
        <w:t>126</w:t>
      </w:r>
      <w:r w:rsidR="00A27485" w:rsidRPr="002A7128">
        <w:rPr>
          <w:rFonts w:ascii="Calibri" w:hAnsi="Calibri" w:cs="Calibri"/>
        </w:rPr>
        <w:fldChar w:fldCharType="end"/>
      </w:r>
      <w:r w:rsidR="00A27485" w:rsidRPr="002A7128">
        <w:rPr>
          <w:rFonts w:ascii="Calibri" w:hAnsi="Calibri" w:cs="Calibri"/>
        </w:rPr>
        <w:t xml:space="preserve"> and degradation</w:t>
      </w:r>
      <w:r w:rsidR="00A27485" w:rsidRPr="002A7128">
        <w:rPr>
          <w:rFonts w:ascii="Calibri" w:hAnsi="Calibri" w:cs="Calibri"/>
        </w:rPr>
        <w:fldChar w:fldCharType="begin"/>
      </w:r>
      <w:r w:rsidR="00A64B61" w:rsidRPr="002A7128">
        <w:rPr>
          <w:rFonts w:ascii="Calibri" w:hAnsi="Calibri" w:cs="Calibri"/>
        </w:rPr>
        <w:instrText xml:space="preserve"> ADDIN ZOTERO_ITEM CSL_CITATION {"citationID":"oWqlG6bn","properties":{"formattedCitation":"\\super 127\\nosupersub{}","plainCitation":"127","noteIndex":0},"citationItems":[{"id":10398,"uris":["http://zotero.org/groups/2667333/items/F5WJUXQE"],"itemData":{"id":10398,"type":"article-journal","container-title":"Oncology Letters","DOI":"10.3892/ol.2016.4955","ISSN":"1792-1074, 1792-1082","issue":"4","language":"en","page":"2277-2282","source":"DOI.org (Crossref)","title":"Role of Yes-associated protein in cancer: An update","title-short":"Role of Yes-associated protein in cancer","URL":"https://www.spandidos-publications.com/10.3892/ol.2016.4955","volume":"12","author":[{"family":"Abylkassov","given":"Ramazan"},{"family":"Xie","given":"Yingqiu"}],"accessed":{"date-parts":[["2022",4,27]]},"issued":{"date-parts":[["2016",10]]},"citation-key":"abylkassov_role_2016"}}],"schema":"https://github.com/citation-style-language/schema/raw/master/csl-citation.json"} </w:instrText>
      </w:r>
      <w:r w:rsidR="00A27485" w:rsidRPr="002A7128">
        <w:rPr>
          <w:rFonts w:ascii="Calibri" w:hAnsi="Calibri" w:cs="Calibri"/>
        </w:rPr>
        <w:fldChar w:fldCharType="separate"/>
      </w:r>
      <w:r w:rsidR="00A64B61" w:rsidRPr="002A7128">
        <w:rPr>
          <w:rFonts w:ascii="Calibri" w:hAnsi="Calibri" w:cs="Calibri"/>
          <w:vertAlign w:val="superscript"/>
        </w:rPr>
        <w:t>127</w:t>
      </w:r>
      <w:r w:rsidR="00A27485" w:rsidRPr="002A7128">
        <w:rPr>
          <w:rFonts w:ascii="Calibri" w:hAnsi="Calibri" w:cs="Calibri"/>
        </w:rPr>
        <w:fldChar w:fldCharType="end"/>
      </w:r>
      <w:r w:rsidR="00A27485" w:rsidRPr="002A7128">
        <w:rPr>
          <w:rFonts w:ascii="Calibri" w:hAnsi="Calibri" w:cs="Calibri"/>
        </w:rPr>
        <w:t>. Aggregation/accumulation of Ab42 within the cytoplasm leads to neuronal necrosis and this has been correlated with a reduction in nuclear YAP levels, moreover this process was shown to occur in the early stages of AD in a mouse model</w:t>
      </w:r>
      <w:r w:rsidR="00A27485" w:rsidRPr="002A7128">
        <w:rPr>
          <w:rFonts w:ascii="Calibri" w:hAnsi="Calibri" w:cs="Calibri"/>
        </w:rPr>
        <w:fldChar w:fldCharType="begin"/>
      </w:r>
      <w:r w:rsidR="00A64B61" w:rsidRPr="002A7128">
        <w:rPr>
          <w:rFonts w:ascii="Calibri" w:hAnsi="Calibri" w:cs="Calibri"/>
        </w:rPr>
        <w:instrText xml:space="preserve"> ADDIN ZOTERO_ITEM CSL_CITATION {"citationID":"adsnok1a1g","properties":{"formattedCitation":"\\super 120\\nosupersub{}","plainCitation":"120","noteIndex":0},"citationItems":[{"id":10473,"uris":["http://zotero.org/groups/2667333/items/DILYG3E4"],"itemData":{"id":10473,"type":"article-journal","abstract":"Abstract\n            The timing and characteristics of neuronal death in Alzheimer’s disease (AD) remain largely unknown. Here we examine AD mouse models with an original marker, myristoylated alanine-rich C-kinase substrate phosphorylated at serine 46 (pSer46-MARCKS), and reveal an increase of neuronal necrosis during pre-symptomatic phase and a subsequent decrease during symptomatic phase. Postmortem brains of mild cognitive impairment (MCI) rather than symptomatic AD patients reveal a remarkable increase of necrosis. In vivo imaging reveals instability of endoplasmic reticulum (ER) in mouse AD models and genome-edited human AD iPS cell-derived neurons. The level of nuclear Yes-associated protein (YAP) is remarkably decreased in such neurons under AD pathology due to the sequestration into cytoplasmic amyloid beta (Aβ) aggregates, supporting the feature of YAP-dependent necrosis. Suppression of early-stage neuronal death by AAV-YAPdeltaC reduces the later-stage extracellular Aβ burden and cognitive impairment, suggesting that preclinical/prodromal YAP-dependent neuronal necrosis represents a target for AD therapeutics.","container-title":"Nature Communications","DOI":"10.1038/s41467-020-14353-6","ISSN":"2041-1723","issue":"1","journalAbbreviation":"Nat Commun","language":"en","page":"507","source":"DOI.org (Crossref)","title":"YAP-dependent necrosis occurs in early stages of Alzheimer’s disease and regulates mouse model pathology","URL":"http://www.nature.com/articles/s41467-020-14353-6","volume":"11","author":[{"family":"Tanaka","given":"Hikari"},{"family":"Homma","given":"Hidenori"},{"family":"Fujita","given":"Kyota"},{"family":"Kondo","given":"Kanoh"},{"family":"Yamada","given":"Shingo"},{"family":"Jin","given":"Xiaocen"},{"family":"Waragai","given":"Masaaki"},{"family":"Ohtomo","given":"Gaku"},{"family":"Iwata","given":"Atsushi"},{"family":"Tagawa","given":"Kazuhiko"},{"family":"Atsuta","given":"Naoki"},{"family":"Katsuno","given":"Masahisa"},{"family":"Tomita","given":"Naoki"},{"family":"Furukawa","given":"Katsutoshi"},{"family":"Saito","given":"Yuko"},{"family":"Saito","given":"Takashi"},{"family":"Ichise","given":"Ayaka"},{"family":"Shibata","given":"Shinsuke"},{"family":"Arai","given":"Hiroyuki"},{"family":"Saido","given":"Takaomi"},{"family":"Sudol","given":"Marius"},{"family":"Muramatsu","given":"Shin-ichi"},{"family":"Okano","given":"Hideyuki"},{"family":"Mufson","given":"Elliott J."},{"family":"Sobue","given":"Gen"},{"family":"Murayama","given":"Shigeo"},{"family":"Okazawa","given":"Hitoshi"}],"accessed":{"date-parts":[["2022",5,2]]},"issued":{"date-parts":[["2020",12]]},"citation-key":"tanaka_yap-dependent_2020"}}],"schema":"https://github.com/citation-style-language/schema/raw/master/csl-citation.json"} </w:instrText>
      </w:r>
      <w:r w:rsidR="00A27485" w:rsidRPr="002A7128">
        <w:rPr>
          <w:rFonts w:ascii="Calibri" w:hAnsi="Calibri" w:cs="Calibri"/>
        </w:rPr>
        <w:fldChar w:fldCharType="separate"/>
      </w:r>
      <w:r w:rsidR="00A64B61" w:rsidRPr="002A7128">
        <w:rPr>
          <w:rFonts w:ascii="Calibri" w:hAnsi="Calibri" w:cs="Calibri"/>
          <w:vertAlign w:val="superscript"/>
        </w:rPr>
        <w:t>120</w:t>
      </w:r>
      <w:r w:rsidR="00A27485" w:rsidRPr="002A7128">
        <w:rPr>
          <w:rFonts w:ascii="Calibri" w:hAnsi="Calibri" w:cs="Calibri"/>
        </w:rPr>
        <w:fldChar w:fldCharType="end"/>
      </w:r>
      <w:r w:rsidR="00A27485" w:rsidRPr="002A7128">
        <w:rPr>
          <w:rFonts w:ascii="Calibri" w:hAnsi="Calibri" w:cs="Calibri"/>
        </w:rPr>
        <w:t xml:space="preserve">. This process is not solely in </w:t>
      </w:r>
      <w:r w:rsidR="0008275D" w:rsidRPr="002A7128">
        <w:rPr>
          <w:rFonts w:ascii="Calibri" w:hAnsi="Calibri" w:cs="Calibri"/>
        </w:rPr>
        <w:t>AD</w:t>
      </w:r>
      <w:r w:rsidR="00A27485" w:rsidRPr="002A7128">
        <w:rPr>
          <w:rFonts w:ascii="Calibri" w:hAnsi="Calibri" w:cs="Calibri"/>
        </w:rPr>
        <w:t xml:space="preserve"> but present in other neurodegenerative disorders as well. Post-mortem cortex analysis of </w:t>
      </w:r>
      <w:r w:rsidR="0008275D" w:rsidRPr="002A7128">
        <w:rPr>
          <w:rFonts w:ascii="Calibri" w:hAnsi="Calibri" w:cs="Calibri"/>
        </w:rPr>
        <w:t xml:space="preserve">HD </w:t>
      </w:r>
      <w:r w:rsidR="00A27485" w:rsidRPr="002A7128">
        <w:rPr>
          <w:rFonts w:ascii="Calibri" w:hAnsi="Calibri" w:cs="Calibri"/>
        </w:rPr>
        <w:t>revealed reduction in nuclear YAP levels and increased phosphorylation</w:t>
      </w:r>
      <w:r w:rsidR="00A27485" w:rsidRPr="002A7128">
        <w:rPr>
          <w:rFonts w:ascii="Calibri" w:hAnsi="Calibri" w:cs="Calibri"/>
        </w:rPr>
        <w:fldChar w:fldCharType="begin"/>
      </w:r>
      <w:r w:rsidR="00A64B61" w:rsidRPr="002A7128">
        <w:rPr>
          <w:rFonts w:ascii="Calibri" w:hAnsi="Calibri" w:cs="Calibri"/>
        </w:rPr>
        <w:instrText xml:space="preserve"> ADDIN ZOTERO_ITEM CSL_CITATION {"citationID":"a1pilu1t0qs","properties":{"formattedCitation":"\\super 128\\nosupersub{}","plainCitation":"128","noteIndex":0},"citationItems":[{"id":11287,"uris":["http://zotero.org/groups/2667333/items/S8ATRTSB"],"itemData":{"id":11287,"type":"article-journal","container-title":"Scientific Reports","DOI":"10.1038/s41598-018-29319-4","ISSN":"2045-2322","issue":"1","journalAbbreviation":"Sci Rep","language":"en","page":"11355","source":"DOI.org (Crossref)","title":"Hippo Signaling Pathway Dysregulation in Human Huntington’s Disease Brain and Neuronal Stem Cells","URL":"http://www.nature.com/articles/s41598-018-29319-4","volume":"8","author":[{"family":"Mueller","given":"Kaly A."},{"family":"Glajch","given":"Kelly E."},{"family":"Huizenga","given":"Megan N."},{"family":"Wilson","given":"Remi A."},{"family":"Granucci","given":"Eric J."},{"family":"Dios","given":"Amanda M."},{"family":"Tousley","given":"Adelaide R."},{"family":"Iuliano","given":"Maria"},{"family":"Weisman","given":"Elizabeth"},{"family":"LaQuaglia","given":"Michael J."},{"family":"DiFiglia","given":"Marian"},{"family":"Kegel-Gleason","given":"Kimberly"},{"family":"Vakili","given":"Khashayar"},{"family":"Sadri-Vakili","given":"Ghazaleh"}],"accessed":{"date-parts":[["2022",7,14]]},"issued":{"date-parts":[["2018",12]]},"citation-key":"mueller_hippo_2018"}}],"schema":"https://github.com/citation-style-language/schema/raw/master/csl-citation.json"} </w:instrText>
      </w:r>
      <w:r w:rsidR="00A27485" w:rsidRPr="002A7128">
        <w:rPr>
          <w:rFonts w:ascii="Calibri" w:hAnsi="Calibri" w:cs="Calibri"/>
        </w:rPr>
        <w:fldChar w:fldCharType="separate"/>
      </w:r>
      <w:r w:rsidR="00A64B61" w:rsidRPr="002A7128">
        <w:rPr>
          <w:rFonts w:ascii="Calibri" w:hAnsi="Calibri" w:cs="Calibri"/>
          <w:vertAlign w:val="superscript"/>
        </w:rPr>
        <w:t>128</w:t>
      </w:r>
      <w:r w:rsidR="00A27485" w:rsidRPr="002A7128">
        <w:rPr>
          <w:rFonts w:ascii="Calibri" w:hAnsi="Calibri" w:cs="Calibri"/>
        </w:rPr>
        <w:fldChar w:fldCharType="end"/>
      </w:r>
      <w:r w:rsidR="00A27485" w:rsidRPr="002A7128">
        <w:rPr>
          <w:rFonts w:ascii="Calibri" w:hAnsi="Calibri" w:cs="Calibri"/>
        </w:rPr>
        <w:t xml:space="preserve">. </w:t>
      </w:r>
    </w:p>
    <w:p w14:paraId="6AE8E3DC" w14:textId="56600457" w:rsidR="00A27485" w:rsidRPr="002A7128" w:rsidRDefault="00A27485" w:rsidP="00A27485">
      <w:pPr>
        <w:spacing w:line="480" w:lineRule="auto"/>
        <w:jc w:val="both"/>
        <w:rPr>
          <w:rFonts w:ascii="Calibri" w:hAnsi="Calibri" w:cs="Calibri"/>
        </w:rPr>
      </w:pPr>
      <w:r w:rsidRPr="002A7128">
        <w:rPr>
          <w:rFonts w:ascii="Calibri" w:hAnsi="Calibri" w:cs="Calibri"/>
        </w:rPr>
        <w:t>The role of DAMPs in the context of aggregation-based progression of neurodegenerative diseases inevitably suggest the role of different cell death modalities that might be involved. Specifically, ICD modalities like necroptosis, pyroptosis and ferroptosis have been shown to be important throughout the progression of diseases</w:t>
      </w:r>
      <w:r w:rsidRPr="002A7128">
        <w:rPr>
          <w:rFonts w:ascii="Calibri" w:hAnsi="Calibri" w:cs="Calibri"/>
        </w:rPr>
        <w:fldChar w:fldCharType="begin"/>
      </w:r>
      <w:r w:rsidR="00A64B61" w:rsidRPr="002A7128">
        <w:rPr>
          <w:rFonts w:ascii="Calibri" w:hAnsi="Calibri" w:cs="Calibri"/>
        </w:rPr>
        <w:instrText xml:space="preserve"> ADDIN ZOTERO_ITEM CSL_CITATION {"citationID":"a1u0aj2lc1i","properties":{"formattedCitation":"\\super 129\\nosupersub{}","plainCitation":"129","noteIndex":0},"citationItems":[{"id":10637,"uris":["http://zotero.org/groups/2667333/items/FIJY9H6T"],"itemData":{"id":10637,"type":"article-journal","abstract":"Abstract\n            Tightly orchestrated programmed cell death (PCD) signalling events occur during normal neuronal development in a spatially and temporally restricted manner to establish the neural architecture and shaping the CNS. Abnormalities in PCD signalling cascades, such as apoptosis, necroptosis, pyroptosis, ferroptosis, and cell death associated with autophagy as well as in unprogrammed necrosis can be observed in the pathogenesis of various neurological diseases. These cell deaths can be activated in response to various forms of cellular stress (exerted by intracellular or extracellular stimuli) and inflammatory processes. Aberrant activation of PCD pathways is a common feature in neurodegenerative diseases, such as amyotrophic lateral sclerosis (ALS), Alzheimer’s disease, Parkinson’s disease, and Huntington’s disease, resulting in unwanted loss of neuronal cells and function. Conversely, inactivation of PCD is thought to contribute to the development of brain cancers and to impact their response to therapy. For many neurodegenerative diseases and brain cancers current treatment strategies have only modest effect, engendering the need for investigations into the origins of these diseases. With many diseases of the brain displaying aberrations in PCD pathways, it appears that agents that can either inhibit or induce PCD may be critical components of future therapeutic strategies. The development of such therapies will have to be guided by preclinical studies in animal models that faithfully mimic the human disease. In this review, we briefly describe PCD and unprogrammed cell death processes and the roles they play in contributing to neurodegenerative diseases or tumorigenesis in the brain. We also discuss the interplay between distinct cell death signalling cascades and disease pathogenesis and describe pharmacological agents targeting key players in the cell death signalling pathways that have progressed through to clinical trials.","container-title":"Cell Death &amp; Differentiation","DOI":"10.1038/s41418-021-00814-y","ISSN":"1350-9047, 1476-5403","issue":"7","journalAbbreviation":"Cell Death Differ","language":"en","page":"2029-2044","source":"DOI.org (Crossref)","title":"Molecular mechanisms of cell death in neurological diseases","URL":"https://www.nature.com/articles/s41418-021-00814-y","volume":"28","author":[{"family":"Moujalled","given":"Diane"},{"family":"Strasser","given":"Andreas"},{"family":"Liddell","given":"Jeffrey R."}],"accessed":{"date-parts":[["2022",5,26]]},"issued":{"date-parts":[["2021",7]]},"citation-key":"moujalled_molecular_2021"}}],"schema":"https://github.com/citation-style-language/schema/raw/master/csl-citation.json"}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129</w:t>
      </w:r>
      <w:r w:rsidRPr="002A7128">
        <w:rPr>
          <w:rFonts w:ascii="Calibri" w:hAnsi="Calibri" w:cs="Calibri"/>
        </w:rPr>
        <w:fldChar w:fldCharType="end"/>
      </w:r>
      <w:r w:rsidRPr="002A7128">
        <w:rPr>
          <w:rFonts w:ascii="Calibri" w:hAnsi="Calibri" w:cs="Calibri"/>
        </w:rPr>
        <w:t>. Neuronal loss in AD was correlated to the phosphorylation of RIPK1, RIPK3 and MLKL</w:t>
      </w:r>
      <w:r w:rsidRPr="002A7128">
        <w:rPr>
          <w:rFonts w:ascii="Calibri" w:hAnsi="Calibri" w:cs="Calibri"/>
        </w:rPr>
        <w:fldChar w:fldCharType="begin"/>
      </w:r>
      <w:r w:rsidR="00A64B61" w:rsidRPr="002A7128">
        <w:rPr>
          <w:rFonts w:ascii="Calibri" w:hAnsi="Calibri" w:cs="Calibri"/>
        </w:rPr>
        <w:instrText xml:space="preserve"> ADDIN ZOTERO_ITEM CSL_CITATION {"citationID":"a1fg6730i4u","properties":{"formattedCitation":"\\super 130\\nosupersub{}","plainCitation":"130","noteIndex":0},"citationItems":[{"id":10628,"uris":["http://zotero.org/groups/2667333/items/H7CHXBJ6"],"itemData":{"id":10628,"type":"article-journal","container-title":"Acta Neuropathologica","DOI":"10.1007/s00401-019-02103-y","ISSN":"0001-6322, 1432-0533","issue":"3","journalAbbreviation":"Acta Neuropathol","language":"en","page":"463-484","source":"DOI.org (Crossref)","title":"Necrosome complex detected in granulovacuolar degeneration is associated with neuronal loss in Alzheimer’s disease","URL":"http://link.springer.com/10.1007/s00401-019-02103-y","volume":"139","author":[{"family":"Koper","given":"Marta J."},{"family":"Van Schoor","given":"Evelien"},{"family":"Ospitalieri","given":"Simona"},{"family":"Vandenberghe","given":"Rik"},{"family":"Vandenbulcke","given":"Mathieu"},{"family":"Arnim","given":"Christine A. F.","non-dropping-particle":"von"},{"family":"Tousseyn","given":"Thomas"},{"family":"Balusu","given":"Sriram"},{"family":"De Strooper","given":"Bart"},{"family":"Thal","given":"Dietmar Rudolf"}],"accessed":{"date-parts":[["2022",5,24]]},"issued":{"date-parts":[["2020",3]]},"citation-key":"koper_necrosome_2020"}}],"schema":"https://github.com/citation-style-language/schema/raw/master/csl-citation.json"}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130</w:t>
      </w:r>
      <w:r w:rsidRPr="002A7128">
        <w:rPr>
          <w:rFonts w:ascii="Calibri" w:hAnsi="Calibri" w:cs="Calibri"/>
        </w:rPr>
        <w:fldChar w:fldCharType="end"/>
      </w:r>
      <w:r w:rsidRPr="002A7128">
        <w:rPr>
          <w:rFonts w:ascii="Calibri" w:hAnsi="Calibri" w:cs="Calibri"/>
        </w:rPr>
        <w:t xml:space="preserve">, hallmarks of necroptosis. In fact, inhibition of necroptosis with </w:t>
      </w:r>
      <w:proofErr w:type="spellStart"/>
      <w:r w:rsidRPr="002A7128">
        <w:rPr>
          <w:rFonts w:ascii="Calibri" w:hAnsi="Calibri" w:cs="Calibri"/>
        </w:rPr>
        <w:t>necrosulfonamide</w:t>
      </w:r>
      <w:proofErr w:type="spellEnd"/>
      <w:r w:rsidRPr="002A7128">
        <w:rPr>
          <w:rFonts w:ascii="Calibri" w:hAnsi="Calibri" w:cs="Calibri"/>
        </w:rPr>
        <w:t xml:space="preserve"> reversed spatial memory and learning deficits in rat model of AD</w:t>
      </w:r>
      <w:r w:rsidRPr="002A7128">
        <w:rPr>
          <w:rFonts w:ascii="Calibri" w:hAnsi="Calibri" w:cs="Calibri"/>
        </w:rPr>
        <w:fldChar w:fldCharType="begin"/>
      </w:r>
      <w:r w:rsidR="00A64B61" w:rsidRPr="002A7128">
        <w:rPr>
          <w:rFonts w:ascii="Calibri" w:hAnsi="Calibri" w:cs="Calibri"/>
        </w:rPr>
        <w:instrText xml:space="preserve"> ADDIN ZOTERO_ITEM CSL_CITATION {"citationID":"a2bp4rjdfug","properties":{"formattedCitation":"\\super 131\\nosupersub{}","plainCitation":"131","noteIndex":0},"citationItems":[{"id":10630,"uris":["http://zotero.org/groups/2667333/items/CJTH6WY3"],"itemData":{"id":10630,"type":"article-journal","container-title":"ACS Chemical Neuroscience","DOI":"10.1021/acschemneuro.0c00516","ISSN":"1948-7193, 1948-7193","issue":"20","journalAbbreviation":"ACS Chem. Neurosci.","language":"en","page":"3386-3397","source":"DOI.org (Crossref)","title":"Ameliorative Effect of Necrosulfonamide in a Rat Model of Alzheimer’s Disease: Targeting Mixed Lineage Kinase Domain-like Protein-Mediated Necroptosis","title-short":"Ameliorative Effect of Necrosulfonamide in a Rat Model of Alzheimer’s Disease","URL":"https://pubs.acs.org/doi/10.1021/acschemneuro.0c00516","volume":"11","author":[{"family":"Motawi","given":"Tarek M. K."},{"family":"Abdel-Nasser","given":"Zeinab M."},{"family":"Shahin","given":"Nancy N."}],"accessed":{"date-parts":[["2022",5,24]]},"issued":{"date-parts":[["2020",10,21]]},"citation-key":"motawi_ameliorative_2020"}}],"schema":"https://github.com/citation-style-language/schema/raw/master/csl-citation.json"}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131</w:t>
      </w:r>
      <w:r w:rsidRPr="002A7128">
        <w:rPr>
          <w:rFonts w:ascii="Calibri" w:hAnsi="Calibri" w:cs="Calibri"/>
        </w:rPr>
        <w:fldChar w:fldCharType="end"/>
      </w:r>
      <w:r w:rsidRPr="002A7128">
        <w:rPr>
          <w:rFonts w:ascii="Calibri" w:hAnsi="Calibri" w:cs="Calibri"/>
        </w:rPr>
        <w:t>. Role of necroptosis in different stages of AD remains to be elucidated, however, targeting necroptosis and its signaling mechanism offers a promising strategy for AD pathogenesis</w:t>
      </w:r>
      <w:r w:rsidRPr="002A7128">
        <w:rPr>
          <w:rFonts w:ascii="Calibri" w:hAnsi="Calibri" w:cs="Calibri"/>
        </w:rPr>
        <w:fldChar w:fldCharType="begin"/>
      </w:r>
      <w:r w:rsidR="00A64B61" w:rsidRPr="002A7128">
        <w:rPr>
          <w:rFonts w:ascii="Calibri" w:hAnsi="Calibri" w:cs="Calibri"/>
        </w:rPr>
        <w:instrText xml:space="preserve"> ADDIN ZOTERO_ITEM CSL_CITATION {"citationID":"a20t3k7skns","properties":{"formattedCitation":"\\super 132\\nosupersub{}","plainCitation":"132","noteIndex":0},"citationItems":[{"id":10631,"uris":["http://zotero.org/groups/2667333/items/WGVD3HXU"],"itemData":{"id":10631,"type":"article-journal","container-title":"ACS Chemical Neuroscience","DOI":"10.1021/acschemneuro.2c00172","ISSN":"1948-7193, 1948-7193","journalAbbreviation":"ACS Chem. Neurosci.","language":"en","page":"acschemneuro.2c00172","source":"DOI.org (Crossref)","title":"Targeting Necroptosis as a Promising Therapy for Alzheimer’s Disease","URL":"https://pubs.acs.org/doi/10.1021/acschemneuro.2c00172","author":[{"family":"Zhao","given":"Wenli"},{"family":"Liu","given":"Yue"},{"family":"Xu","given":"Lijuan"},{"family":"He","given":"Yuan"},{"family":"Cai","given":"Zhenyu"},{"family":"Yu","given":"Jianqiang"},{"family":"Zhang","given":"Wannian"},{"family":"Xing","given":"Chengguo"},{"family":"Zhuang","given":"Chunlin"},{"family":"Qu","given":"Zhuo"}],"accessed":{"date-parts":[["2022",5,24]]},"issued":{"date-parts":[["2022",5,23]]},"citation-key":"zhao_targeting_2022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132</w:t>
      </w:r>
      <w:r w:rsidRPr="002A7128">
        <w:rPr>
          <w:rFonts w:ascii="Calibri" w:hAnsi="Calibri" w:cs="Calibri"/>
        </w:rPr>
        <w:fldChar w:fldCharType="end"/>
      </w:r>
      <w:r w:rsidRPr="002A7128">
        <w:rPr>
          <w:rFonts w:ascii="Calibri" w:hAnsi="Calibri" w:cs="Calibri"/>
        </w:rPr>
        <w:t xml:space="preserve">. </w:t>
      </w:r>
      <w:r w:rsidRPr="002A7128">
        <w:rPr>
          <w:rFonts w:ascii="Calibri" w:hAnsi="Calibri" w:cs="Calibri"/>
        </w:rPr>
        <w:lastRenderedPageBreak/>
        <w:t>Another regulated necrosis modality is pyroptosis. In addition to DAMPs, Ab itself has been shown to induce NLRP1-mediated pyroptosis in neurons. Resulting inflammation increases the progression cognitive impairments which is reversed in NLRP1 or caspase-1 deficient mice</w:t>
      </w:r>
      <w:r w:rsidRPr="002A7128">
        <w:rPr>
          <w:rFonts w:ascii="Calibri" w:hAnsi="Calibri" w:cs="Calibri"/>
        </w:rPr>
        <w:fldChar w:fldCharType="begin"/>
      </w:r>
      <w:r w:rsidR="00A64B61" w:rsidRPr="002A7128">
        <w:rPr>
          <w:rFonts w:ascii="Calibri" w:hAnsi="Calibri" w:cs="Calibri"/>
        </w:rPr>
        <w:instrText xml:space="preserve"> ADDIN ZOTERO_ITEM CSL_CITATION {"citationID":"a47idpfvlh","properties":{"formattedCitation":"\\super 133\\nosupersub{}","plainCitation":"133","noteIndex":0},"citationItems":[{"id":5790,"uris":["http://zotero.org/groups/2667333/items/B8UBRF7N"],"itemData":{"id":5790,"type":"article-journal","abstract":"Increasing evidence has shown the aberrant expression of inflammasome-related proteins in Alzheimer’s disease (AD) brain; these proteins, including NLRP1 inflammasome, are implicated in the execution of inflammatory response and pyroptotic death. Although current data are associated NLRP1 genetic variants with AD, the involvement of NLRP1 inflammasome in AD pathogenesis is still unknown. Using APPswe/PS1dE9 transgenic mice, we found that cerebral NLRP1 levels were upregulated. Our in vitro studies further showed that increased NLRP1-mediated caspase-1-dependent ‘pyroptosis’ in cultured cortical neurons in response to amyloid-β. Moreover, we employed direct in vivo infusion of non-viral small-interfering RNA to knockdown NLRP1 or caspase-1 in APPswe/PS1dE9 brain, and discovered that these NLRP1 or caspase-1 deficiency mice resulted in significantly reduced neuronal pyroptosis and reversed cognitive impairments. Taken together, our findings indicate an important role for NLRP1/caspase-1 signaling in AD progression, and point to the modulation of NLRP1 inflammasome as a promising strategy for AD therapy.","container-title":"Cell Death &amp; Disease","DOI":"10.1038/cddis.2014.348","ISSN":"2041-4889","issue":"8","language":"en","license":"2014 The Author(s)","note":"number: 8\npublisher: Nature Publishing Group\ntex.ids= an_tetraarsenic_2021, tan_amyloid-_2014-1","page":"e1382-e1382","source":"www.nature.com","title":"Amyloid- β induces NLRP1-dependent neuronal pyroptosis in models of Alzheimer’s disease","URL":"https://www.nature.com/articles/cddis2014348","volume":"5","author":[{"family":"Tan","given":"M.-S."},{"family":"Tan","given":"L."},{"family":"Jiang","given":"T."},{"family":"Zhu","given":"X.-C."},{"family":"Wang","given":"H.-F."},{"family":"Jia","given":"C.-D."},{"family":"Yu","given":"J.-T."}],"accessed":{"date-parts":[["2021",2,9]]},"issued":{"date-parts":[["2014",8]]},"citation-key":"tan_amyloid-_2014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133</w:t>
      </w:r>
      <w:r w:rsidRPr="002A7128">
        <w:rPr>
          <w:rFonts w:ascii="Calibri" w:hAnsi="Calibri" w:cs="Calibri"/>
        </w:rPr>
        <w:fldChar w:fldCharType="end"/>
      </w:r>
      <w:r w:rsidRPr="002A7128">
        <w:rPr>
          <w:rFonts w:ascii="Calibri" w:hAnsi="Calibri" w:cs="Calibri"/>
        </w:rPr>
        <w:t>. Similarly, NALP3 inflammasome was also shown to be triggered upon Ab phagocytosis mediated lysosomal damage in microglia</w:t>
      </w:r>
      <w:r w:rsidRPr="002A7128">
        <w:rPr>
          <w:rFonts w:ascii="Calibri" w:hAnsi="Calibri" w:cs="Calibri"/>
        </w:rPr>
        <w:fldChar w:fldCharType="begin"/>
      </w:r>
      <w:r w:rsidR="00A64B61" w:rsidRPr="002A7128">
        <w:rPr>
          <w:rFonts w:ascii="Calibri" w:hAnsi="Calibri" w:cs="Calibri"/>
        </w:rPr>
        <w:instrText xml:space="preserve"> ADDIN ZOTERO_ITEM CSL_CITATION {"citationID":"a1b448rgn91","properties":{"formattedCitation":"\\super 134\\nosupersub{}","plainCitation":"134","noteIndex":0},"citationItems":[{"id":10618,"uris":["http://zotero.org/groups/2667333/items/NGQLJH62"],"itemData":{"id":10618,"type":"article-journal","container-title":"Nature Immunology","DOI":"10.1038/ni.1636","ISSN":"1529-2908, 1529-2916","issue":"8","journalAbbreviation":"Nat Immunol","language":"en","page":"857-865","source":"DOI.org (Crossref)","title":"The NALP3 inflammasome is involved in the innate immune response to amyloid-β","URL":"http://www.nature.com/articles/ni.1636","volume":"9","author":[{"family":"Halle","given":"Annett"},{"family":"Hornung","given":"Veit"},{"family":"Petzold","given":"Gabor C"},{"family":"Stewart","given":"Cameron R"},{"family":"Monks","given":"Brian G"},{"family":"Reinheckel","given":"Thomas"},{"family":"Fitzgerald","given":"Katherine A"},{"family":"Latz","given":"Eicke"},{"family":"Moore","given":"Kathryn J"},{"family":"Golenbock","given":"Douglas T"}],"accessed":{"date-parts":[["2022",5,24]]},"issued":{"date-parts":[["2008",8]]},"citation-key":"halle_nalp3_2008"}}],"schema":"https://github.com/citation-style-language/schema/raw/master/csl-citation.json"}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134</w:t>
      </w:r>
      <w:r w:rsidRPr="002A7128">
        <w:rPr>
          <w:rFonts w:ascii="Calibri" w:hAnsi="Calibri" w:cs="Calibri"/>
        </w:rPr>
        <w:fldChar w:fldCharType="end"/>
      </w:r>
      <w:r w:rsidRPr="002A7128">
        <w:rPr>
          <w:rFonts w:ascii="Calibri" w:hAnsi="Calibri" w:cs="Calibri"/>
        </w:rPr>
        <w:t>. In another study, it was shown that Ab oligomers, not monomers or fibrils, engage pyroptosis through NLRP3 inflammasome for the secretion of IL-1</w:t>
      </w:r>
      <w:r w:rsidRPr="005140F7">
        <w:rPr>
          <w:rFonts w:ascii="Symbol" w:hAnsi="Symbol" w:cs="Calibri"/>
        </w:rPr>
        <w:t>b</w:t>
      </w:r>
      <w:r w:rsidRPr="002A7128">
        <w:rPr>
          <w:rFonts w:ascii="Calibri" w:hAnsi="Calibri" w:cs="Calibri"/>
        </w:rPr>
        <w:fldChar w:fldCharType="begin"/>
      </w:r>
      <w:r w:rsidR="00A64B61" w:rsidRPr="002A7128">
        <w:rPr>
          <w:rFonts w:ascii="Calibri" w:hAnsi="Calibri" w:cs="Calibri"/>
        </w:rPr>
        <w:instrText xml:space="preserve"> ADDIN ZOTERO_ITEM CSL_CITATION {"citationID":"a2bcika653q","properties":{"formattedCitation":"\\super 135\\nosupersub{}","plainCitation":"135","noteIndex":0},"citationItems":[{"id":5588,"uris":["http://zotero.org/groups/2667333/items/5SGKA79Y"],"itemData":{"id":5588,"type":"article-journal","abstract":"Background\nAlzheimer’s disease is a neurodegenerative disease characterized by the interstitial deposition of amyloid β (Aβ) plaque, which is thought to be related to chronic neuroinflammation. Aβ is known to make fibrils via oligomers from monomers. Aβ has been reported to activate the NLRP3 inflammasome in infiltrated macrophages. NLRP3, an intracellular pattern recognition receptor, has been reported to recognize numerous pathogens and/or metabolites and form complexes with adopter protein ASC to make the inflammasome, an interleukin (IL)-1β-processing platform. Although reactive oxygen species from mitochondria have been reported to be involved in the activation of the NLRP3 inflammasome in microglial cells upon the deposition of Aβ, whether Aβ directly or indirectly activates the NLRP3 inflammasome remains unclear.\n\nMethods\nWe prepared monomers, oligomers, and fibrils of Aβ, which promoted the interaction between NLRP3 and each form of Aβ and analyzed the interaction between NLRP3 and ASC induced by each form of Aβ in a cell-free system with the amplified luminescent proximity homogeneous assay. We also confirmed the physiological relevance in a cell-based assay using human embryonic kidney 293T cells and human peripheral mononuclear cells.\n\nResults\nMonomers, oligomers, and fibrils of Aβ were successfully prepared. Aβ oligomers and fibrils interacted with NLRP3. Aβ oligomers and fibrils induced the interaction between NLRP3 and ASC. However, Aβ monomers did not interact with NLRP3 or induce interaction between NLRP3 and ASC in the cell-free system, and IL-1β was not secreted according to the cell-based assay.\n\nConclusion\nOligomerized Aβ originating from non-toxic Aβ monomers directly interacted with NLRP3, leading to the activation of the NLRP3 inflammasome. This may be an attractive target for the treatment of Alzheimer’s disease.\n\nElectronic supplementary material\nThe online version of this article (10.1186/s41232-018-0085-6) contains supplementary material, which is available to authorized users.","container-title":"Inflammation and Regeneration","DOI":"10.1186/s41232-018-0085-6","ISSN":"1880-9693","journalAbbreviation":"Inflamm Regen","note":"PMID: 30459926\nPMCID: PMC6231249","source":"PubMed Central","title":"Amyloid β directly interacts with NLRP3 to initiate inflammasome activation: identification of an intrinsic NLRP3 ligand in a cell-free system","title-short":"Amyloid β directly interacts with NLRP3 to initiate inflammasome activation","URL":"https://www.ncbi.nlm.nih.gov/pmc/articles/PMC6231249/","volume":"38","author":[{"family":"Nakanishi","given":"Ayaka"},{"family":"Kaneko","given":"Naoe"},{"family":"Takeda","given":"Hiroyuki"},{"family":"Sawasaki","given":"Tatsuya"},{"family":"Morikawa","given":"Shinnosuke"},{"family":"Zhou","given":"Wei"},{"family":"Kurata","given":"Mie"},{"family":"Yamamoto","given":"Toshihiro"},{"family":"Akbar","given":"Sheikh Mohammad Fazle"},{"family":"Zako","given":"Tamotsu"},{"family":"Masumoto","given":"Junya"}],"accessed":{"date-parts":[["2021",1,12]]},"issued":{"date-parts":[["2018",11,12]]},"citation-key":"nakanishi_amyloid_2018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135</w:t>
      </w:r>
      <w:r w:rsidRPr="002A7128">
        <w:rPr>
          <w:rFonts w:ascii="Calibri" w:hAnsi="Calibri" w:cs="Calibri"/>
        </w:rPr>
        <w:fldChar w:fldCharType="end"/>
      </w:r>
      <w:r w:rsidRPr="002A7128">
        <w:rPr>
          <w:rFonts w:ascii="Calibri" w:hAnsi="Calibri" w:cs="Calibri"/>
        </w:rPr>
        <w:t>. Iron was found to be elevated in AD patients compared to controls</w:t>
      </w:r>
      <w:r w:rsidRPr="002A7128">
        <w:rPr>
          <w:rFonts w:ascii="Calibri" w:hAnsi="Calibri" w:cs="Calibri"/>
        </w:rPr>
        <w:fldChar w:fldCharType="begin"/>
      </w:r>
      <w:r w:rsidR="00A64B61" w:rsidRPr="002A7128">
        <w:rPr>
          <w:rFonts w:ascii="Calibri" w:hAnsi="Calibri" w:cs="Calibri"/>
        </w:rPr>
        <w:instrText xml:space="preserve"> ADDIN ZOTERO_ITEM CSL_CITATION {"citationID":"a2qg7jthgjt","properties":{"formattedCitation":"\\super 136\\nosupersub{}","plainCitation":"136","noteIndex":0},"citationItems":[{"id":10632,"uris":["http://zotero.org/groups/2667333/items/S9H3D36S"],"itemData":{"id":10632,"type":"article-journal","container-title":"The Journal of Nervous and Mental Disease","DOI":"10.1097/00005053-195308000-00001","ISSN":"0022-3018","issue":"2","journalAbbreviation":"The Journal of Nervous and Mental Disease","language":"en","page":"97-130","source":"DOI.org (Crossref)","title":"ALZHEIMERʼS DISEASE: A Clinico-pathologic Analysis of Twenty-three Cases with a Theory on Pathogenesis","title-short":"ALZHEIMERʼS DISEASE","URL":"http://journals.lww.com/00005053-195308000-00001","volume":"118","author":[{"family":"Goodman","given":"Louis"}],"accessed":{"date-parts":[["2022",5,24]]},"issued":{"date-parts":[["1953",8]]},"citation-key":"goodman_alzheimers_1953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136</w:t>
      </w:r>
      <w:r w:rsidRPr="002A7128">
        <w:rPr>
          <w:rFonts w:ascii="Calibri" w:hAnsi="Calibri" w:cs="Calibri"/>
        </w:rPr>
        <w:fldChar w:fldCharType="end"/>
      </w:r>
      <w:r w:rsidRPr="002A7128">
        <w:rPr>
          <w:rFonts w:ascii="Calibri" w:hAnsi="Calibri" w:cs="Calibri"/>
        </w:rPr>
        <w:t xml:space="preserve"> and ferroptosis is an iron dependent regulated necrosis. One of the characteristics of this cell death modality is lipid peroxidation and high amounts of free iron was shown to initiate cell death in neurons, astrocytes and Schwann cells</w:t>
      </w:r>
      <w:r w:rsidRPr="002A7128">
        <w:rPr>
          <w:rFonts w:ascii="Calibri" w:hAnsi="Calibri" w:cs="Calibri"/>
        </w:rPr>
        <w:fldChar w:fldCharType="begin"/>
      </w:r>
      <w:r w:rsidR="00A64B61" w:rsidRPr="002A7128">
        <w:rPr>
          <w:rFonts w:ascii="Calibri" w:hAnsi="Calibri" w:cs="Calibri"/>
        </w:rPr>
        <w:instrText xml:space="preserve"> ADDIN ZOTERO_ITEM CSL_CITATION {"citationID":"a2gja476ihf","properties":{"formattedCitation":"\\super 137\\nosupersub{}","plainCitation":"137","noteIndex":0},"citationItems":[{"id":11581,"uris":["http://zotero.org/groups/2667333/items/AA3IPFHV"],"itemData":{"id":11581,"type":"article-journal","abstract":"Ferroptosis is a type of cell death that was described less than a decade ago. It is caused by the excess of free intracellular iron that leads to lipid (hydro) peroxidation. Iron is essential as a redox metal in several physiological functions. The brain is one of the organs known to be affected by iron homeostatic balance disruption. Since the 1960s, increased concentration of iron in the central nervous system has been associated with oxidative stress, oxidation of proteins and lipids, and cell death. Here, we review the main mechanisms involved in the process of ferroptosis such as lipid peroxidation, glutathione peroxidase 4 enzyme activity, and iron metabolism. Moreover, the association of ferroptosis with the pathophysiology of some neurodegenerative diseases, namely Alzheimer’s, Parkinson’s, and Huntington’s diseases, has also been addressed.","container-title":"International Journal of Molecular Sciences","DOI":"10.3390/ijms21228765","ISSN":"1422-0067","issue":"22","journalAbbreviation":"IJMS","language":"en","page":"8765","source":"DOI.org (Crossref)","title":"Ferroptosis Mechanisms Involved in Neurodegenerative Diseases","URL":"https://www.mdpi.com/1422-0067/21/22/8765","volume":"21","author":[{"family":"Reichert","given":"Cadiele Oliana"},{"family":"Freitas","given":"Fábio Alessandro","non-dropping-particle":"de"},{"family":"Sampaio-Silva","given":"Juliana"},{"family":"Rokita-Rosa","given":"Leonardo"},{"family":"Barros","given":"Priscila de Lima"},{"family":"Levy","given":"Debora"},{"family":"Bydlowski","given":"Sérgio Paulo"}],"accessed":{"date-parts":[["2022",8,17]]},"issued":{"date-parts":[["2020",11,20]]},"citation-key":"reichert_ferroptosis_2020"}}],"schema":"https://github.com/citation-style-language/schema/raw/master/csl-citation.json"}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137</w:t>
      </w:r>
      <w:r w:rsidRPr="002A7128">
        <w:rPr>
          <w:rFonts w:ascii="Calibri" w:hAnsi="Calibri" w:cs="Calibri"/>
        </w:rPr>
        <w:fldChar w:fldCharType="end"/>
      </w:r>
      <w:r w:rsidRPr="002A7128">
        <w:rPr>
          <w:rFonts w:ascii="Calibri" w:hAnsi="Calibri" w:cs="Calibri"/>
        </w:rPr>
        <w:t>. In fact the relation of iron accumulation and AD was proposed in 1960s</w:t>
      </w:r>
      <w:r w:rsidRPr="002A7128">
        <w:rPr>
          <w:rFonts w:ascii="Calibri" w:hAnsi="Calibri" w:cs="Calibri"/>
        </w:rPr>
        <w:fldChar w:fldCharType="begin"/>
      </w:r>
      <w:r w:rsidR="00A64B61" w:rsidRPr="002A7128">
        <w:rPr>
          <w:rFonts w:ascii="Calibri" w:hAnsi="Calibri" w:cs="Calibri"/>
        </w:rPr>
        <w:instrText xml:space="preserve"> ADDIN ZOTERO_ITEM CSL_CITATION {"citationID":"a162mpftesv","properties":{"formattedCitation":"\\super 138\\nosupersub{}","plainCitation":"138","noteIndex":0},"citationItems":[{"id":11590,"uris":["http://zotero.org/groups/2667333/items/8UIZL6ZR"],"itemData":{"id":11590,"type":"article-journal","container-title":"Journal of Neurochemistry","DOI":"10.1111/j.1471-4159.1960.tb13369.x","ISSN":"0022-3042, 1471-4159","issue":"4","journalAbbreviation":"J Neurochem","language":"en","page":"307-310","source":"DOI.org (Crossref)","title":"THE NON-HAEMIN IRON IN THE CEREBRAL CORTEX IN ALZHEIMER'S DISEASE","URL":"https://onlinelibrary.wiley.com/doi/10.1111/j.1471-4159.1960.tb13369.x","volume":"5","author":[{"family":"Hallgren","given":"Bo"},{"family":"Sourander","given":"Patrick"}],"accessed":{"date-parts":[["2022",8,17]]},"issued":{"date-parts":[["1960",6]]},"citation-key":"hallgren_non-haemin_1960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138</w:t>
      </w:r>
      <w:r w:rsidRPr="002A7128">
        <w:rPr>
          <w:rFonts w:ascii="Calibri" w:hAnsi="Calibri" w:cs="Calibri"/>
        </w:rPr>
        <w:fldChar w:fldCharType="end"/>
      </w:r>
      <w:r w:rsidRPr="002A7128">
        <w:rPr>
          <w:rFonts w:ascii="Calibri" w:hAnsi="Calibri" w:cs="Calibri"/>
        </w:rPr>
        <w:t>. Later it was shown that aging increases the free iron and contributes to Ab plaque formation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{"citationID":"a2nha0l5cb0","properties":{"formattedCitation":"\\super 139\\nosupersub{}","plainCitation":"139","noteIndex":0},"citationItems":[{"id":11591,"uris":["http://zotero.org/groups/2667333/items/WZKLJ2QR"],"itemData":{"id":11591,"type":"article-journal","abstract":"Abstract\n            A dysregulation in the homeostasis of metals such as copper, iron and zinc is speculated to be involved in the pathogenesis of tauopathies, which includes Alzheimer's disease (AD). In particular, there is a growing body of evidence to support a role for iron in facilitating the hyperphosphorylation and aggregation of the tau protein into neurofibrillary tangles (NFTs) – a primary neuropathological hallmark of tauopathies. Therefore, the aim of this study was to characterize the spatial and temporal brain metallomic profile in a mouse model of tauopathy (rTg(tauP301L)4510), so as to provide some insight into the potential interaction between tau pathology and iron. Using laser ablation-inductively coupled plasma-mass spectrometry (LA-ICP-MS), our results revealed an age-dependent increase in brain iron levels in both WT and rTg(tauP301L)4510 mice. In addition, size exclusion chromatography-ICP-MS (SEC-ICP-MS) revealed significant age-related changes in iron bound to metalloproteins such as ferritin. The outcomes from this study may provide valuable insight into the inter-relationship between iron and tau in ageing and neurodegeneration.","container-title":"Metallomics","DOI":"10.1039/c9mt00267g","ISSN":"1756-5901, 1756-591X","issue":"2","language":"en","page":"301-313","source":"DOI.org (Crossref)","title":"Characterising the spatial and temporal brain metal profile in a mouse model of tauopathy","URL":"https://academic.oup.com/metallomics/article/12/2/301/5961861","volume":"12","author":[{"family":"Rao","given":"Shalini S"},{"family":"Lago","given":"Larissa"},{"family":"Gonzalez de Vega","given":"Raquel"},{"family":"Bray","given":"Lisa"},{"family":"Hare","given":"Dominic J"},{"family":"Clases","given":"David"},{"family":"Doble","given":"Philip A"},{"family":"Adlard","given":"Paul A"}],"accessed":{"date-parts":[["2022",8,17]]},"issued":{"date-parts":[["2020",2,26]]},"citation-key":"rao_characterising_2020"}}],"schema":"https://github.com/citation-style-language/schema/raw/master/csl-citation.json"}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139</w:t>
      </w:r>
      <w:r w:rsidRPr="002A7128">
        <w:rPr>
          <w:rFonts w:ascii="Calibri" w:hAnsi="Calibri" w:cs="Calibri"/>
        </w:rPr>
        <w:fldChar w:fldCharType="end"/>
      </w:r>
      <w:r w:rsidRPr="002A7128">
        <w:rPr>
          <w:rFonts w:ascii="Calibri" w:hAnsi="Calibri" w:cs="Calibri"/>
        </w:rPr>
        <w:t xml:space="preserve"> and through misfolding of Ab</w:t>
      </w:r>
      <w:r w:rsidRPr="002A7128">
        <w:rPr>
          <w:rFonts w:ascii="Calibri" w:hAnsi="Calibri" w:cs="Calibri"/>
        </w:rPr>
        <w:fldChar w:fldCharType="begin"/>
      </w:r>
      <w:r w:rsidR="00A64B61" w:rsidRPr="002A7128">
        <w:rPr>
          <w:rFonts w:ascii="Calibri" w:hAnsi="Calibri" w:cs="Calibri"/>
        </w:rPr>
        <w:instrText xml:space="preserve"> ADDIN ZOTERO_ITEM CSL_CITATION {"citationID":"a12hfqt4rvj","properties":{"formattedCitation":"\\super 140\\nosupersub{}","plainCitation":"140","noteIndex":0},"citationItems":[{"id":11593,"uris":["http://zotero.org/groups/2667333/items/67N3JREL"],"itemData":{"id":11593,"type":"article-journal","container-title":"Frontiers in Neuroscience","DOI":"10.3389/fnins.2019.01443","ISSN":"1662-453X","journalAbbreviation":"Front. Neurosci.","page":"1443","source":"DOI.org (Crossref)","title":"Iron Metabolism, Ferroptosis, and the Links With Alzheimer’s Disease","URL":"https://www.frontiersin.org/article/10.3389/fnins.2019.01443/full","volume":"13","author":[{"family":"Yan","given":"Nao"},{"family":"Zhang","given":"JunJian"}],"accessed":{"date-parts":[["2022",8,17]]},"issued":{"date-parts":[["2020",1,29]]},"citation-key":"yan_iron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140</w:t>
      </w:r>
      <w:r w:rsidRPr="002A7128">
        <w:rPr>
          <w:rFonts w:ascii="Calibri" w:hAnsi="Calibri" w:cs="Calibri"/>
        </w:rPr>
        <w:fldChar w:fldCharType="end"/>
      </w:r>
      <w:r w:rsidRPr="002A7128">
        <w:rPr>
          <w:rFonts w:ascii="Calibri" w:hAnsi="Calibri" w:cs="Calibri"/>
        </w:rPr>
        <w:t>. It was recently shown that Inhibition of ferroptosis AD mouse model improved neurodegeneration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{"citationID":"a1j8i2l0vg4","properties":{"formattedCitation":"\\super 141\\nosupersub{}","plainCitation":"141","noteIndex":0},"citationItems":[{"id":11595,"uris":["http://zotero.org/groups/2667333/items/K5CMRN4N"],"itemData":{"id":11595,"type":"article-journal","container-title":"Redox Biology","DOI":"10.1016/j.redox.2017.01.021","ISSN":"22132317","journalAbbreviation":"Redox Biology","language":"en","page":"8-17","source":"DOI.org (Crossref)","title":"Ablation of ferroptosis regulator glutathione peroxidase 4 in forebrain neurons promotes cognitive impairment and neurodegeneration","URL":"https://linkinghub.elsevier.com/retrieve/pii/S2213231717300277","volume":"12","author":[{"family":"Hambright","given":"William Sealy"},{"family":"Fonseca","given":"Rene Solano"},{"family":"Chen","given":"Liuji"},{"family":"Na","given":"Ren"},{"family":"Ran","given":"Qitao"}],"accessed":{"date-parts":[["2022",8,17]]},"issued":{"date-parts":[["2017",8]]},"citation-key":"hambright_ablation_2017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141</w:t>
      </w:r>
      <w:r w:rsidRPr="002A7128">
        <w:rPr>
          <w:rFonts w:ascii="Calibri" w:hAnsi="Calibri" w:cs="Calibri"/>
        </w:rPr>
        <w:fldChar w:fldCharType="end"/>
      </w:r>
      <w:r w:rsidRPr="002A7128">
        <w:rPr>
          <w:rFonts w:ascii="Calibri" w:hAnsi="Calibri" w:cs="Calibri"/>
        </w:rPr>
        <w:t xml:space="preserve">. These studies highlight that there is growing evidence that cell death modalities and progression of neurodegenerative disorders are tightly correlated. Therefore, understanding how aggregation of proteins lead to cell death and consequences of cell death is a promising field which have potential to offer new strategies and therapeutic alternatives. More importantly, understanding that proteins aggregate and induce different cell death modalities involving ICD have tremendous application potentials for developing effective vaccines and fight against cancer. As explained before, ICD and DAMP release engage immune system, suggesting a potential path to use the idea of creating local aggregation for new treatment strategies. </w:t>
      </w:r>
    </w:p>
    <w:p w14:paraId="0A005C12" w14:textId="54E8A0CC" w:rsidR="00A27485" w:rsidRPr="002A7128" w:rsidRDefault="00A27485" w:rsidP="00A27485">
      <w:pPr>
        <w:spacing w:line="480" w:lineRule="auto"/>
        <w:jc w:val="both"/>
        <w:rPr>
          <w:rFonts w:ascii="Calibri" w:hAnsi="Calibri" w:cs="Calibri"/>
        </w:rPr>
      </w:pPr>
      <w:r w:rsidRPr="002A7128">
        <w:rPr>
          <w:rFonts w:ascii="Calibri" w:hAnsi="Calibri" w:cs="Calibri"/>
        </w:rPr>
        <w:lastRenderedPageBreak/>
        <w:t>However, utilization of peptides such as Ab for therapeutic purposes has multiple drawbacks. One major concern is their synthesis. Both Ab 1-40 and Ab 1-42 has been referred to as “difficult peptides” to synthesize through solid-phase peptide synthesis due to their aggregation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{"citationID":"a27v13fhj4h","properties":{"formattedCitation":"\\super 142\\nosupersub{}","plainCitation":"142","noteIndex":0},"citationItems":[{"id":11597,"uris":["http://zotero.org/groups/2667333/items/KLJJQGFU"],"itemData":{"id":11597,"type":"article-journal","abstract":"This review provides an extensive range of methodologies which outline the path to achieve the synthesis of “difficult peptides”.\n          , \n            The last decade has witnessed a renaissance of peptides as drugs. This progress, together with advances in the structural behavior of peptides, has attracted the interest of the pharmaceutical industry in these molecules as potential APIs. In the past, major peptide-based drugs were inspired by sequences extracted from natural structures of low molecular weight. In contrast, nowadays, the peptides being studied by academic and industrial groups comprise more sophisticated sequences. For instance, they consist of long amino acid chains and show a high tendency to form aggregates. Some researchers have claimed that preparing medium-sized proteins is now feasible with chemical ligation techniques, in contrast to medium-sized peptide syntheses. The complexity associated with the synthesis of certain peptides is exemplified by the so-called “difficult peptides”, a concept introduced in the 80's. This refers to sequences that show inter- or intra-molecular β-sheet interactions significant enough to form aggregates during peptide synthesis. These structural associations are stabilized and mediated by non-covalent hydrogen bonds that arise on the backbone of the peptide and—depending on the sequence—are favored. The tendency of peptide chains to aggregate is translated into a list of common behavioral features attributed to “difficult peptides” which hinder their synthesis. In this regard, this manuscript summarizes the strategies used to overcome the inherent difficulties associated with the synthesis of known “difficult peptides”. Here we evaluate several external factors, as well as methods to incorporate chemical modifications into sequences, in order to describe the strategies that are effective for the synthesis of “difficult peptides”. These approaches have been classified and ordered to provide an extensive guide for achieving the synthesis of peptides with the aforementioned features.","container-title":"Chemical Society Reviews","DOI":"10.1039/C5CS00680E","ISSN":"0306-0012, 1460-4744","issue":"3","journalAbbreviation":"Chem. Soc. Rev.","language":"en","page":"631-654","source":"DOI.org (Crossref)","title":"The road to the synthesis of “difficult peptides”","URL":"http://xlink.rsc.org/?DOI=C5CS00680E","volume":"45","author":[{"family":"Paradís-Bas","given":"Marta"},{"family":"Tulla-Puche","given":"Judit"},{"family":"Albericio","given":"Fernando"}],"accessed":{"date-parts":[["2022",8,17]]},"issued":{"date-parts":[["2016"]]},"citation-key":"paradis-bas_road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142</w:t>
      </w:r>
      <w:r w:rsidRPr="002A7128">
        <w:rPr>
          <w:rFonts w:ascii="Calibri" w:hAnsi="Calibri" w:cs="Calibri"/>
        </w:rPr>
        <w:fldChar w:fldCharType="end"/>
      </w:r>
      <w:r w:rsidRPr="002A7128">
        <w:rPr>
          <w:rFonts w:ascii="Calibri" w:hAnsi="Calibri" w:cs="Calibri"/>
        </w:rPr>
        <w:t>. Other issues include but not limited to; achieving high purity and unwanted aggregation within the solution during characterization experiments</w:t>
      </w:r>
      <w:r w:rsidRPr="002A7128">
        <w:rPr>
          <w:rFonts w:ascii="Calibri" w:hAnsi="Calibri" w:cs="Calibri"/>
        </w:rPr>
        <w:fldChar w:fldCharType="begin"/>
      </w:r>
      <w:r w:rsidR="00A64B61" w:rsidRPr="002A7128">
        <w:rPr>
          <w:rFonts w:ascii="Calibri" w:hAnsi="Calibri" w:cs="Calibri"/>
        </w:rPr>
        <w:instrText xml:space="preserve"> ADDIN ZOTERO_ITEM CSL_CITATION {"citationID":"aghah04adq","properties":{"formattedCitation":"\\super 143\\nosupersub{}","plainCitation":"143","noteIndex":0},"citationItems":[{"id":11598,"uris":["http://zotero.org/groups/2667333/items/QPVAHA4H"],"itemData":{"id":11598,"type":"article-journal","container-title":"Frontiers in Chemistry","DOI":"10.3389/fchem.2019.00472","ISSN":"2296-2646","journalAbbreviation":"Front. Chem.","page":"472","source":"DOI.org (Crossref)","title":"Three Decades of Amyloid Beta Synthesis: Challenges and Advances","title-short":"Three Decades of Amyloid Beta Synthesis","URL":"https://www.frontiersin.org/article/10.3389/fchem.2019.00472/full","volume":"7","author":[{"family":"Kasim","given":"Johanes K."},{"family":"Kavianinia","given":"Iman"},{"family":"Harris","given":"Paul W. R."},{"family":"Brimble","given":"Margaret A."}],"accessed":{"date-parts":[["2022",8,17]]},"issued":{"date-parts":[["2019",7,2]]},"citation-key":"kasim_three_2019"}}],"schema":"https://github.com/citation-style-language/schema/raw/master/csl-citation.json"}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143</w:t>
      </w:r>
      <w:r w:rsidRPr="002A7128">
        <w:rPr>
          <w:rFonts w:ascii="Calibri" w:hAnsi="Calibri" w:cs="Calibri"/>
        </w:rPr>
        <w:fldChar w:fldCharType="end"/>
      </w:r>
      <w:r w:rsidRPr="002A7128">
        <w:rPr>
          <w:rFonts w:ascii="Calibri" w:hAnsi="Calibri" w:cs="Calibri"/>
        </w:rPr>
        <w:t>. From a biological outcome perspective, one major drawback of using Ab as a therapeutic tool to induce ICD and DAMP release is the formation of antibodies against Ab. A study using Ab 1-15 and 1-40/42 showed that antibodies are produced against Ab and these antibodies had epitopes within Ab 1-15</w:t>
      </w:r>
      <w:r w:rsidRPr="002A7128">
        <w:rPr>
          <w:rFonts w:ascii="Calibri" w:hAnsi="Calibri" w:cs="Calibri"/>
        </w:rPr>
        <w:fldChar w:fldCharType="begin"/>
      </w:r>
      <w:r w:rsidR="00A64B61" w:rsidRPr="002A7128">
        <w:rPr>
          <w:rFonts w:ascii="Calibri" w:hAnsi="Calibri" w:cs="Calibri"/>
        </w:rPr>
        <w:instrText xml:space="preserve"> ADDIN ZOTERO_ITEM CSL_CITATION {"citationID":"a29di14tlqj","properties":{"formattedCitation":"\\super 144\\nosupersub{}","plainCitation":"144","noteIndex":0},"citationItems":[{"id":10920,"uris":["http://zotero.org/groups/2667333/items/GY4TH72S"],"itemData":{"id":10920,"type":"article-journal","container-title":"Vaccine","DOI":"10.1016/S0264-410X(02)00754-5","ISSN":"0264410X","issue":"17-18","journalAbbreviation":"Vaccine","language":"en","page":"2197-2206","source":"DOI.org (Crossref)","title":"A$beta;1-15 is less immunogenic than A$beta;1-40/42 for intranasal immunization of wild-type mice but may be effective for ?boosting?","title-short":"A$beta;1-15 is less immunogenic than A$beta;1-40/42 for intranasal immunization of wild-type mice but may be effective for ?","URL":"https://linkinghub.elsevier.com/retrieve/pii/S0264410X02007545","volume":"21","author":[{"family":"Leverone","given":"J"}],"accessed":{"date-parts":[["2022",7,5]]},"issued":{"date-parts":[["2003",5]]},"citation-key":"leverone_beta1-15_2003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144</w:t>
      </w:r>
      <w:r w:rsidRPr="002A7128">
        <w:rPr>
          <w:rFonts w:ascii="Calibri" w:hAnsi="Calibri" w:cs="Calibri"/>
        </w:rPr>
        <w:fldChar w:fldCharType="end"/>
      </w:r>
      <w:r w:rsidRPr="002A7128">
        <w:rPr>
          <w:rFonts w:ascii="Calibri" w:hAnsi="Calibri" w:cs="Calibri"/>
        </w:rPr>
        <w:t xml:space="preserve">. Therefore, utilization of Ab for developing new vaccines against infectious diseases or different cancer types would present additional challenges given that repetitive utilization would likely be inhibited by the antibodies formed against it. </w:t>
      </w:r>
    </w:p>
    <w:p w14:paraId="4AD8C8F3" w14:textId="22326839" w:rsidR="00A27485" w:rsidRPr="002A7128" w:rsidRDefault="00A27485">
      <w:pPr>
        <w:pStyle w:val="Heading2"/>
        <w:numPr>
          <w:ilvl w:val="2"/>
          <w:numId w:val="2"/>
        </w:numPr>
        <w:rPr>
          <w:rFonts w:ascii="Calibri" w:hAnsi="Calibri" w:cs="Calibri"/>
        </w:rPr>
      </w:pPr>
      <w:bookmarkStart w:id="39" w:name="_Toc115787975"/>
      <w:bookmarkStart w:id="40" w:name="_Toc120794133"/>
      <w:r w:rsidRPr="002A7128">
        <w:rPr>
          <w:rFonts w:ascii="Calibri" w:hAnsi="Calibri" w:cs="Calibri"/>
        </w:rPr>
        <w:t>Peptide Aggregation Model to Induce ICD and DAMP release</w:t>
      </w:r>
      <w:bookmarkEnd w:id="39"/>
      <w:bookmarkEnd w:id="40"/>
    </w:p>
    <w:p w14:paraId="79A1E4C5" w14:textId="77777777" w:rsidR="00A27485" w:rsidRPr="002A7128" w:rsidRDefault="00A27485" w:rsidP="00A27485">
      <w:pPr>
        <w:rPr>
          <w:rFonts w:ascii="Calibri" w:hAnsi="Calibri" w:cs="Calibri"/>
        </w:rPr>
      </w:pPr>
    </w:p>
    <w:p w14:paraId="6CB3B307" w14:textId="3B164D82" w:rsidR="00A27485" w:rsidRPr="002A7128" w:rsidRDefault="00B5776C" w:rsidP="00A27485">
      <w:pPr>
        <w:spacing w:line="480" w:lineRule="auto"/>
        <w:jc w:val="both"/>
        <w:rPr>
          <w:rFonts w:ascii="Calibri" w:hAnsi="Calibri" w:cs="Calibri"/>
        </w:rPr>
      </w:pPr>
      <w:r w:rsidRPr="002A7128">
        <w:rPr>
          <w:rFonts w:ascii="Calibri" w:hAnsi="Calibri" w:cs="Calibri"/>
        </w:rPr>
        <w:t>T</w:t>
      </w:r>
      <w:r w:rsidR="00C738C5" w:rsidRPr="002A7128">
        <w:rPr>
          <w:rFonts w:ascii="Calibri" w:hAnsi="Calibri" w:cs="Calibri"/>
        </w:rPr>
        <w:t xml:space="preserve">o </w:t>
      </w:r>
      <w:r w:rsidRPr="002A7128">
        <w:rPr>
          <w:rFonts w:ascii="Calibri" w:hAnsi="Calibri" w:cs="Calibri"/>
        </w:rPr>
        <w:t>overcome the limitations of aggregating peptides but to leverage their functionality. We designed a platform called CoOP</w:t>
      </w:r>
      <w:r w:rsidR="0008275D" w:rsidRPr="002A7128">
        <w:rPr>
          <w:rFonts w:ascii="Calibri" w:hAnsi="Calibri" w:cs="Calibri"/>
        </w:rPr>
        <w:fldChar w:fldCharType="begin"/>
      </w:r>
      <w:r w:rsidR="00317E7D" w:rsidRPr="002A7128">
        <w:rPr>
          <w:rFonts w:ascii="Calibri" w:hAnsi="Calibri" w:cs="Calibri"/>
        </w:rPr>
        <w:instrText xml:space="preserve"> ADDIN ZOTERO_ITEM CSL_CITATION {"citationID":"a27bl54as1a","properties":{"formattedCitation":"\\super 145\\nosupersub{}","plainCitation":"145","noteIndex":0},"citationItems":[{"id":9925,"uris":["http://zotero.org/groups/2667333/items/CDKDX376"],"itemData":{"id":9925,"type":"article-journal","abstract":"Co-assembly of oppositely charged peptides (CoOP) links intermolecular interactions and material properties.","archive_location":"world","container-title":"Science Advances","DOI":"10.1126/sciadv.abj0305","language":"EN","license":"Copyright © 2022 The Authors, some rights reserved; exclusive licensee American Association for the Advancement of Science. No claim to original U.S. Government Works. Distributed under a Creative Commons Attribution NonCommercial License 4.0 (CC BY-NC).","note":"publisher: American Association for the Advancement of Science\ntex.ids= doi:10.1126/sciadv.abj0305","source":"www.science.org","title":"Peptide framework for screening the effects of amino acids on assembly","URL":"https://www.science.org/doi/abs/10.1126/sciadv.abj0305","author":[{"family":"Hamsici","given":"Seren"},{"family":"White","given":"Andrew D."},{"family":"Acar","given":"Handan"}],"accessed":{"date-parts":[["2022",1,19]]},"issued":{"date-parts":[["2022",1]]},"citation-key":"hamsici_peptide_2022"}}],"schema":"https://github.com/citation-style-language/schema/raw/master/csl-citation.json"} </w:instrText>
      </w:r>
      <w:r w:rsidR="0008275D" w:rsidRPr="002A7128">
        <w:rPr>
          <w:rFonts w:ascii="Calibri" w:hAnsi="Calibri" w:cs="Calibri"/>
        </w:rPr>
        <w:fldChar w:fldCharType="separate"/>
      </w:r>
      <w:r w:rsidR="00317E7D" w:rsidRPr="002A7128">
        <w:rPr>
          <w:rFonts w:ascii="Calibri" w:hAnsi="Calibri" w:cs="Calibri"/>
          <w:vertAlign w:val="superscript"/>
        </w:rPr>
        <w:t>145</w:t>
      </w:r>
      <w:r w:rsidR="0008275D" w:rsidRPr="002A7128">
        <w:rPr>
          <w:rFonts w:ascii="Calibri" w:hAnsi="Calibri" w:cs="Calibri"/>
        </w:rPr>
        <w:fldChar w:fldCharType="end"/>
      </w:r>
      <w:r w:rsidRPr="002A7128">
        <w:rPr>
          <w:rFonts w:ascii="Calibri" w:hAnsi="Calibri" w:cs="Calibri"/>
        </w:rPr>
        <w:t xml:space="preserve">. This platform is based the utilization of two oppositely charged peptides for a controlled and local aggregation to induce ICD and DAMP release. We identified a peptide pair (EFFIIE and KFFIIK) called [II] peptide and utilized this technology for ICD and DAMP release for the development of vaccines and tumor treatment strategy. </w:t>
      </w:r>
      <w:r w:rsidR="00C738C5" w:rsidRPr="002A7128">
        <w:rPr>
          <w:rFonts w:ascii="Calibri" w:hAnsi="Calibri" w:cs="Calibri"/>
        </w:rPr>
        <w:t>[II] peptide tool induces controllable ICD and DAMP release which overcomes the limitations of chemotherapeutics and physical therapies, which are often limited for their therapeutic window</w:t>
      </w:r>
      <w:r w:rsidR="0008275D" w:rsidRPr="002A7128">
        <w:rPr>
          <w:rFonts w:ascii="Calibri" w:hAnsi="Calibri" w:cs="Calibri"/>
        </w:rPr>
        <w:fldChar w:fldCharType="begin"/>
      </w:r>
      <w:r w:rsidR="00317E7D" w:rsidRPr="002A7128">
        <w:rPr>
          <w:rFonts w:ascii="Calibri" w:hAnsi="Calibri" w:cs="Calibri"/>
        </w:rPr>
        <w:instrText xml:space="preserve"> ADDIN ZOTERO_ITEM CSL_CITATION {"citationID":"a1hv9bjr63s","properties":{"formattedCitation":"\\super 90,95\\nosupersub{}","plainCitation":"90,95","noteIndex":0},"citationItems":[{"id":6151,"uris":["http://zotero.org/groups/2667333/items/WSQBTCLY"],"itemData":{"id":6151,"type":"article-journal","abstract":"A thermal “window” of immunogenic cell death (ICD) elicited by nanoparticle-based photothermal therapy (PTT) in an animal model of neuroblastoma is described. In studies using Prussian blue nanoparticles to administer photothermal therapy (PBNP-PTT) to established localized tumors in the neuroblastoma model, it is observed that PBNP-PTT conforms to the “more is better” paradigm, wherein higher doses of PBNP-PTT generates higher cell/local heating and thereby more cell death, and consequently improved animal survival. However, in vitro analysis of the biochemical correlates of ICD (ATP, high-motility group box 1, and calreticulin) elicited by PBNP-PTT demonstrates that PBNP-PTT triggers a thermal window of ICD. ICD markers are highly expressed within an optimal temperature (thermal dose) window of PBNP-PTT (63.3–66.4 °C) as compared with higher (83.0–83.5 °C) and lower PBNP-PTT (50.7–52.7 °C) temperatures, which both yield lower expression. Subsequent vaccination studies in the neuroblastoma model confirm the in vitro findings, wherein PBNP-PTT administered within the optimal temperature window results in long-term survival (33.3% at 100 d) compared with PBNP-PTT administered within the higher (0%) and lower (20%) temperature ranges, and controls (0%). The findings demonstrate a tunable immune response to heat generated by PBNP-PTT, which should be critically engaged in the administration of PTT for maximizing its therapeutic benefits.","container-title":"Small","DOI":"https://doi.org/10.1002/smll.201800678","ISSN":"1613-6829","issue":"20","language":"en","license":"© 2018 WILEY‐VCH Verlag GmbH &amp; Co. KGaA, Weinheim","note":"_eprint: https://onlinelibrary.wiley.com/doi/pdf/10.1002/smll.201800678\ntex.ids= sweeney_photothermal_2018-1","page":"1800678","source":"Wiley Online Library","title":"Photothermal Therapy Generates a Thermal Window of Immunogenic Cell Death in Neuroblastoma","URL":"https://onlinelibrary.wiley.com/doi/abs/10.1002/smll.201800678","volume":"14","author":[{"family":"Sweeney","given":"Elizabeth E."},{"family":"Cano‐Mejia","given":"Juliana"},{"family":"Fernandes","given":"Rohan"}],"accessed":{"date-parts":[["2021",3,28]]},"issued":{"date-parts":[["2018"]]},"citation-key":"sweeney_photothermal_2018"}},{"id":11238,"uris":["http://zotero.org/groups/2667333/items/DETJ7R2M"],"itemData":{"id":11238,"type":"article-journal","container-title":"Annals of Translational Medicine","DOI":"10.21037/atm.2019.09.128","ISSN":"23055839, 23055847","issue":"20","journalAbbreviation":"Ann. Transl. Med.","page":"542-542","source":"DOI.org (Crossref)","title":"Comparison of the effects of photon, proton and carbon-ion radiation on the ecto-calreticulin exposure in various tumor cell lines","URL":"http://atm.amegroups.com/article/view/30597/26317","volume":"7","author":[{"family":"Huang","given":"Yangle"},{"family":"Dong","given":"Yuanli"},{"family":"Zhao","given":"Jingfang"},{"family":"Zhang","given":"Lijia"},{"family":"Kong","given":"Lin"},{"family":"Lu","given":"Jiade Jay"}],"accessed":{"date-parts":[["2022",7,12]]},"issued":{"date-parts":[["2019",10]]},"citation-key":"huang_comparison_2019"}}],"schema":"https://github.com/citation-style-language/schema/raw/master/csl-citation.json"} </w:instrText>
      </w:r>
      <w:r w:rsidR="0008275D" w:rsidRPr="002A7128">
        <w:rPr>
          <w:rFonts w:ascii="Calibri" w:hAnsi="Calibri" w:cs="Calibri"/>
        </w:rPr>
        <w:fldChar w:fldCharType="separate"/>
      </w:r>
      <w:r w:rsidR="00317E7D" w:rsidRPr="002A7128">
        <w:rPr>
          <w:rFonts w:ascii="Calibri" w:hAnsi="Calibri" w:cs="Calibri"/>
          <w:vertAlign w:val="superscript"/>
        </w:rPr>
        <w:t>90,95</w:t>
      </w:r>
      <w:r w:rsidR="0008275D" w:rsidRPr="002A7128">
        <w:rPr>
          <w:rFonts w:ascii="Calibri" w:hAnsi="Calibri" w:cs="Calibri"/>
        </w:rPr>
        <w:fldChar w:fldCharType="end"/>
      </w:r>
      <w:r w:rsidR="00C738C5" w:rsidRPr="002A7128">
        <w:rPr>
          <w:rFonts w:ascii="Calibri" w:hAnsi="Calibri" w:cs="Calibri"/>
        </w:rPr>
        <w:t>.</w:t>
      </w:r>
    </w:p>
    <w:p w14:paraId="11979C00" w14:textId="53A08D41" w:rsidR="0008275D" w:rsidRPr="002A7128" w:rsidRDefault="0008275D" w:rsidP="00A27485">
      <w:pPr>
        <w:spacing w:line="480" w:lineRule="auto"/>
        <w:jc w:val="both"/>
        <w:rPr>
          <w:rFonts w:ascii="Calibri" w:hAnsi="Calibri" w:cs="Calibri"/>
        </w:rPr>
      </w:pPr>
      <w:r w:rsidRPr="002A7128">
        <w:rPr>
          <w:rFonts w:ascii="Calibri" w:hAnsi="Calibri" w:cs="Calibri"/>
        </w:rPr>
        <w:t xml:space="preserve">The first chapter of this thesis is focused on the background information on ICD and DAMP release. Activation of immune system is explained and roles of individual cells on stimulating </w:t>
      </w:r>
      <w:r w:rsidRPr="002A7128">
        <w:rPr>
          <w:rFonts w:ascii="Calibri" w:hAnsi="Calibri" w:cs="Calibri"/>
        </w:rPr>
        <w:lastRenderedPageBreak/>
        <w:t xml:space="preserve">proper activation. ICD is explained and individual DAMPs and their role in activating immune cells have been detailly explained. Different techniques used to induce ICD and DAMP release are discussed including their advantages and limitations. </w:t>
      </w:r>
      <w:r w:rsidR="00124C75" w:rsidRPr="002A7128">
        <w:rPr>
          <w:rFonts w:ascii="Calibri" w:hAnsi="Calibri" w:cs="Calibri"/>
        </w:rPr>
        <w:t xml:space="preserve">Naturally aggregating peptides and their role in ICD induction and DAMP release were discussed along with their limitation in terms of synthesis and biological utilization for immunotherapy applications. Moreover, this chapter emphasizes the necessity of designing new materials for improved ICD and DAMP release to overcome the limitations of aforementioned techniques. </w:t>
      </w:r>
    </w:p>
    <w:p w14:paraId="1222C7FD" w14:textId="62A2D986" w:rsidR="00A27485" w:rsidRPr="002A7128" w:rsidRDefault="00424997" w:rsidP="00A27485">
      <w:pPr>
        <w:spacing w:line="480" w:lineRule="auto"/>
        <w:jc w:val="both"/>
        <w:rPr>
          <w:rFonts w:ascii="Calibri" w:hAnsi="Calibri" w:cs="Calibri"/>
        </w:rPr>
      </w:pPr>
      <w:r w:rsidRPr="002A7128">
        <w:rPr>
          <w:rFonts w:ascii="Calibri" w:hAnsi="Calibri" w:cs="Calibri"/>
        </w:rPr>
        <w:t xml:space="preserve">The second chapter of this thesis is focused on the utilization of [II] peptide aggregation for cell death and DAMP release. </w:t>
      </w:r>
      <w:r w:rsidR="00A27485" w:rsidRPr="002A7128">
        <w:rPr>
          <w:rFonts w:ascii="Calibri" w:hAnsi="Calibri" w:cs="Calibri"/>
        </w:rPr>
        <w:t>We showed that [II] peptide induces ICD and DAMP release in multiple different cell types. We analyzed the signaling mechanism and identified that [II] peptide induces secondary GSDME mediated pyroptosis (a regulated necrotic cell death modality). Lastly, leveraging the capability of [II] peptide to induce DAMP release, we used it as an adjuvant and developed a quadrivalent influenza hemagglutinin vaccine. [II] peptide increased the production antigen specific IgG1 and IgG2a antibodies. Due to the ability of [II] peptide to induce immune response through ICD and DAMP release, we named this platform as “Peptide Aggregation Induced Immunogenic Rupture” (PAIIR).</w:t>
      </w:r>
    </w:p>
    <w:p w14:paraId="1100314C" w14:textId="085FC15C" w:rsidR="00424997" w:rsidRPr="002A7128" w:rsidRDefault="00424997" w:rsidP="00A27485">
      <w:pPr>
        <w:spacing w:line="480" w:lineRule="auto"/>
        <w:jc w:val="both"/>
        <w:rPr>
          <w:rFonts w:ascii="Calibri" w:hAnsi="Calibri" w:cs="Calibri"/>
        </w:rPr>
      </w:pPr>
      <w:r w:rsidRPr="002A7128">
        <w:rPr>
          <w:rFonts w:ascii="Calibri" w:hAnsi="Calibri" w:cs="Calibri"/>
        </w:rPr>
        <w:t>T</w:t>
      </w:r>
      <w:r w:rsidR="00A27485" w:rsidRPr="002A7128">
        <w:rPr>
          <w:rFonts w:ascii="Calibri" w:hAnsi="Calibri" w:cs="Calibri"/>
        </w:rPr>
        <w:t xml:space="preserve">he third chapter of this thesis </w:t>
      </w:r>
      <w:r w:rsidRPr="002A7128">
        <w:rPr>
          <w:rFonts w:ascii="Calibri" w:hAnsi="Calibri" w:cs="Calibri"/>
        </w:rPr>
        <w:t xml:space="preserve">is focused on the modulation of [II] peptide aggregation to control cell membrane damage and immunogenicity of dying cells. </w:t>
      </w:r>
      <w:r w:rsidR="00A27485" w:rsidRPr="002A7128">
        <w:rPr>
          <w:rFonts w:ascii="Calibri" w:hAnsi="Calibri" w:cs="Calibri"/>
        </w:rPr>
        <w:t xml:space="preserve">We showed that albumin can be utilized to </w:t>
      </w:r>
      <w:r w:rsidRPr="002A7128">
        <w:rPr>
          <w:rFonts w:ascii="Calibri" w:hAnsi="Calibri" w:cs="Calibri"/>
        </w:rPr>
        <w:t>change</w:t>
      </w:r>
      <w:r w:rsidR="00A27485" w:rsidRPr="002A7128">
        <w:rPr>
          <w:rFonts w:ascii="Calibri" w:hAnsi="Calibri" w:cs="Calibri"/>
        </w:rPr>
        <w:t xml:space="preserve"> [II] peptide aggregation </w:t>
      </w:r>
      <w:r w:rsidRPr="002A7128">
        <w:rPr>
          <w:rFonts w:ascii="Calibri" w:hAnsi="Calibri" w:cs="Calibri"/>
        </w:rPr>
        <w:t>ultimately influencing</w:t>
      </w:r>
      <w:r w:rsidR="00A27485" w:rsidRPr="002A7128">
        <w:rPr>
          <w:rFonts w:ascii="Calibri" w:hAnsi="Calibri" w:cs="Calibri"/>
        </w:rPr>
        <w:t xml:space="preserve"> cell membrane damag</w:t>
      </w:r>
      <w:r w:rsidRPr="002A7128">
        <w:rPr>
          <w:rFonts w:ascii="Calibri" w:hAnsi="Calibri" w:cs="Calibri"/>
        </w:rPr>
        <w:t>e</w:t>
      </w:r>
      <w:r w:rsidR="00A27485" w:rsidRPr="002A7128">
        <w:rPr>
          <w:rFonts w:ascii="Calibri" w:hAnsi="Calibri" w:cs="Calibri"/>
        </w:rPr>
        <w:t xml:space="preserve">. </w:t>
      </w:r>
      <w:r w:rsidRPr="002A7128">
        <w:rPr>
          <w:rFonts w:ascii="Calibri" w:hAnsi="Calibri" w:cs="Calibri"/>
        </w:rPr>
        <w:t>I</w:t>
      </w:r>
      <w:r w:rsidR="00A27485" w:rsidRPr="002A7128">
        <w:rPr>
          <w:rFonts w:ascii="Calibri" w:hAnsi="Calibri" w:cs="Calibri"/>
        </w:rPr>
        <w:t xml:space="preserve">ndividual positively and negatively charged components of [II] peptide localize on cell membranes and induce cell stress, analyzed through Hippo signaling pathway and endoplasmic reticulum signaling pathway. </w:t>
      </w:r>
      <w:r w:rsidRPr="002A7128">
        <w:rPr>
          <w:rFonts w:ascii="Calibri" w:hAnsi="Calibri" w:cs="Calibri"/>
        </w:rPr>
        <w:t xml:space="preserve">Immunogenicity of dying cells change as the cells continue to die. </w:t>
      </w:r>
      <w:r w:rsidRPr="002A7128">
        <w:rPr>
          <w:rFonts w:ascii="Calibri" w:hAnsi="Calibri" w:cs="Calibri"/>
        </w:rPr>
        <w:lastRenderedPageBreak/>
        <w:t xml:space="preserve">We treated breast cancer cells with different [II] aggregation profiles and studied the immunogenicity of dying cells in a breast cancer prophylactic vaccination model.  </w:t>
      </w:r>
    </w:p>
    <w:p w14:paraId="628A5532" w14:textId="5139AAE3" w:rsidR="00A27485" w:rsidRPr="002A7128" w:rsidRDefault="00424997" w:rsidP="00A27485">
      <w:pPr>
        <w:spacing w:line="480" w:lineRule="auto"/>
        <w:jc w:val="both"/>
        <w:rPr>
          <w:rFonts w:ascii="Calibri" w:hAnsi="Calibri" w:cs="Calibri"/>
        </w:rPr>
      </w:pPr>
      <w:r w:rsidRPr="002A7128">
        <w:rPr>
          <w:rFonts w:ascii="Calibri" w:hAnsi="Calibri" w:cs="Calibri"/>
        </w:rPr>
        <w:t>The fourth</w:t>
      </w:r>
      <w:r w:rsidR="00A27485" w:rsidRPr="002A7128">
        <w:rPr>
          <w:rFonts w:ascii="Calibri" w:hAnsi="Calibri" w:cs="Calibri"/>
        </w:rPr>
        <w:t xml:space="preserve"> chapter of this thesis</w:t>
      </w:r>
      <w:r w:rsidRPr="002A7128">
        <w:rPr>
          <w:rFonts w:ascii="Calibri" w:hAnsi="Calibri" w:cs="Calibri"/>
        </w:rPr>
        <w:t xml:space="preserve"> is focused on the utilization of [II] peptide aggregation in a 3-dimensional (3D) spheroid model and the comparison of DAMP release with chemotherapeutic drugs. </w:t>
      </w:r>
      <w:r w:rsidR="00A27485" w:rsidRPr="002A7128">
        <w:rPr>
          <w:rFonts w:ascii="Calibri" w:hAnsi="Calibri" w:cs="Calibri"/>
        </w:rPr>
        <w:t xml:space="preserve">We first introduced a 3D spheroid model, which can be formed in different shapes and sizes. Next, we established that spheroids are resistant to chemotherapeutic drugs compared to their monolayer counterparts. Utilizing this information, we used spheroid model to study the capability of ICD and DAMP release induction by [II] peptide. We compared [II] peptide with commonly used chemotherapeutics mitoxantrone and cisplatin and showed that [II] peptide is superior in terms of DAMP release and immune cell activation. </w:t>
      </w:r>
    </w:p>
    <w:p w14:paraId="2C5D9E5B" w14:textId="1E90E55F" w:rsidR="0008275D" w:rsidRPr="002A7128" w:rsidRDefault="0008275D" w:rsidP="00A27485">
      <w:pPr>
        <w:spacing w:line="480" w:lineRule="auto"/>
        <w:jc w:val="both"/>
        <w:rPr>
          <w:rFonts w:ascii="Calibri" w:hAnsi="Calibri" w:cs="Calibri"/>
        </w:rPr>
      </w:pPr>
    </w:p>
    <w:p w14:paraId="37BC3EF6" w14:textId="4BC827DA" w:rsidR="0008275D" w:rsidRDefault="0008275D" w:rsidP="00A27485">
      <w:pPr>
        <w:spacing w:line="480" w:lineRule="auto"/>
        <w:jc w:val="both"/>
        <w:rPr>
          <w:rFonts w:ascii="Palatino Linotype" w:hAnsi="Palatino Linotype"/>
        </w:rPr>
      </w:pPr>
    </w:p>
    <w:p w14:paraId="58ADB0C8" w14:textId="1A63D9A7" w:rsidR="0008275D" w:rsidRDefault="0008275D" w:rsidP="00A27485">
      <w:pPr>
        <w:spacing w:line="480" w:lineRule="auto"/>
        <w:jc w:val="both"/>
        <w:rPr>
          <w:rFonts w:ascii="Palatino Linotype" w:hAnsi="Palatino Linotype"/>
        </w:rPr>
      </w:pPr>
    </w:p>
    <w:p w14:paraId="03A18BDA" w14:textId="74D5FE9B" w:rsidR="0008275D" w:rsidRDefault="0008275D" w:rsidP="00A27485">
      <w:pPr>
        <w:spacing w:line="480" w:lineRule="auto"/>
        <w:jc w:val="both"/>
        <w:rPr>
          <w:rFonts w:ascii="Palatino Linotype" w:hAnsi="Palatino Linotype"/>
        </w:rPr>
      </w:pPr>
    </w:p>
    <w:p w14:paraId="50957A24" w14:textId="117B9E68" w:rsidR="00412405" w:rsidRDefault="00412405" w:rsidP="00A27485">
      <w:pPr>
        <w:spacing w:line="480" w:lineRule="auto"/>
        <w:jc w:val="both"/>
        <w:rPr>
          <w:rFonts w:ascii="Palatino Linotype" w:hAnsi="Palatino Linotype"/>
        </w:rPr>
      </w:pPr>
    </w:p>
    <w:p w14:paraId="4E78C1C4" w14:textId="77777777" w:rsidR="00412405" w:rsidRDefault="00412405" w:rsidP="00A27485">
      <w:pPr>
        <w:spacing w:line="480" w:lineRule="auto"/>
        <w:jc w:val="both"/>
        <w:rPr>
          <w:rFonts w:ascii="Palatino Linotype" w:hAnsi="Palatino Linotype"/>
        </w:rPr>
      </w:pPr>
    </w:p>
    <w:p w14:paraId="07DD0EBD" w14:textId="468B2667" w:rsidR="0008275D" w:rsidRPr="002A7128" w:rsidRDefault="0008275D" w:rsidP="00A27485">
      <w:pPr>
        <w:spacing w:line="480" w:lineRule="auto"/>
        <w:jc w:val="both"/>
        <w:rPr>
          <w:rFonts w:ascii="Calibri" w:hAnsi="Calibri" w:cs="Calibri"/>
        </w:rPr>
      </w:pPr>
    </w:p>
    <w:p w14:paraId="4B35C71F" w14:textId="7B6DA246" w:rsidR="00140ABD" w:rsidRDefault="00140ABD" w:rsidP="00140ABD">
      <w:pPr>
        <w:rPr>
          <w:rFonts w:ascii="Calibri" w:hAnsi="Calibri" w:cs="Calibri"/>
        </w:rPr>
      </w:pPr>
    </w:p>
    <w:p w14:paraId="37F75469" w14:textId="266E1916" w:rsidR="002B27CA" w:rsidRDefault="002B27CA" w:rsidP="00140ABD">
      <w:pPr>
        <w:rPr>
          <w:rFonts w:ascii="Calibri" w:hAnsi="Calibri" w:cs="Calibri"/>
        </w:rPr>
      </w:pPr>
    </w:p>
    <w:p w14:paraId="68C52BC5" w14:textId="5AA1D101" w:rsidR="002B27CA" w:rsidRDefault="002B27CA" w:rsidP="00140ABD">
      <w:pPr>
        <w:rPr>
          <w:rFonts w:ascii="Calibri" w:hAnsi="Calibri" w:cs="Calibri"/>
        </w:rPr>
      </w:pPr>
    </w:p>
    <w:p w14:paraId="0CDBF06D" w14:textId="6776F655" w:rsidR="002B27CA" w:rsidRDefault="002B27CA" w:rsidP="00140ABD">
      <w:pPr>
        <w:rPr>
          <w:rFonts w:ascii="Calibri" w:hAnsi="Calibri" w:cs="Calibri"/>
        </w:rPr>
      </w:pPr>
    </w:p>
    <w:p w14:paraId="59D50F04" w14:textId="4FCFBA5D" w:rsidR="002B27CA" w:rsidRDefault="002B27CA" w:rsidP="00140ABD">
      <w:pPr>
        <w:rPr>
          <w:rFonts w:ascii="Calibri" w:hAnsi="Calibri" w:cs="Calibri"/>
        </w:rPr>
      </w:pPr>
    </w:p>
    <w:p w14:paraId="6F2D6B82" w14:textId="77777777" w:rsidR="002B27CA" w:rsidRPr="002A7128" w:rsidRDefault="002B27CA" w:rsidP="00140ABD">
      <w:pPr>
        <w:rPr>
          <w:rFonts w:ascii="Calibri" w:hAnsi="Calibri" w:cs="Calibri"/>
        </w:rPr>
      </w:pPr>
    </w:p>
    <w:p w14:paraId="2431833F" w14:textId="2E5AA276" w:rsidR="0095358A" w:rsidRPr="002A7128" w:rsidRDefault="000711C0" w:rsidP="006D34B7">
      <w:pPr>
        <w:pStyle w:val="Heading1"/>
        <w:spacing w:line="480" w:lineRule="auto"/>
        <w:rPr>
          <w:rFonts w:ascii="Calibri" w:hAnsi="Calibri" w:cs="Calibri"/>
        </w:rPr>
      </w:pPr>
      <w:bookmarkStart w:id="41" w:name="_Toc120794134"/>
      <w:r w:rsidRPr="002A7128">
        <w:rPr>
          <w:rFonts w:ascii="Calibri" w:hAnsi="Calibri" w:cs="Calibri"/>
        </w:rPr>
        <w:lastRenderedPageBreak/>
        <w:t xml:space="preserve">Chapter </w:t>
      </w:r>
      <w:r w:rsidR="00140ABD" w:rsidRPr="002A7128">
        <w:rPr>
          <w:rFonts w:ascii="Calibri" w:hAnsi="Calibri" w:cs="Calibri"/>
        </w:rPr>
        <w:t>2</w:t>
      </w:r>
      <w:r w:rsidRPr="002A7128">
        <w:rPr>
          <w:rFonts w:ascii="Calibri" w:hAnsi="Calibri" w:cs="Calibri"/>
        </w:rPr>
        <w:t>: Peptide Aggregation Induced Immunogenic Rupture (PAIIR)</w:t>
      </w:r>
      <w:bookmarkEnd w:id="41"/>
    </w:p>
    <w:p w14:paraId="285840C4" w14:textId="77777777" w:rsidR="006C6B0D" w:rsidRPr="002A7128" w:rsidRDefault="006C6B0D" w:rsidP="006C6B0D">
      <w:pPr>
        <w:spacing w:line="480" w:lineRule="auto"/>
        <w:rPr>
          <w:rFonts w:ascii="Calibri" w:hAnsi="Calibri" w:cs="Calibri"/>
          <w:color w:val="000000" w:themeColor="text1"/>
          <w:u w:val="single"/>
        </w:rPr>
      </w:pPr>
      <w:r w:rsidRPr="002A7128">
        <w:rPr>
          <w:rFonts w:ascii="Calibri" w:hAnsi="Calibri" w:cs="Calibri"/>
          <w:color w:val="000000" w:themeColor="text1"/>
          <w:u w:val="single"/>
        </w:rPr>
        <w:t xml:space="preserve">This section is adapted from the following publication: </w:t>
      </w:r>
    </w:p>
    <w:p w14:paraId="5CB96E07" w14:textId="77777777" w:rsidR="006C6B0D" w:rsidRPr="002A7128" w:rsidRDefault="006C6B0D" w:rsidP="006C6B0D">
      <w:pPr>
        <w:spacing w:line="480" w:lineRule="auto"/>
        <w:jc w:val="both"/>
        <w:rPr>
          <w:rFonts w:ascii="Calibri" w:hAnsi="Calibri" w:cs="Calibri"/>
        </w:rPr>
      </w:pPr>
      <w:proofErr w:type="spellStart"/>
      <w:r w:rsidRPr="002A7128">
        <w:rPr>
          <w:rFonts w:ascii="Calibri" w:hAnsi="Calibri" w:cs="Calibri"/>
          <w:color w:val="222222"/>
          <w:shd w:val="clear" w:color="auto" w:fill="FFFFFF"/>
        </w:rPr>
        <w:t>Gunay</w:t>
      </w:r>
      <w:proofErr w:type="spellEnd"/>
      <w:r w:rsidRPr="002A7128">
        <w:rPr>
          <w:rFonts w:ascii="Calibri" w:hAnsi="Calibri" w:cs="Calibri"/>
          <w:color w:val="222222"/>
          <w:shd w:val="clear" w:color="auto" w:fill="FFFFFF"/>
        </w:rPr>
        <w:t xml:space="preserve">, </w:t>
      </w:r>
      <w:proofErr w:type="spellStart"/>
      <w:r w:rsidRPr="002A7128">
        <w:rPr>
          <w:rFonts w:ascii="Calibri" w:hAnsi="Calibri" w:cs="Calibri"/>
          <w:color w:val="222222"/>
          <w:shd w:val="clear" w:color="auto" w:fill="FFFFFF"/>
        </w:rPr>
        <w:t>Gokhan</w:t>
      </w:r>
      <w:proofErr w:type="spellEnd"/>
      <w:r w:rsidRPr="002A7128">
        <w:rPr>
          <w:rFonts w:ascii="Calibri" w:hAnsi="Calibri" w:cs="Calibri"/>
          <w:color w:val="222222"/>
          <w:shd w:val="clear" w:color="auto" w:fill="FFFFFF"/>
        </w:rPr>
        <w:t xml:space="preserve">, </w:t>
      </w:r>
      <w:proofErr w:type="spellStart"/>
      <w:r w:rsidRPr="002A7128">
        <w:rPr>
          <w:rFonts w:ascii="Calibri" w:hAnsi="Calibri" w:cs="Calibri"/>
          <w:color w:val="222222"/>
          <w:shd w:val="clear" w:color="auto" w:fill="FFFFFF"/>
        </w:rPr>
        <w:t>Seren</w:t>
      </w:r>
      <w:proofErr w:type="spellEnd"/>
      <w:r w:rsidRPr="002A7128">
        <w:rPr>
          <w:rFonts w:ascii="Calibri" w:hAnsi="Calibri" w:cs="Calibri"/>
          <w:color w:val="222222"/>
          <w:shd w:val="clear" w:color="auto" w:fill="FFFFFF"/>
        </w:rPr>
        <w:t xml:space="preserve"> </w:t>
      </w:r>
      <w:proofErr w:type="spellStart"/>
      <w:r w:rsidRPr="002A7128">
        <w:rPr>
          <w:rFonts w:ascii="Calibri" w:hAnsi="Calibri" w:cs="Calibri"/>
          <w:color w:val="222222"/>
          <w:shd w:val="clear" w:color="auto" w:fill="FFFFFF"/>
        </w:rPr>
        <w:t>Hamsici</w:t>
      </w:r>
      <w:proofErr w:type="spellEnd"/>
      <w:r w:rsidRPr="002A7128">
        <w:rPr>
          <w:rFonts w:ascii="Calibri" w:hAnsi="Calibri" w:cs="Calibri"/>
          <w:color w:val="222222"/>
          <w:shd w:val="clear" w:color="auto" w:fill="FFFFFF"/>
        </w:rPr>
        <w:t xml:space="preserve">, Gillian A. Lang, Mark L. Lang, Susan </w:t>
      </w:r>
      <w:proofErr w:type="spellStart"/>
      <w:r w:rsidRPr="002A7128">
        <w:rPr>
          <w:rFonts w:ascii="Calibri" w:hAnsi="Calibri" w:cs="Calibri"/>
          <w:color w:val="222222"/>
          <w:shd w:val="clear" w:color="auto" w:fill="FFFFFF"/>
        </w:rPr>
        <w:t>Kovats</w:t>
      </w:r>
      <w:proofErr w:type="spellEnd"/>
      <w:r w:rsidRPr="002A7128">
        <w:rPr>
          <w:rFonts w:ascii="Calibri" w:hAnsi="Calibri" w:cs="Calibri"/>
          <w:color w:val="222222"/>
          <w:shd w:val="clear" w:color="auto" w:fill="FFFFFF"/>
        </w:rPr>
        <w:t xml:space="preserve">, and Handan </w:t>
      </w:r>
      <w:proofErr w:type="spellStart"/>
      <w:r w:rsidRPr="002A7128">
        <w:rPr>
          <w:rFonts w:ascii="Calibri" w:hAnsi="Calibri" w:cs="Calibri"/>
          <w:color w:val="222222"/>
          <w:shd w:val="clear" w:color="auto" w:fill="FFFFFF"/>
        </w:rPr>
        <w:t>Acar</w:t>
      </w:r>
      <w:proofErr w:type="spellEnd"/>
      <w:r w:rsidRPr="002A7128">
        <w:rPr>
          <w:rFonts w:ascii="Calibri" w:hAnsi="Calibri" w:cs="Calibri"/>
          <w:color w:val="222222"/>
          <w:shd w:val="clear" w:color="auto" w:fill="FFFFFF"/>
        </w:rPr>
        <w:t>. "Peptide Aggregation Induced Immunogenic Rupture (PAIIR)." </w:t>
      </w:r>
      <w:r w:rsidRPr="002A7128">
        <w:rPr>
          <w:rFonts w:ascii="Calibri" w:hAnsi="Calibri" w:cs="Calibri"/>
          <w:i/>
          <w:iCs/>
          <w:color w:val="222222"/>
        </w:rPr>
        <w:t xml:space="preserve">Advanced Science </w:t>
      </w:r>
      <w:r w:rsidRPr="002A7128">
        <w:rPr>
          <w:rFonts w:ascii="Calibri" w:hAnsi="Calibri" w:cs="Calibri"/>
          <w:color w:val="222222"/>
          <w:shd w:val="clear" w:color="auto" w:fill="FFFFFF"/>
        </w:rPr>
        <w:t>(2022): 2105868.</w:t>
      </w:r>
    </w:p>
    <w:p w14:paraId="66175657" w14:textId="77777777" w:rsidR="006C6B0D" w:rsidRPr="002A7128" w:rsidRDefault="006C6B0D" w:rsidP="006C6B0D">
      <w:pPr>
        <w:rPr>
          <w:rFonts w:ascii="Calibri" w:hAnsi="Calibri" w:cs="Calibri"/>
        </w:rPr>
      </w:pPr>
    </w:p>
    <w:p w14:paraId="1818022F" w14:textId="09DCC01C" w:rsidR="0095358A" w:rsidRPr="002A7128" w:rsidRDefault="0095358A">
      <w:pPr>
        <w:pStyle w:val="Heading2"/>
        <w:numPr>
          <w:ilvl w:val="1"/>
          <w:numId w:val="7"/>
        </w:numPr>
        <w:spacing w:line="480" w:lineRule="auto"/>
        <w:rPr>
          <w:rFonts w:ascii="Calibri" w:hAnsi="Calibri" w:cs="Calibri"/>
        </w:rPr>
      </w:pPr>
      <w:bookmarkStart w:id="42" w:name="_Toc120794135"/>
      <w:r w:rsidRPr="002A7128">
        <w:rPr>
          <w:rFonts w:ascii="Calibri" w:hAnsi="Calibri" w:cs="Calibri"/>
        </w:rPr>
        <w:t>Introduction</w:t>
      </w:r>
      <w:bookmarkEnd w:id="42"/>
    </w:p>
    <w:p w14:paraId="70BB6973" w14:textId="0D63CC91" w:rsidR="0095358A" w:rsidRPr="002A7128" w:rsidRDefault="0095358A" w:rsidP="00F675B4">
      <w:pPr>
        <w:spacing w:line="480" w:lineRule="auto"/>
        <w:jc w:val="both"/>
        <w:rPr>
          <w:rFonts w:ascii="Calibri" w:hAnsi="Calibri" w:cs="Calibri"/>
        </w:rPr>
      </w:pPr>
      <w:r w:rsidRPr="002A7128">
        <w:rPr>
          <w:rFonts w:ascii="Calibri" w:hAnsi="Calibri" w:cs="Calibri"/>
        </w:rPr>
        <w:t>As a result of cell membrane damage or stress, cells release damage-associated molecular patterns (DAMPs) and die through immunogenic cell death (ICD), which has powerful immune system enhancing effects. Several infectious pathogens and cancers deploy strategies to limit the emission of DAMPs and escape immunosurveillance</w:t>
      </w:r>
      <w:r w:rsidRPr="002A7128">
        <w:rPr>
          <w:rFonts w:ascii="Calibri" w:hAnsi="Calibri" w:cs="Calibri"/>
        </w:rPr>
        <w:fldChar w:fldCharType="begin"/>
      </w:r>
      <w:r w:rsidR="00317E7D" w:rsidRPr="002A7128">
        <w:rPr>
          <w:rFonts w:ascii="Calibri" w:hAnsi="Calibri" w:cs="Calibri"/>
        </w:rPr>
        <w:instrText xml:space="preserve"> ADDIN ZOTERO_ITEM CSL_CITATION {"citationID":"ashqe1otgj","properties":{"formattedCitation":"\\super 146\\nosupersub{}","plainCitation":"146","noteIndex":0},"citationItems":[{"id":6651,"uris":["http://zotero.org/groups/2667333/items/DCFYA9IQ"],"itemData":{"id":6651,"type":"article-journal","abstract":"The immunogenicity of cell death is determined by its antigenicity and its adjuvanticity.Cells infected by pathogens as well as cancer cells exhibit accrued antigenicity.Stress responses in dying cells cause the emission of adjuvant-like danger signals.Different sets of danger signals are associated with distinct variants of immunogenic cell death.Both pathogens and cancer cells interrupt danger signalling for their own benefit.Reinstating the immunogenicity of cell death holds promise for anticancer therapy.","container-title":"Nature Reviews Immunology","DOI":"10.1038/nri.2016.107","ISSN":"1474-1741","issue":"2","journalAbbreviation":"Nat Rev Immunol","language":"en","license":"2016 Nature Publishing Group, a division of Macmillan Publishers Limited. All Rights Reserved.","note":"number: 2\npublisher: Nature Publishing Group","page":"97-111","source":"www.nature.com","title":"Immunogenic cell death in cancer and infectious disease","URL":"https://www.nature.com/articles/nri.2016.107","volume":"17","author":[{"family":"Galluzzi","given":"Lorenzo"},{"family":"Buqué","given":"Aitziber"},{"family":"Kepp","given":"Oliver"},{"family":"Zitvogel","given":"Laurence"},{"family":"Kroemer","given":"Guido"}],"accessed":{"date-parts":[["2021",6,8]]},"issued":{"date-parts":[["2017",2]]},"citation-key":"galluzzi_immunogenic_2017"}}],"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146</w:t>
      </w:r>
      <w:r w:rsidRPr="002A7128">
        <w:rPr>
          <w:rFonts w:ascii="Calibri" w:hAnsi="Calibri" w:cs="Calibri"/>
        </w:rPr>
        <w:fldChar w:fldCharType="end"/>
      </w:r>
      <w:r w:rsidRPr="002A7128">
        <w:rPr>
          <w:rFonts w:ascii="Calibri" w:hAnsi="Calibri" w:cs="Calibri"/>
        </w:rPr>
        <w:t>. Inducing and controlling localized ICD in the presence of an antigen has a significant potential for therapeutic and protective immunity. Released DAMPs with immunostimulatory effects show "adjuvant-like" properties and engage antigen-presenting cells (APCs) to stimulate a robust, long-lasting immunity. In cancer treatment, inducing ICD and DAMP release with chemotherapeutics and photothermal therapy improves the antitumoral effect</w:t>
      </w:r>
      <w:r w:rsidRPr="002A7128">
        <w:rPr>
          <w:rFonts w:ascii="Calibri" w:hAnsi="Calibri" w:cs="Calibri"/>
        </w:rPr>
        <w:fldChar w:fldCharType="begin"/>
      </w:r>
      <w:r w:rsidR="00317E7D" w:rsidRPr="002A7128">
        <w:rPr>
          <w:rFonts w:ascii="Calibri" w:hAnsi="Calibri" w:cs="Calibri"/>
        </w:rPr>
        <w:instrText xml:space="preserve"> ADDIN ZOTERO_ITEM CSL_CITATION {"citationID":"athqo5dsn4","properties":{"formattedCitation":"\\super 147,148\\nosupersub{}","plainCitation":"147,148","noteIndex":0},"citationItems":[{"id":6326,"uris":["http://zotero.org/groups/2667333/items/WHPDQEB5"],"itemData":{"id":6326,"type":"article-journal","abstract":"Many chemotherapy treatments induce apoptosis or pyroptosis through BAK/BAX-dependent mitochondrial pathway. BAK/BAX activation causes the mitochondrial outer membrane permeabilization (MOMP), which induces the activation of pro-apoptotic caspase cascade. GSDME cleavage by the pro-apoptotic caspases determines whether chemotherapy drug treatments induce apoptosis or pyroptosis, however, its regulation mechanisms are not clear. In this study, we showed that TNFα+CHX and navitoclax-induced cancer cell pyroptosis through a BAK/BAX-caspase-3-GSDME signaling pathway. GSDME knockdown inhibited the pyroptosis, suggesting the essential role of GSDME in this process. Interestingly, GSDME was found to be palmitoylated on its C-terminal (GSDME-C) during chemotherapy-induced pyroptosis, while 2-bromopalmitate (2-BP) could inhibit the GSDME-C palmitoylation and chemotherapy-induced pyroptosis. Mutation of palmitoylation sites on GSDME also diminished the pyroptosis induced by chemotherapy drugs. Moreover, 2-BP treatment increased the interaction between GSDME-C and GSDME-N, providing a potential mechanism of this function. Further studies indicated several ZDHHC proteins including ZDHHC-2,7,11,15 could interact with and palmitoylate GSDME. Our findings offered new targets to achieve the transformation between chemotherapy-induced pyroptosis and apoptosis.","container-title":"Cell Death &amp; Disease","DOI":"10.1038/s41419-020-2476-2","ISSN":"2041-4889","issue":"4","journalAbbreviation":"Cell Death Dis","note":"PMID: 32332857\nPMCID: PMC7181755","source":"PubMed Central","title":"Chemotherapy-induced pyroptosis is mediated by BAK/BAX-caspase-3-GSDME pathway and inhibited by 2-bromopalmitate","URL":"https://www.ncbi.nlm.nih.gov/pmc/articles/PMC7181755/","volume":"11","author":[{"family":"Hu","given":"Lei"},{"family":"Chen","given":"Meng"},{"family":"Chen","given":"Xueran"},{"family":"Zhao","given":"Chenggang"},{"family":"Fang","given":"Zhiyou"},{"family":"Wang","given":"Hongzhi"},{"family":"Dai","given":"Haiming"}],"accessed":{"date-parts":[["2021",5,12]]},"issued":{"date-parts":[["2020",4,24]]},"citation-key":"hu_chemotherapy-induced_2020"}},{"id":6994,"uris":["http://zotero.org/groups/2667333/items/DL56E92J"],"itemData":{"id":6994,"type":"article-journal","abstract":"A photothermal and immune co-therapy strategy based on natural melanin nanoparticles was developed for treating primary and abscopal breast cancers.\n          , \n            A photothermal and immune co-therapy strategy based on natural melanin nanoparticles was developed for treating primary and abscopal breast cancers.","container-title":"Chemical Communications","DOI":"10.1039/C9CC08447A","ISSN":"1359-7345, 1364-548X","issue":"9","journalAbbreviation":"Chem. Commun.","language":"en","page":"1389-1392","source":"DOI.org (Crossref)","title":"Photothermal therapy-induced immunogenic cell death based on natural melanin nanoparticles against breast cancer","URL":"http://xlink.rsc.org/?DOI=C9CC08447A","volume":"56","author":[{"family":"Li","given":"Yanhua"},{"family":"Liu","given":"Xiaohan"},{"family":"Pan","given":"Wei"},{"family":"Li","given":"Na"},{"family":"Tang","given":"Bo"}],"accessed":{"date-parts":[["2021",8,6]]},"issued":{"date-parts":[["2020"]]},"citation-key":"li_photothermal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147,148</w:t>
      </w:r>
      <w:r w:rsidRPr="002A7128">
        <w:rPr>
          <w:rFonts w:ascii="Calibri" w:hAnsi="Calibri" w:cs="Calibri"/>
        </w:rPr>
        <w:fldChar w:fldCharType="end"/>
      </w:r>
      <w:r w:rsidRPr="002A7128">
        <w:rPr>
          <w:rFonts w:ascii="Calibri" w:hAnsi="Calibri" w:cs="Calibri"/>
        </w:rPr>
        <w:t>. Similarly, engaging DAMP release enhances the antigen-specific immunity in vaccination strategies</w:t>
      </w:r>
      <w:r w:rsidRPr="002A7128">
        <w:rPr>
          <w:rFonts w:ascii="Calibri" w:hAnsi="Calibri" w:cs="Calibri"/>
        </w:rPr>
        <w:fldChar w:fldCharType="begin"/>
      </w:r>
      <w:r w:rsidR="00317E7D" w:rsidRPr="002A7128">
        <w:rPr>
          <w:rFonts w:ascii="Calibri" w:hAnsi="Calibri" w:cs="Calibri"/>
        </w:rPr>
        <w:instrText xml:space="preserve"> ADDIN ZOTERO_ITEM CSL_CITATION {"citationID":"a81idh82kb","properties":{"formattedCitation":"\\super 149\\nosupersub{}","plainCitation":"149","noteIndex":0},"citationItems":[{"id":2565,"uris":["http://zotero.org/groups/2667333/items/UVXUQZSN"],"itemData":{"id":2565,"type":"article-journal","abstract":"Recently, it was reported that 2-hydroxypropyl-beta-cyclodextrin (HP-beta-CyD), a common pharmaceutical additive, can act as a vaccine adjuvant to enhance protective type-2 immunogenicity to co-administered seasonal influenza split vaccine by inducing host-derived damage-associated molecular patterns (DAMPs). However, like most other DAMP-inducing adjuvants such as aluminum hydroxide (Alum), HP-beta-CyD may not be sufficient for the induction of protective type-1 (cellular) immune responses, thereby leaving room for improvement. Here, we demonstrate that a combination of HP-beta-CyD with a humanized TLR9 agonist, K3 CpG-ODN, a potent pathogen-associated molecular pattern (PAMP), enhanced the protective efficacy of the co-administered influenza split vaccine by inducing antigen-specific type-2 and type-1 immune responses, respectively. Moreover, substantial antigen-specific IgE induction by HP-beta-CyD, which can cause an allergic response to immunized antigen was completely suppressed by the addition of K3 CpG-ODN. Furthermore, HP-beta-CyD- and K3 CpG-ODN-adjuvanted influenza split vaccination protected the mice against lethal challenge with high doses of heterologous influenza virus, which could not be protected against by single adjuvant vaccines. Further experiments using gene deficient mice revealed the unique immunological mechanism of action in vivo, where type-2 and type-1 immune responses enhanced by the combined adjuvants were dependent on TBK1 and TLR9, respectively, indicating their parallel signaling pathways. Finally, the analysis of immune responses in the draining lymph node suggested that HP-beta-CyD promotes the uptake of K3 CpG-ODN by plasmacytoid dendritic cells and B cells, which may contributes to the activation of these cells and enhanced production of IgG2c. Taken together, the results above may offer potential clinical applications for the combination of DAMP-inducing adjuvant and PAMP adjuvant to improve vaccine immunogenicity and efficacy by enhancing both type-2 and type-1 immune responses in a parallel manner.","container-title":"Frontiers in Immunology","DOI":"10.3389/fimmu.2018.02619","ISSN":"1664-3224","journalAbbreviation":"Front. Immunol.","language":"English","note":"ZSCC: NoCitationData[s0] \npublisher: Frontiers\ntex.ids= hayashi_damp-inducing_2018-1","source":"Frontiers","title":"DAMP-Inducing Adjuvant and PAMP Adjuvants Parallelly Enhance Protective Type-2 and Type-1 Immune Responses to Influenza Split Vaccination","URL":"https://www.frontiersin.org/articles/10.3389/fimmu.2018.02619/full#B31","volume":"9","author":[{"family":"Hayashi","given":"Tomoya"},{"family":"Momota","given":"Masatoshi"},{"family":"Kuroda","given":"Etsushi"},{"family":"Kusakabe","given":"Takato"},{"family":"Kobari","given":"Shingo"},{"family":"Makisaka","given":"Kotaro"},{"family":"Ohno","given":"Yoshitaka"},{"family":"Suzuki","given":"Yusuke"},{"family":"Nakagawa","given":"Fumika"},{"family":"Lee","given":"Michelle S. J."},{"family":"Coban","given":"Cevayir"},{"family":"Onodera","given":"Risako"},{"family":"Higashi","given":"Taishi"},{"family":"Motoyama","given":"Keiichi"},{"family":"Ishii","given":"Ken J."},{"family":"Arima","given":"Hidetoshi"}],"accessed":{"date-parts":[["2020",7,30]]},"issued":{"date-parts":[["2018"]]},"citation-key":"hayashi_damp-inducing_2018"}}],"schema":"https://github.com/citation-style-language/schema/raw/master/csl-citation.json"}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149</w:t>
      </w:r>
      <w:r w:rsidRPr="002A7128">
        <w:rPr>
          <w:rFonts w:ascii="Calibri" w:hAnsi="Calibri" w:cs="Calibri"/>
        </w:rPr>
        <w:fldChar w:fldCharType="end"/>
      </w:r>
      <w:r w:rsidRPr="002A7128">
        <w:rPr>
          <w:rFonts w:ascii="Calibri" w:hAnsi="Calibri" w:cs="Calibri"/>
        </w:rPr>
        <w:t>. Despite this potential, the current ICD-inducing technologies are limited because they are effective only in specific applications and demonstrate off-target toxicity</w:t>
      </w:r>
      <w:r w:rsidRPr="002A7128">
        <w:rPr>
          <w:rFonts w:ascii="Calibri" w:hAnsi="Calibri" w:cs="Calibri"/>
        </w:rPr>
        <w:fldChar w:fldCharType="begin"/>
      </w:r>
      <w:r w:rsidR="00317E7D" w:rsidRPr="002A7128">
        <w:rPr>
          <w:rFonts w:ascii="Calibri" w:hAnsi="Calibri" w:cs="Calibri"/>
        </w:rPr>
        <w:instrText xml:space="preserve"> ADDIN ZOTERO_ITEM CSL_CITATION {"citationID":"a2429s0hqer","properties":{"formattedCitation":"\\super 150,151\\nosupersub{}","plainCitation":"150,151","noteIndex":0},"citationItems":[{"id":8898,"uris":["http://zotero.org/groups/2667333/items/BBTZE3FL"],"itemData":{"id":8898,"type":"article-journal","abstract":"Abstract\n            Current cancer immunotherapy has limited response rates in a large variety of solid tumors partly due to the low immunogenicity of the tumor cells and the immunosuppressive tumor microenvironment (ITM). A number of clinical cancer treatment modalities, including radiotherapy, chemotherapy, photothermal and photodynamic therapy, have been shown to elicit immunogenicity by inducing immunogenic cell death (ICD). However, ICD-based immunotherapy is restricted by the ITM limiting its efficacy in eliciting a long-term antitumor immune response, and by severe systemic toxicity. To address these challenges, nanomedicine-based drug delivery strategies have been exploited for improving cancer immunotherapy by boosting ICD of the tumor cells. Nanosized drug delivery systems are promising for increasing drug accumulation at the tumor site and codelivering ICD inducers and immune inhibitors to simultaneously elicit the immune response and relieve the ITM. This review highlights the recent advances in nanomedicine-based immunotherapy utilizing ICD-based approaches. A perspective on the clinical translation of nanomedicine-based cancer immunotherapy is also provided.","container-title":"Acta Pharmacologica Sinica","DOI":"10.1038/s41401-020-0400-z","ISSN":"1671-4083, 1745-7254","issue":"7","journalAbbreviation":"Acta Pharmacol Sin","language":"en","page":"986-994","source":"DOI.org (Crossref)","title":"Engineering nanomedicines through boosting immunogenic cell death for improved cancer immunotherapy","URL":"http://www.nature.com/articles/s41401-020-0400-z","volume":"41","author":[{"family":"Gao","given":"Jing"},{"family":"Wang","given":"Wei-qi"},{"family":"Pei","given":"Qing"},{"family":"Lord","given":"Megan S."},{"family":"Yu","given":"Hai-jun"}],"accessed":{"date-parts":[["2021",8,26]]},"issued":{"date-parts":[["2020",7]]},"citation-key":"gao_engineering_2020"}},{"id":9418,"uris":["http://zotero.org/groups/2667333/items/YAJ5Y845"],"itemData":{"id":9418,"type":"article-journal","abstract":"Photothermal therapy (PTT) at present, following the temperature definition for conventional thermal therapy, usually keeps the temperature of lesions at 42–45 °C or even higher. Such high temperature kills cancer cells but also increases the damage of normal tissues near lesions through heat conduction and thus brings about more side effects and inhibits therapeutic accuracy. Here we use temperature-feedback upconversion nanoparticle combined with photothermal material for real-time monitoring of microscopic temperature in PTT. We observe that microscopic temperature of photothermal material upon illumination is high enough to kill cancer cells when the temperature of lesions is still low enough to prevent damage to normal tissue. On the basis of the above phenomenon, we further realize high spatial resolution photothermal ablation of labelled tumour with minimal damage to normal tissues in vivo. Our work points to a method for investigating photothermal properties at nanoscale, and for the development of new generation of PTT strategy.","container-title":"Nature Communications","DOI":"10.1038/ncomms10437","ISSN":"2041-1723","issue":"1","journalAbbreviation":"Nat Commun","language":"en","license":"2015 The Author(s)","note":"Bandiera_abtest: a\nCc_license_type: cc_by\nCg_type: Nature Research Journals\nnumber: 1\nPrimary_atype: Research\npublisher: Nature Publishing Group\nSubject_term: Cancer therapy;Nanoparticles\nSubject_term_id: cancer-therapy;nanoparticles","page":"10437","source":"www.nature.com","title":"Temperature-feedback upconversion nanocomposite for accurate photothermal therapy at facile temperature","URL":"https://www.nature.com/articles/ncomms10437","volume":"7","author":[{"family":"Zhu","given":"Xingjun"},{"family":"Feng","given":"Wei"},{"family":"Chang","given":"Jian"},{"family":"Tan","given":"Yan-Wen"},{"family":"Li","given":"Jiachang"},{"family":"Chen","given":"Min"},{"family":"Sun","given":"Yun"},{"family":"Li","given":"Fuyou"}],"accessed":{"date-parts":[["2021",11,3]]},"issued":{"date-parts":[["2016",2,4]]},"citation-key":"zhu_temperature-feedback_2016"}}],"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150,151</w:t>
      </w:r>
      <w:r w:rsidRPr="002A7128">
        <w:rPr>
          <w:rFonts w:ascii="Calibri" w:hAnsi="Calibri" w:cs="Calibri"/>
        </w:rPr>
        <w:fldChar w:fldCharType="end"/>
      </w:r>
      <w:r w:rsidRPr="002A7128">
        <w:rPr>
          <w:rFonts w:ascii="Calibri" w:hAnsi="Calibri" w:cs="Calibri"/>
        </w:rPr>
        <w:t>. Therefore, there is an emerging clinical need for a tool that can induce controlled ICD and is effective across different cell types to increase the efficacy of current immunotherapy treatments.</w:t>
      </w:r>
    </w:p>
    <w:p w14:paraId="025BE338" w14:textId="61BBDCFE" w:rsidR="0095358A" w:rsidRPr="002A7128" w:rsidRDefault="0095358A" w:rsidP="00F675B4">
      <w:pPr>
        <w:spacing w:line="480" w:lineRule="auto"/>
        <w:jc w:val="both"/>
        <w:rPr>
          <w:rFonts w:ascii="Calibri" w:hAnsi="Calibri" w:cs="Calibri"/>
        </w:rPr>
      </w:pPr>
      <w:r w:rsidRPr="002A7128">
        <w:rPr>
          <w:rFonts w:ascii="Calibri" w:hAnsi="Calibri" w:cs="Calibri"/>
        </w:rPr>
        <w:t xml:space="preserve">Vaccination is critical for preventing the spread of respiratory viruses like influenza. However, current influenza vaccines have limited efficacy and cannot provide long-lasting and universal </w:t>
      </w:r>
      <w:r w:rsidRPr="002A7128">
        <w:rPr>
          <w:rFonts w:ascii="Calibri" w:hAnsi="Calibri" w:cs="Calibri"/>
        </w:rPr>
        <w:lastRenderedPageBreak/>
        <w:t>protection due to the high mutation rate in HA antigens</w:t>
      </w:r>
      <w:r w:rsidRPr="002A7128">
        <w:rPr>
          <w:rFonts w:ascii="Calibri" w:hAnsi="Calibri" w:cs="Calibri"/>
        </w:rPr>
        <w:fldChar w:fldCharType="begin"/>
      </w:r>
      <w:r w:rsidR="00317E7D" w:rsidRPr="002A7128">
        <w:rPr>
          <w:rFonts w:ascii="Calibri" w:hAnsi="Calibri" w:cs="Calibri"/>
        </w:rPr>
        <w:instrText xml:space="preserve"> ADDIN ZOTERO_ITEM CSL_CITATION {"citationID":"a2j5elhl38m","properties":{"formattedCitation":"\\super 152\\uc0\\u8211{}154\\nosupersub{}","plainCitation":"152–154","noteIndex":0},"citationItems":[{"id":3369,"uris":["http://zotero.org/groups/2667333/items/GSFQA574"],"itemData":{"id":3369,"type":"article-journal","container-title":"New England Journal of Medicine","DOI":"10.1056/NEJMp1714916","ISSN":"0028-4793","issue":"1","note":"publisher: Massachusetts Medical Society\n_eprint: https://doi.org/10.1056/NEJMp1714916\nPMID: 29185857","page":"7-9","source":"Taylor and Francis+NEJM","title":"Chasing Seasonal Influenza — The Need for a Universal Influenza Vaccine","URL":"https://doi.org/10.1056/NEJMp1714916","volume":"378","author":[{"family":"Paules","given":"Catharine I."},{"family":"Sullivan","given":"Sheena G."},{"family":"Subbarao","given":"Kanta"},{"family":"Fauci","given":"Anthony S."}],"accessed":{"date-parts":[["2021",1,6]]},"issued":{"date-parts":[["2018",1,4]]},"citation-key":"paules_chasing_2018"}},{"id":9736,"uris":["http://zotero.org/groups/2667333/items/UMK7RFGY"],"itemData":{"id":9736,"type":"article-journal","container-title":"International Journal of Molecular Sciences","DOI":"10.3390/ijms18081650","ISSN":"1422-0067","issue":"8","journalAbbreviation":"IJMS","language":"en","page":"1650","source":"DOI.org (Crossref)","title":"Evolution of Influenza A Virus by Mutation and Re-Assortment","URL":"http://www.mdpi.com/1422-0067/18/8/1650","volume":"18","author":[{"family":"Shao","given":"Wenhan"},{"family":"Li","given":"Xinxin"},{"family":"Goraya","given":"Mohsan"},{"family":"Wang","given":"Song"},{"family":"Chen","given":"Ji-Long"}],"accessed":{"date-parts":[["2021",12,9]]},"issued":{"date-parts":[["2017",8,7]]},"citation-key":"shao_evolution_2017"}},{"id":2090,"uris":["http://zotero.org/groups/2667333/items/U5NDKA2C"],"itemData":{"id":2090,"type":"article-journal","abstract":"Immunity after the flu shot\nThe seasonal flu shot is currently recommended each year because the influenza viral strains in circulation are continuously changing and because the antibody responses produced by the vaccine decline over time. In a human study of healthy volunteers, Davis et al. tracked antibody responses after flu vaccination. They investigated whether the vaccine led to the generation of antibody-secreting plasma cells in the bone marrow, a lymphoid organ that supports the survival of these cells for years. Although vaccination did generate influenza-specific cells, most were short-lived and lost within 1 year. The fact that a small number did persist over 1 year raises prospects that the longevity of flu vaccines can be improved and provides key information for the development of universal vaccines against influenza.\nScience, this issue p. 237\nA universal vaccine against influenza would ideally generate protective immune responses that are not only broadly reactive against multiple influenza strains but also long-lasting. Because long-term serum antibody levels are maintained by bone marrow plasma cells (BMPCs), we investigated the production and maintenance of these cells after influenza vaccination. We found increased numbers of influenza-specific BMPCs 4 weeks after immunization with the seasonal inactivated influenza vaccine, but numbers returned to near their prevaccination levels after 1 year. This decline was driven by the loss of BMPCs induced by the vaccine, whereas preexisting BMPCs were maintained. Our results suggest that most BMPCs generated by influenza vaccination in adults are short-lived. Designing strategies to enhance their persistence will be a key challenge for the next generation of influenza vaccines.\nResearchers explore the decline of influenza-specific bone marrow plasma cells after vaccination in humans.\nResearchers explore the decline of influenza-specific bone marrow plasma cells after vaccination in humans.","container-title":"Science","DOI":"10.1126/science.aaz8432","ISSN":"0036-8075, 1095-9203","issue":"6513","language":"en","license":"Copyright © 2020 The Authors, some rights reserved; exclusive licensee American Association for the Advancement of Science. No claim to original U.S. Government Works. https://www.sciencemag.org/about/science-licenses-journal-article-reuseThis is an article distributed under the terms of the Science Journals Default License.","note":"publisher: American Association for the Advancement of Science\nsection: Report\nPMID: 32792465","page":"237-241","source":"science.sciencemag.org","title":"Influenza vaccine–induced human bone marrow plasma cells decline within a year after vaccination","URL":"https://science.sciencemag.org/content/370/6513/237","volume":"370","author":[{"family":"Davis","given":"Carl W."},{"family":"Jackson","given":"Katherine J. L."},{"family":"McCausland","given":"Megan M."},{"family":"Darce","given":"Jaime"},{"family":"Chang","given":"Cathy"},{"family":"Linderman","given":"Susanne L."},{"family":"Chennareddy","given":"Chakravarthy"},{"family":"Gerkin","given":"Rebecca"},{"family":"Brown","given":"Shantoria J."},{"family":"Wrammert","given":"Jens"},{"family":"Mehta","given":"Aneesh K."},{"family":"Cheung","given":"Wan Cheung"},{"family":"Boyd","given":"Scott D."},{"family":"Waller","given":"Edmund K."},{"family":"Ahmed","given":"Rafi"}],"accessed":{"date-parts":[["2020",11,8]]},"issued":{"date-parts":[["2020",10,9]]},"citation-key":"davis_influenza_2020"}}],"schema":"https://github.com/citation-style-language/schema/raw/master/csl-citation.json"}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152–154</w:t>
      </w:r>
      <w:r w:rsidRPr="002A7128">
        <w:rPr>
          <w:rFonts w:ascii="Calibri" w:hAnsi="Calibri" w:cs="Calibri"/>
        </w:rPr>
        <w:fldChar w:fldCharType="end"/>
      </w:r>
      <w:r w:rsidR="00AF4C8B" w:rsidRPr="002A7128">
        <w:rPr>
          <w:rFonts w:ascii="Calibri" w:hAnsi="Calibri" w:cs="Calibri"/>
        </w:rPr>
        <w:t>.</w:t>
      </w:r>
      <w:r w:rsidRPr="002A7128">
        <w:rPr>
          <w:rFonts w:ascii="Calibri" w:hAnsi="Calibri" w:cs="Calibri"/>
        </w:rPr>
        <w:t xml:space="preserve"> Induction of a strong cellular immunity against more conserved antigens of influenza is critical for universal protection</w:t>
      </w:r>
      <w:r w:rsidR="00AF4C8B" w:rsidRPr="002A7128">
        <w:rPr>
          <w:rFonts w:ascii="Calibri" w:hAnsi="Calibri" w:cs="Calibri"/>
        </w:rPr>
        <w:fldChar w:fldCharType="begin"/>
      </w:r>
      <w:r w:rsidR="00317E7D" w:rsidRPr="002A7128">
        <w:rPr>
          <w:rFonts w:ascii="Calibri" w:hAnsi="Calibri" w:cs="Calibri"/>
        </w:rPr>
        <w:instrText xml:space="preserve"> ADDIN ZOTERO_ITEM CSL_CITATION {"citationID":"a2cof4gcvb7","properties":{"formattedCitation":"\\super 155\\nosupersub{}","plainCitation":"155","noteIndex":0},"citationItems":[{"id":9032,"uris":["http://zotero.org/groups/2667333/items/LDNH6UTT"],"itemData":{"id":9032,"type":"article-journal","abstract":"Immunization with live influenza virus expands Th1 memory cells and facilitates more rapid recovery after heterosubtypic virus challenge. Immunization with inactivated virus generates a Th2 response and does not lead to heterosubtypic immunity. Creation of a Th1 priming environment by the inclusion of interleukin (IL)-12 with antibodies to IL-4 converted the response against inactivated virus to a Th1 response that was able to facilitate virus clearance upon heterosubtypic virus challenge. Evaluation of memory responses of mice immunized by the various protocols demonstrated that the type of immunization imprints T cell memory, dictating the nature of the response to subsequent infection. After live virus challenge, expansion of Th1 cells seems to facilitate the generation of cytotoxic T lymphocytes from naïve precursors. This latter finding may be the mechanism by which inactivated virus immunization in a Th1 cytokine context mediates heterosubtypic immunity.","container-title":"The Journal of Infectious Diseases","DOI":"10.1086/314952","ISSN":"0022-1899","issue":"3","journalAbbreviation":"The Journal of Infectious Diseases","page":"579-585","source":"Silverchair","title":"Th2 Responses to Inactivated Influenza Virus Can Be Converted to Th1 Responses and Facilitate Recovery from Heterosubtypic Virus Infection","URL":"https://doi.org/10.1086/314952","volume":"180","author":[{"family":"Moran","given":"Thomas M."},{"family":"Park","given":"Helen"},{"family":"Fernandez-Sesma","given":"Ana"},{"family":"Schulman","given":"Jerome L."}],"accessed":{"date-parts":[["2021",9,2]]},"issued":{"date-parts":[["1999",9,1]]},"citation-key":"moran_th2_1999"}}],"schema":"https://github.com/citation-style-language/schema/raw/master/csl-citation.json"} </w:instrText>
      </w:r>
      <w:r w:rsidR="00AF4C8B" w:rsidRPr="002A7128">
        <w:rPr>
          <w:rFonts w:ascii="Calibri" w:hAnsi="Calibri" w:cs="Calibri"/>
        </w:rPr>
        <w:fldChar w:fldCharType="separate"/>
      </w:r>
      <w:r w:rsidR="00317E7D" w:rsidRPr="002A7128">
        <w:rPr>
          <w:rFonts w:ascii="Calibri" w:hAnsi="Calibri" w:cs="Calibri"/>
          <w:vertAlign w:val="superscript"/>
        </w:rPr>
        <w:t>155</w:t>
      </w:r>
      <w:r w:rsidR="00AF4C8B" w:rsidRPr="002A7128">
        <w:rPr>
          <w:rFonts w:ascii="Calibri" w:hAnsi="Calibri" w:cs="Calibri"/>
        </w:rPr>
        <w:fldChar w:fldCharType="end"/>
      </w:r>
      <w:r w:rsidRPr="002A7128">
        <w:rPr>
          <w:rFonts w:ascii="Calibri" w:hAnsi="Calibri" w:cs="Calibri"/>
        </w:rPr>
        <w:t>. However, vaccination with the influenza HA protein combined with the majority of the commercially available adjuvants have limited long-lasting universal protection</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{"citationID":"a16e46r1ktp","properties":{"formattedCitation":"\\super 156\\nosupersub{}","plainCitation":"156","noteIndex":0},"citationItems":[{"id":9174,"uris":["http://zotero.org/users/5797461/items/SK8SGLSJ"],"itemData":{"id":9174,"type":"article-journal","container-title":"European Journal of Immunology","DOI":"10.1002/eji.201747150","ISSN":"00142980","issue":"4","journalAbbreviation":"Eur. J. Immunol.","language":"en","page":"705-715","source":"DOI.org (Crossref)","title":"The vaccine adjuvant alum promotes IL-10 production that suppresses Th1 responses","URL":"https://onlinelibrary.wiley.com/doi/10.1002/eji.201747150","volume":"48","author":[{"family":"Oleszycka","given":"Ewa"},{"family":"McCluskey","given":"Sean"},{"family":"Sharp","given":"Fiona A."},{"family":"Muñoz-Wolf","given":"Natalia"},{"family":"Hams","given":"Emily"},{"family":"Gorman","given":"Aoife L."},{"family":"Fallon","given":"Padraic G."},{"family":"Lavelle","given":"Ed C."}],"accessed":{"date-parts":[["2021",9,30]]},"issued":{"date-parts":[["2018",4]]},"citation-key":"oleszycka_vaccine_2018"}}],"schema":"https://github.com/citation-style-language/schema/raw/master/csl-citation.json"}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156</w:t>
      </w:r>
      <w:r w:rsidR="0072607A" w:rsidRPr="002A7128">
        <w:rPr>
          <w:rFonts w:ascii="Calibri" w:hAnsi="Calibri" w:cs="Calibri"/>
        </w:rPr>
        <w:fldChar w:fldCharType="end"/>
      </w:r>
      <w:r w:rsidRPr="002A7128">
        <w:rPr>
          <w:rFonts w:ascii="Calibri" w:hAnsi="Calibri" w:cs="Calibri"/>
        </w:rPr>
        <w:t xml:space="preserve">. </w:t>
      </w:r>
    </w:p>
    <w:p w14:paraId="2043E83E" w14:textId="43C9D82A" w:rsidR="0095358A" w:rsidRPr="002A7128" w:rsidRDefault="0095358A" w:rsidP="00F675B4">
      <w:pPr>
        <w:spacing w:line="480" w:lineRule="auto"/>
        <w:jc w:val="both"/>
        <w:rPr>
          <w:rFonts w:ascii="Calibri" w:hAnsi="Calibri" w:cs="Calibri"/>
        </w:rPr>
      </w:pPr>
      <w:r w:rsidRPr="002A7128">
        <w:rPr>
          <w:rFonts w:ascii="Calibri" w:hAnsi="Calibri" w:cs="Calibri"/>
        </w:rPr>
        <w:t>Adjuvants induce antigen-specific antibodies to either tag the antigens on pathogens or infected cells for attack by effector immune cells (as in type-1 cellular response correlated to Th1) or neutralize antigen-carrying entities (as in type-2 humoral response linked to the CD4+ T cells called T helper 2, Th2)</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{"citationID":"a2lk3u52qg0","properties":{"formattedCitation":"\\super 149,157\\nosupersub{}","plainCitation":"149,157","noteIndex":0},"citationItems":[{"id":2565,"uris":["http://zotero.org/groups/2667333/items/UVXUQZSN"],"itemData":{"id":2565,"type":"article-journal","abstract":"Recently, it was reported that 2-hydroxypropyl-beta-cyclodextrin (HP-beta-CyD), a common pharmaceutical additive, can act as a vaccine adjuvant to enhance protective type-2 immunogenicity to co-administered seasonal influenza split vaccine by inducing host-derived damage-associated molecular patterns (DAMPs). However, like most other DAMP-inducing adjuvants such as aluminum hydroxide (Alum), HP-beta-CyD may not be sufficient for the induction of protective type-1 (cellular) immune responses, thereby leaving room for improvement. Here, we demonstrate that a combination of HP-beta-CyD with a humanized TLR9 agonist, K3 CpG-ODN, a potent pathogen-associated molecular pattern (PAMP), enhanced the protective efficacy of the co-administered influenza split vaccine by inducing antigen-specific type-2 and type-1 immune responses, respectively. Moreover, substantial antigen-specific IgE induction by HP-beta-CyD, which can cause an allergic response to immunized antigen was completely suppressed by the addition of K3 CpG-ODN. Furthermore, HP-beta-CyD- and K3 CpG-ODN-adjuvanted influenza split vaccination protected the mice against lethal challenge with high doses of heterologous influenza virus, which could not be protected against by single adjuvant vaccines. Further experiments using gene deficient mice revealed the unique immunological mechanism of action in vivo, where type-2 and type-1 immune responses enhanced by the combined adjuvants were dependent on TBK1 and TLR9, respectively, indicating their parallel signaling pathways. Finally, the analysis of immune responses in the draining lymph node suggested that HP-beta-CyD promotes the uptake of K3 CpG-ODN by plasmacytoid dendritic cells and B cells, which may contributes to the activation of these cells and enhanced production of IgG2c. Taken together, the results above may offer potential clinical applications for the combination of DAMP-inducing adjuvant and PAMP adjuvant to improve vaccine immunogenicity and efficacy by enhancing both type-2 and type-1 immune responses in a parallel manner.","container-title":"Frontiers in Immunology","DOI":"10.3389/fimmu.2018.02619","ISSN":"1664-3224","journalAbbreviation":"Front. Immunol.","language":"English","note":"ZSCC: NoCitationData[s0] \npublisher: Frontiers\ntex.ids= hayashi_damp-inducing_2018-1","source":"Frontiers","title":"DAMP-Inducing Adjuvant and PAMP Adjuvants Parallelly Enhance Protective Type-2 and Type-1 Immune Responses to Influenza Split Vaccination","URL":"https://www.frontiersin.org/articles/10.3389/fimmu.2018.02619/full#B31","volume":"9","author":[{"family":"Hayashi","given":"Tomoya"},{"family":"Momota","given":"Masatoshi"},{"family":"Kuroda","given":"Etsushi"},{"family":"Kusakabe","given":"Takato"},{"family":"Kobari","given":"Shingo"},{"family":"Makisaka","given":"Kotaro"},{"family":"Ohno","given":"Yoshitaka"},{"family":"Suzuki","given":"Yusuke"},{"family":"Nakagawa","given":"Fumika"},{"family":"Lee","given":"Michelle S. J."},{"family":"Coban","given":"Cevayir"},{"family":"Onodera","given":"Risako"},{"family":"Higashi","given":"Taishi"},{"family":"Motoyama","given":"Keiichi"},{"family":"Ishii","given":"Ken J."},{"family":"Arima","given":"Hidetoshi"}],"accessed":{"date-parts":[["2020",7,30]]},"issued":{"date-parts":[["2018"]]},"citation-key":"hayashi_damp-inducing_2018"}},{"id":9685,"uris":["http://zotero.org/groups/2667333/items/S8FG3TP4"],"itemData":{"id":9685,"type":"article-journal","abstract":"T follicular helper (TFH) cells are important for the formation of germinal centers and antibody responses. Kubo and colleagues show that TH1 cells can induce a protective antibody response in the complete absence of TFH cells and germinal centers.","container-title":"Nature Immunology","DOI":"10.1038/ni.3563","ISSN":"1529-2916","issue":"12","journalAbbreviation":"Nat Immunol","language":"en","license":"2016 Nature Publishing Group, a division of Macmillan Publishers Limited. All Rights Reserved.","note":"Bandiera_abtest: a\nCg_type: Nature Research Journals\nnumber: 12\nPrimary_atype: Research\npublisher: Nature Publishing Group\nSubject_term: Antibodies;Germinal centres\nSubject_term_id: antibodies;germinal-centres","page":"1447-1458","source":"www.nature.com","title":"Protective neutralizing influenza antibody response in the absence of T follicular helper cells","URL":"https://www.nature.com/articles/ni.3563","volume":"17","author":[{"family":"Miyauchi","given":"Kosuke"},{"family":"Sugimoto-Ishige","given":"Akiko"},{"family":"Harada","given":"Yasuyo"},{"family":"Adachi","given":"Yu"},{"family":"Usami","given":"Yoshiko"},{"family":"Kaji","given":"Tomohiro"},{"family":"Inoue","given":"Kentaro"},{"family":"Hasegawa","given":"Hideki"},{"family":"Watanabe","given":"Takashi"},{"family":"Hijikata","given":"Atsushi"},{"family":"Fukuyama","given":"Satoshi"},{"family":"Maemura","given":"Tadashi"},{"family":"Okada-Hatakeyama","given":"Mariko"},{"family":"Ohara","given":"Osamu"},{"family":"Kawaoka","given":"Yoshihiro"},{"family":"Takahashi","given":"Yoshimasa"},{"family":"Takemori","given":"Toshitada"},{"family":"Kubo","given":"Masato"}],"accessed":{"date-parts":[["2021",12,5]]},"issued":{"date-parts":[["2016",12]]},"citation-key":"miyauchi_protective_2016"}}],"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149,157</w:t>
      </w:r>
      <w:r w:rsidR="0072607A" w:rsidRPr="002A7128">
        <w:rPr>
          <w:rFonts w:ascii="Calibri" w:hAnsi="Calibri" w:cs="Calibri"/>
        </w:rPr>
        <w:fldChar w:fldCharType="end"/>
      </w:r>
      <w:r w:rsidRPr="002A7128">
        <w:rPr>
          <w:rFonts w:ascii="Calibri" w:hAnsi="Calibri" w:cs="Calibri"/>
        </w:rPr>
        <w:t>. Most common adjuvants enhance type-2 response via Th2 and produce neutralizing antibodies, immunoglobulin G1 (IgG1). A typical Th1 response to a viral infection is characterized by recruitment of cytotoxic T lymphocytes (CTL), macrophages and NK cells, and is associated with IgG2a or IgG2c formation in mice. Particularly IgG2a production is driven by IFN</w:t>
      </w:r>
      <w:r w:rsidR="0072607A" w:rsidRPr="00795381">
        <w:rPr>
          <w:rFonts w:ascii="Symbol" w:hAnsi="Symbol" w:cs="Calibri"/>
        </w:rPr>
        <w:t>g</w:t>
      </w:r>
      <w:r w:rsidR="0072607A" w:rsidRPr="002A7128">
        <w:rPr>
          <w:rFonts w:ascii="Calibri" w:hAnsi="Calibri" w:cs="Calibri"/>
        </w:rPr>
        <w:t xml:space="preserve"> </w:t>
      </w:r>
      <w:r w:rsidRPr="002A7128">
        <w:rPr>
          <w:rFonts w:ascii="Calibri" w:hAnsi="Calibri" w:cs="Calibri"/>
        </w:rPr>
        <w:t>whereas IgG1 occurs through IL-4</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{"citationID":"a5tv46nmo","properties":{"formattedCitation":"\\super 158\\nosupersub{}","plainCitation":"158","noteIndex":0},"citationItems":[{"id":10134,"uris":["http://zotero.org/groups/2667333/items/T3RYPX8W"],"itemData":{"id":10134,"type":"article-journal","abstract":"The regulation of the subclass of immunoglobulin secreted by B cells has been studied in vitro in polyclonal systems using mitogens, such as lipopolysaccharide (LPS), to bypass the requirement for cognate interaction between antigen-specific T and B cells. In these systems, interleukin-(IL)-4 induces the secretion of IgG1 (ref. 1) and IgE (ref. 2); IL-5 enhances the secretion of IgA, and interferon-gamma (IFN-gamma) enhances the secretion of IgG2a (ref. 5). Clones of murine TH cells can be divided into two subsets, TH1 and TH2 (ref. 6). Both subsets synthesize IL-3 and granulocyte-monocyte colony-stimulating factor (GM-CSF), but only TH1 clones produce IL-2, IFN-gamma, and lymphotoxin (LT) and TH2 clones produce IL-4 and IL-5 (ref. 7). We have examined the role of clones of antigen-specific TH1 and TH2 cells in the regulation of the subclasses of IgG antibody secreted by antigen-specific B cells. Our results show that both types of TH cells induce the secretion of IgM and IgG3, whereas clones of TH1 and TH2 cells specifically induce antigen-specific B cells to secrete IgG2a and IgG1, respectively. We also demonstrate that regulation of commitment to the secretion of a particular IgG isotype occurs in two distinct stages: cognate interaction between T and B cells and interaction between T-cell-derived lymphokines and B cells.","container-title":"Nature","DOI":"10.1038/334255a0","ISSN":"0028-0836","issue":"6179","journalAbbreviation":"Nature","language":"eng","note":"PMID: 2456466","page":"255-258","source":"PubMed","title":"Regulation of antibody isotype secretion by subsets of antigen-specific helper T cells","volume":"334","author":[{"family":"Stevens","given":"T. L."},{"family":"Bossie","given":"A."},{"family":"Sanders","given":"V. M."},{"family":"Fernandez-Botran","given":"R."},{"family":"Coffman","given":"R. L."},{"family":"Mosmann","given":"T. R."},{"family":"Vitetta","given":"E. S."}],"issued":{"date-parts":[["1988",7,21]]},"citation-key":"stevens_regulation_1988"}}],"schema":"https://github.com/citation-style-language/schema/raw/master/csl-citation.json"}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158</w:t>
      </w:r>
      <w:r w:rsidR="0072607A" w:rsidRPr="002A7128">
        <w:rPr>
          <w:rFonts w:ascii="Calibri" w:hAnsi="Calibri" w:cs="Calibri"/>
        </w:rPr>
        <w:fldChar w:fldCharType="end"/>
      </w:r>
      <w:r w:rsidRPr="002A7128">
        <w:rPr>
          <w:rFonts w:ascii="Calibri" w:hAnsi="Calibri" w:cs="Calibri"/>
        </w:rPr>
        <w:t>. Indeed, the expression of these antibody type is used to identify the type of immune responses in mice</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{"citationID":"a2okudbju0j","properties":{"formattedCitation":"\\super 159\\nosupersub{}","plainCitation":"159","noteIndex":0},"citationItems":[{"id":10133,"uris":["http://zotero.org/groups/2667333/items/GSPBHAEH"],"itemData":{"id":10133,"type":"article-journal","abstract":"Cryptococcosis, caused by Cryptococcus neoformans, has been demonstrated to be controlled by T helper (Th)1 cells while Th2 cells are associated with fungal growth and dissemination. Although cryptococcal immunoreactive protein antigens were previously identified, their association with Th1 or Th2 immune responses was not provided. In mice, Th1-dependent IFN-γ induces the production of IgG2a, whereas the Th2 cytokine IL-4 stimulates the expression of IgG1 rendering each isotype an indicator of the underlying Th cell response. Therefore, we performed an immunoproteomic study that distinguishes Th1- and Th2-associated antigens by their reactivity with Th1-dependent IgG2a or Th2-dependent IgG1 antibodies in sera from C. neoformans-infected wild-type mice. We additionally analysed sera from Th2-prone IL-12-deficient and Th1-prone IL-4Rα-deficient mice extending the results found in wild-type mice. In total, ten, four, and three protein antigens associated with IgG1, IgG2a, or both isotypes, respectively, were identified. Th2-associated antigens represent promising candidates for development of immunotherapy regimens, whereas Th1-associated antigens may serve as candidates for vaccine development. In conclusion, this study points to intrinsic immunomodulatory effects of fungal antigens on the process of Th cell differentiation based on the identification of cryptococcal protein antigens specifically associated with Th1 or Th2 responses throughout mice of different genotypes.","container-title":"Scientific Reports","DOI":"10.1038/s41598-018-21039-z","ISSN":"2045-2322","issue":"1","journalAbbreviation":"Sci Rep","language":"en","license":"2018 The Author(s)","note":"number: 1\npublisher: Nature Publishing Group","page":"2681","source":"www.nature.com","title":"Identification of T helper (Th)1- and Th2-associated antigens of Cryptococcus neoformans in a murine model of pulmonary infection","URL":"https://www.nature.com/articles/s41598-018-21039-z","volume":"8","author":[{"family":"Firacative","given":"Carolina"},{"family":"Gressler","given":"A. Elisabeth"},{"family":"Schubert","given":"Kristin"},{"family":"Schulze","given":"Bianca"},{"family":"Müller","given":"Uwe"},{"family":"Brombacher","given":"Frank"},{"family":"Bergen","given":"Martin","non-dropping-particle":"von"},{"family":"Alber","given":"Gottfried"}],"accessed":{"date-parts":[["2022",3,21]]},"issued":{"date-parts":[["2018",2,8]]},"citation-key":"firacative_identification_2018"}}],"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159</w:t>
      </w:r>
      <w:r w:rsidR="0072607A" w:rsidRPr="002A7128">
        <w:rPr>
          <w:rFonts w:ascii="Calibri" w:hAnsi="Calibri" w:cs="Calibri"/>
        </w:rPr>
        <w:fldChar w:fldCharType="end"/>
      </w:r>
      <w:r w:rsidRPr="002A7128">
        <w:rPr>
          <w:rFonts w:ascii="Calibri" w:hAnsi="Calibri" w:cs="Calibri"/>
        </w:rPr>
        <w:t xml:space="preserve">. </w:t>
      </w:r>
    </w:p>
    <w:p w14:paraId="48008105" w14:textId="6E73111A" w:rsidR="0095358A" w:rsidRPr="002A7128" w:rsidRDefault="0095358A" w:rsidP="00F675B4">
      <w:pPr>
        <w:spacing w:line="480" w:lineRule="auto"/>
        <w:jc w:val="both"/>
        <w:rPr>
          <w:rFonts w:ascii="Calibri" w:hAnsi="Calibri" w:cs="Calibri"/>
        </w:rPr>
      </w:pPr>
      <w:r w:rsidRPr="002A7128">
        <w:rPr>
          <w:rFonts w:ascii="Calibri" w:hAnsi="Calibri" w:cs="Calibri"/>
        </w:rPr>
        <w:t xml:space="preserve">Naturally existing cell membrane-disrupting proteins (or peptides) often generate stress and DAMP-release through aggregation, such as perforin, </w:t>
      </w:r>
      <w:proofErr w:type="spellStart"/>
      <w:r w:rsidRPr="002A7128">
        <w:rPr>
          <w:rFonts w:ascii="Calibri" w:hAnsi="Calibri" w:cs="Calibri"/>
        </w:rPr>
        <w:t>gasdermins</w:t>
      </w:r>
      <w:proofErr w:type="spellEnd"/>
      <w:r w:rsidRPr="002A7128">
        <w:rPr>
          <w:rFonts w:ascii="Calibri" w:hAnsi="Calibri" w:cs="Calibri"/>
        </w:rPr>
        <w:t xml:space="preserve">, or </w:t>
      </w:r>
      <w:r w:rsidR="00453128">
        <w:rPr>
          <w:rFonts w:ascii="Calibri" w:hAnsi="Calibri" w:cs="Calibri"/>
        </w:rPr>
        <w:t>A</w:t>
      </w:r>
      <w:r w:rsidR="00453128" w:rsidRPr="00453128">
        <w:rPr>
          <w:rFonts w:ascii="Symbol" w:hAnsi="Symbol" w:cs="Calibri"/>
        </w:rPr>
        <w:t>b</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{"citationID":"a210lkd0hrr","properties":{"formattedCitation":"\\super 160,161\\nosupersub{}","plainCitation":"160,161","noteIndex":0},"citationItems":[{"id":6166,"uris":["http://zotero.org/groups/2667333/items/8SVY96RY"],"itemData":{"id":6166,"type":"article-journal","abstract":"Different types of pores ubiquitously form in cell membranes, leading to various types of cell death that profoundly influence the fate of inflammation and the disease status. However, these pores have never truly been visualized to date. Atomic force microscopy (AFM), which is emerging as a powerful tool to analyze the mechanical properties of biomolecules and cells, is actually an excellent imaging platform that allows biological samples to be visualized by probing surface roughness at the level of atomic resolution. Here, membrane pore structures were clearly visualized using AFM. This visualization not only describes the aperture and depth of the pore complexes but also highlights differences among the pores formed by perforin and gasdermins in tumor cell membranes and by complement in immune cell membranes. Additionally, this type of visualization also reveals the dynamic process of pore formation, fusion, and repair.","container-title":"Cellular &amp; Molecular Immunology","DOI":"10.1038/s41423-018-0165-1","ISSN":"2042-0226","issue":"6","language":"en","license":"2018 The Author(s)","note":"number: 6\npublisher: Nature Publishing Group","page":"611-620","source":"www.nature.com","title":"Visualization of perforin/gasdermin/complement-formed pores in real cell membranes using atomic force microscopy","URL":"https://www.nature.com/articles/s41423-018-0165-1","volume":"16","author":[{"family":"Liu","given":"Yuying"},{"family":"Zhang","given":"Tianzhen"},{"family":"Zhou","given":"Yabo"},{"family":"Li","given":"Jiping"},{"family":"Liang","given":"Xiaoyu"},{"family":"Zhou","given":"Nannan"},{"family":"Lv","given":"Jiadi"},{"family":"Xie","given":"Jing"},{"family":"Cheng","given":"Feiran"},{"family":"Fang","given":"Yiliang"},{"family":"Gao","given":"Yunfeng"},{"family":"Wang","given":"Ning"},{"family":"Huang","given":"Bo"}],"accessed":{"date-parts":[["2021",3,30]]},"issued":{"date-parts":[["2019",6]]},"citation-key":"liu_visualization_2019"}},{"id":6971,"uris":["http://zotero.org/groups/2667333/items/YA5W6YMQ"],"itemData":{"id":6971,"type":"article-journal","container-title":"Journal of Biological Chemistry","DOI":"10.1074/jbc.M113.515866","ISSN":"00219258","issue":"15","journalAbbreviation":"Journal of Biological Chemistry","language":"en","page":"10419-10430","source":"DOI.org (Crossref)","title":"The Mechanism of Membrane Disruption by Cytotoxic Amyloid Oligomers Formed by Prion Protein(106–126) Is Dependent on Bilayer Composition","URL":"https://linkinghub.elsevier.com/retrieve/pii/S0021925820403102","volume":"289","author":[{"family":"Walsh","given":"Patrick"},{"family":"Vanderlee","given":"Gillian"},{"family":"Yau","given":"Jason"},{"family":"Campeau","given":"Jody"},{"family":"Sim","given":"Valerie L."},{"family":"Yip","given":"Christopher M."},{"family":"Sharpe","given":"Simon"}],"accessed":{"date-parts":[["2021",8,5]]},"issued":{"date-parts":[["2014",4]]},"citation-key":"walsh_mechanism_2014"}}],"schema":"https://github.com/citation-style-language/schema/raw/master/csl-citation.json"}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160,161</w:t>
      </w:r>
      <w:r w:rsidR="0072607A" w:rsidRPr="002A7128">
        <w:rPr>
          <w:rFonts w:ascii="Calibri" w:hAnsi="Calibri" w:cs="Calibri"/>
        </w:rPr>
        <w:fldChar w:fldCharType="end"/>
      </w:r>
      <w:r w:rsidRPr="002A7128">
        <w:rPr>
          <w:rFonts w:ascii="Calibri" w:hAnsi="Calibri" w:cs="Calibri"/>
        </w:rPr>
        <w:t>. Induced membrane damage subsequently releases natural adjuvants called DAMPs, such as ATP, DNA, high-mobility group box 1 (HMGB-1), and heat shock protein 90 (HSP90)</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{"citationID":"ab9rki9v66","properties":{"formattedCitation":"\\super 1,162\\nosupersub{}","plainCitation":"1,162","noteIndex":0},"citationItems":[{"id":3259,"uris":["http://zotero.org/groups/2667333/items/5CWBTUNR"],"itemData":{"id":3259,"type":"article-journal","abstract":"Immune cells use a variety of membrane-disrupting proteins [complement, perforin, perforin-2, granulysin, gasdermins, mixed lineage kinase domain–like pseudokinase (MLKL)] to induce different kinds of death of microbes and host cells, some of which cause inflammation. After activation by proteolytic cleavage or phosphorylation, these proteins oligomerize, bind to membrane lipids, and disrupt membrane integrity. These membrane disruptors play a critical role in both innate and adaptive immunity. Here we review our current knowledge of the functions, specificity, activation, and regulation of membrane-disrupting immune proteins and what is known about the mechanisms behind membrane damage, the structure of the pores they form, how the cells expressing these lethal proteins are protected, and how cells targeted for destruction can sometimes escape death by repairing membrane damage.","container-title":"Annual Review of Immunology","DOI":"10.1146/annurev-immunol-111319-023800","issue":"1","note":"_eprint: https://doi.org/10.1146/annurev-immunol-111319-023800\nPMID: 32004099","page":"455-485","source":"Annual Reviews","title":"Knocking ’em Dead: Pore-Forming Proteins in Immune Defense","title-short":"Knocking ’em Dead","URL":"https://doi.org/10.1146/annurev-immunol-111319-023800","volume":"38","author":[{"family":"Liu","given":"Xing"},{"family":"Lieberman","given":"Judy"}],"accessed":{"date-parts":[["2020",12,31]]},"issued":{"date-parts":[["2020"]]},"citation-key":"liu_knocking_2020"}},{"id":9283,"uris":["http://zotero.org/groups/2667333/items/HBES66B6"],"itemData":{"id":9283,"type":"article-journal","abstract":"Natural killer cells and cytotoxic T lymphocytes kill targeted cells by releasing granzymes and perforin. Lieberman and colleagues show that these lethal molecules first accumulate in endocytic vesicles, where perforin generates pores that leak granzymes into the cytosol.","container-title":"Nature Immunology","DOI":"10.1038/ni.2050","ISSN":"1529-2916","issue":"8","journalAbbreviation":"Nat Immunol","language":"en","license":"2011 Nature Publishing Group, a division of Macmillan Publishers Limited. All Rights Reserved.","note":"Bandiera_abtest: a\nCg_type: Nature Research Journals\nnumber: 8\nPrimary_atype: Research\npublisher: Nature Publishing Group\nSubject_term: Cytotoxic T cells;Endocytosis;NK cells\nSubject_term_id: cytotoxic-t-cells;endocytosis;nk-cells","page":"770-777","source":"www.nature.com","title":"Perforin pores in the endosomal membrane trigger the release of endocytosed granzyme B into the cytosol of target cells","URL":"https://www.nature.com/articles/ni.2050","volume":"12","author":[{"family":"Thiery","given":"Jerome"},{"family":"Keefe","given":"Dennis"},{"family":"Boulant","given":"Steeve"},{"family":"Boucrot","given":"Emmanuel"},{"family":"Walch","given":"Michael"},{"family":"Martinvalet","given":"Denis"},{"family":"Goping","given":"Ing Swie"},{"family":"Bleackley","given":"R. Chris"},{"family":"Kirchhausen","given":"Tomas"},{"family":"Lieberman","given":"Judy"}],"accessed":{"date-parts":[["2021",10,24]]},"issued":{"date-parts":[["2011",8]]},"citation-key":"thiery_perforin_2011"}}],"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1,162</w:t>
      </w:r>
      <w:r w:rsidR="0072607A" w:rsidRPr="002A7128">
        <w:rPr>
          <w:rFonts w:ascii="Calibri" w:hAnsi="Calibri" w:cs="Calibri"/>
        </w:rPr>
        <w:fldChar w:fldCharType="end"/>
      </w:r>
      <w:r w:rsidRPr="002A7128">
        <w:rPr>
          <w:rFonts w:ascii="Calibri" w:hAnsi="Calibri" w:cs="Calibri"/>
        </w:rPr>
        <w:t>. APCs recognize DAMPs through their pattern recognition receptors (PRRs) and become activated</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{"citationID":"acbbaf9og6","properties":{"formattedCitation":"\\super 163\\nosupersub{}","plainCitation":"163","noteIndex":0},"citationItems":[{"id":6673,"uris":["http://zotero.org/groups/2667333/items/BSM26Z4Y"],"itemData":{"id":6673,"type":"article-journal","abstract":"In the tumour microenvironment (TME), immunogenic cell death (ICD) plays a major role in stimulating the dysfunctional antitumour immune system. Chronic exposure of damage-associated molecular patterns (DAMPs) attracts receptors and ligands on dendritic cells (DCs) and activates immature DCs to transition to a mature phenotype, which promotes the processing of phagocytic cargo in DCs and accelerates the engulfment of antigenic components by DCs. Consequently, via antigen presentation, DCs stimulate specific T cell responses that kill more cancer cells. The induction of ICD eventually results in long-lasting protective antitumour immunity. Through the exploration of ICD inducers, recent studies have shown that there are many novel modalities with the ability to induce immunogenic cancer cell death. In this review, we mainly discussed and summarized the emerging methods for inducing immunogenic cancer cell death. Concepts and molecular mechanisms relevant to antitumour effects of ICD are also briefly discussed.","container-title":"Journal of Cellular and Molecular Medicine","DOI":"10.1111/jcmm.14356","ISSN":"1582-4934","issue":"8","language":"en","license":"© 2019 The Authors. Journal of Cellular and Molecular Medicine published by John Wiley &amp; Sons Ltd and Foundation for Cellular and Molecular Medicine.","note":"_eprint: https://onlinelibrary.wiley.com/doi/pdf/10.1111/jcmm.14356\ntex.ids= zhou_immunogenic_2019-1","page":"4854-4865","source":"Wiley Online Library","title":"Immunogenic cell death in cancer therapy: Present and emerging inducers","title-short":"Immunogenic cell death in cancer therapy","URL":"https://onlinelibrary.wiley.com/doi/abs/10.1111/jcmm.14356","volume":"23","author":[{"family":"Zhou","given":"Jingyi"},{"family":"Wang","given":"Gangyang"},{"family":"Chen","given":"Yinze"},{"family":"Wang","given":"Hongxia"},{"family":"Hua","given":"Yingqi"},{"family":"Cai","given":"Zhengdong"}],"accessed":{"date-parts":[["2021",6,8]]},"issued":{"date-parts":[["2019"]]},"citation-key":"zhou_immunogenic_2019"}}],"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163</w:t>
      </w:r>
      <w:r w:rsidR="0072607A" w:rsidRPr="002A7128">
        <w:rPr>
          <w:rFonts w:ascii="Calibri" w:hAnsi="Calibri" w:cs="Calibri"/>
        </w:rPr>
        <w:fldChar w:fldCharType="end"/>
      </w:r>
      <w:r w:rsidRPr="002A7128">
        <w:rPr>
          <w:rFonts w:ascii="Calibri" w:hAnsi="Calibri" w:cs="Calibri"/>
        </w:rPr>
        <w:t>, generating non-infectious local inflammation and enhancing their ability to internalize and present antigens to activate the adaptive immune response synergistically</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{"citationID":"a3rkgta9l5","properties":{"formattedCitation":"\\super 164\\nosupersub{}","plainCitation":"164","noteIndex":0},"citationItems":[{"id":6588,"uris":["http://zotero.org/groups/2667333/items/RGBXGNV3"],"itemData":{"id":6588,"type":"article-journal","abstract":"Sterile inflammation occurs in the absence of microorganisms and is typically associated with the recognition of intracellular contents released from damaged and necrotic cells (also known as damage-associated molecular patterns) by inflammatory signalling receptors. Sterile inflammation can also be induced by exogenous material, such as silica and asbestos particles, which can injure cells.Host receptors used in microbial detection, specifically pattern recognition receptors such as the Toll-like receptors (TLRs) and NOD-like recpetors (NLRs), are also activated by endogenous and non-infectious stimuli and mediate sterile inflammatory responses. However, host receptors that are not necessarily involved in pathogen recognition, such as receptor for advanced glycation end products (RAGE), can also sense sterile stimuli.NLRP3 (NOD-, LRR- and pyrin domain-containing 3) is a member of the NLR family of receptors involved in innate immunity and has the ability to sense numerous structurally diverse stimuli. The mechanism by which NLRP3 achieves this is still not completely understood, but it may involve the sensing of reactive oxygen species, ionic changes within the cell or lysosomal membrane damage.Intracellular cytokines, such as interleukin-1α (IL-1α), are also important mediators of the sterile inflammatory response and can be released in their biologically active forms from necrotic cells.Sterile inflammation has been associated with certain disease states, such as the increased tissue damage that results from ischaemia–reperfusion in myocardial infarction, as well as atherosclerosis, silicosis and Alzheimer's disease. Furthermore, sterile inflammation may also have an important role in host immune responses against tumours.","container-title":"Nature Reviews Immunology","DOI":"10.1038/nri2873","ISSN":"1474-1741","issue":"12","journalAbbreviation":"Nat Rev Immunol","language":"en","license":"2010 Nature Publishing Group, a division of Macmillan Publishers Limited. All Rights Reserved.","note":"number: 12\npublisher: Nature Publishing Group","page":"826-837","source":"www.nature.com","title":"Sterile inflammation: sensing and reacting to damage","title-short":"Sterile inflammation","URL":"https://www.nature.com/articles/nri2873","volume":"10","author":[{"family":"Chen","given":"Grace Y."},{"family":"Nuñez","given":"Gabriel"}],"accessed":{"date-parts":[["2021",6,7]]},"issued":{"date-parts":[["2010",12]]},"citation-key":"chen_sterile_2010"}}],"schema":"https://github.com/citation-style-language/schema/raw/master/csl-citation.json"}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164</w:t>
      </w:r>
      <w:r w:rsidR="0072607A" w:rsidRPr="002A7128">
        <w:rPr>
          <w:rFonts w:ascii="Calibri" w:hAnsi="Calibri" w:cs="Calibri"/>
        </w:rPr>
        <w:fldChar w:fldCharType="end"/>
      </w:r>
      <w:r w:rsidRPr="002A7128">
        <w:rPr>
          <w:rFonts w:ascii="Calibri" w:hAnsi="Calibri" w:cs="Calibri"/>
        </w:rPr>
        <w:t xml:space="preserve">. For example, oil-in-water emulsion MF59 induced ATP release from muscle cells through intramuscular vaccination, and degradation of extracellular ATP reduced hemagglutinin (HA)-specific antibody formation when mice </w:t>
      </w:r>
      <w:r w:rsidRPr="002A7128">
        <w:rPr>
          <w:rFonts w:ascii="Calibri" w:hAnsi="Calibri" w:cs="Calibri"/>
        </w:rPr>
        <w:lastRenderedPageBreak/>
        <w:t>immunized with HA-influenza antigens</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{"citationID":"a2o3kiu44th","properties":{"formattedCitation":"\\super 71\\nosupersub{}","plainCitation":"71","noteIndex":0},"citationItems":[{"id":6731,"uris":["http://zotero.org/groups/2667333/items/8SKMAZE9"],"itemData":{"id":6731,"type":"article-journal","abstract":"Vaccines are the most effective agents to control infections. In addition to the pathogen antigens, vaccines contain adjuvants that are used to enhance protective immune responses. However, the molecular mechanism of action of most adjuvants is ill-known, and a better understanding of adjuvanticity is needed to develop improved adjuvants based on molecular targets that further enhance vaccine efficacy. This is particularly important for tuberculosis, malaria, AIDS, and other diseases for which protective vaccines do not exist. Release of endogenous danger signals has been linked to adjuvanticity; however, the role of extracellular ATP during vaccination has never been explored. Here, we tested whether ATP release is involved in the immune boosting effect of four common adjuvants: aluminum hydroxide, calcium phosphate, incomplete Freund’s adjuvant, and the oil-in-water emulsion MF59. We found that intramuscular injection is always associated with a weak transient release of ATP, which was greatly enhanced by the presence of MF59 but not by all other adjuvants tested. Local injection of apyrase, an ATP-hydrolyzing enzyme, inhibited cell recruitment in the muscle induced by MF59 but not by alum or incomplete Freund’s adjuvant. In addition, apyrase strongly inhibited influenza-specific T-cell responses and hemagglutination inhibition titers in response to an MF59-adjuvanted trivalent influenza vaccine. These data demonstrate that a transient ATP release is required for innate and adaptive immune responses induced by MF59 and link extracellular ATP with an enhanced response to vaccination.","container-title":"Proceedings of the National Academy of Sciences","DOI":"10.1073/pnas.1319784110","ISSN":"0027-8424, 1091-6490","issue":"52","journalAbbreviation":"PNAS","language":"en","license":"©  . Freely available online through the PNAS open access option.","note":"publisher: National Academy of Sciences\nsection: Biological Sciences\nPMID: 24324152","page":"21095-21100","source":"www.pnas.org","title":"The adjuvant MF59 induces ATP release from muscle that potentiates response to vaccination","URL":"https://www.pnas.org/content/110/52/21095","volume":"110","author":[{"family":"Vono","given":"Maria"},{"family":"Taccone","given":"Marianna"},{"family":"Caccin","given":"Paola"},{"family":"Gallotta","given":"Marilena"},{"family":"Donvito","given":"Giovanna"},{"family":"Falzoni","given":"Simonetta"},{"family":"Palmieri","given":"Emiliano"},{"family":"Pallaoro","given":"Michele"},{"family":"Rappuoli","given":"Rino"},{"family":"Virgilio","given":"Francesco Di"},{"family":"Gregorio","given":"Ennio De"},{"family":"Montecucco","given":"Cesare"},{"family":"Seubert","given":"Anja"}],"accessed":{"date-parts":[["2021",6,15]]},"issued":{"date-parts":[["2013",12,24]]},"citation-key":"vono_adjuvant_2013"}}],"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71</w:t>
      </w:r>
      <w:r w:rsidR="0072607A" w:rsidRPr="002A7128">
        <w:rPr>
          <w:rFonts w:ascii="Calibri" w:hAnsi="Calibri" w:cs="Calibri"/>
        </w:rPr>
        <w:fldChar w:fldCharType="end"/>
      </w:r>
      <w:r w:rsidR="003364FE">
        <w:rPr>
          <w:rFonts w:ascii="Calibri" w:hAnsi="Calibri" w:cs="Calibri"/>
        </w:rPr>
        <w:t>.</w:t>
      </w:r>
      <w:r w:rsidR="0072607A" w:rsidRPr="002A7128">
        <w:rPr>
          <w:rFonts w:ascii="Calibri" w:hAnsi="Calibri" w:cs="Calibri"/>
        </w:rPr>
        <w:t xml:space="preserve"> </w:t>
      </w:r>
      <w:r w:rsidRPr="002A7128">
        <w:rPr>
          <w:rFonts w:ascii="Calibri" w:hAnsi="Calibri" w:cs="Calibri"/>
        </w:rPr>
        <w:t>However, ATP injection alone was insufficient to induce a strong response, suggesting a synergistic effect that relies on other released DAMPs</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{"citationID":"aci0b66uva","properties":{"formattedCitation":"\\super 71\\nosupersub{}","plainCitation":"71","noteIndex":0},"citationItems":[{"id":6731,"uris":["http://zotero.org/groups/2667333/items/8SKMAZE9"],"itemData":{"id":6731,"type":"article-journal","abstract":"Vaccines are the most effective agents to control infections. In addition to the pathogen antigens, vaccines contain adjuvants that are used to enhance protective immune responses. However, the molecular mechanism of action of most adjuvants is ill-known, and a better understanding of adjuvanticity is needed to develop improved adjuvants based on molecular targets that further enhance vaccine efficacy. This is particularly important for tuberculosis, malaria, AIDS, and other diseases for which protective vaccines do not exist. Release of endogenous danger signals has been linked to adjuvanticity; however, the role of extracellular ATP during vaccination has never been explored. Here, we tested whether ATP release is involved in the immune boosting effect of four common adjuvants: aluminum hydroxide, calcium phosphate, incomplete Freund’s adjuvant, and the oil-in-water emulsion MF59. We found that intramuscular injection is always associated with a weak transient release of ATP, which was greatly enhanced by the presence of MF59 but not by all other adjuvants tested. Local injection of apyrase, an ATP-hydrolyzing enzyme, inhibited cell recruitment in the muscle induced by MF59 but not by alum or incomplete Freund’s adjuvant. In addition, apyrase strongly inhibited influenza-specific T-cell responses and hemagglutination inhibition titers in response to an MF59-adjuvanted trivalent influenza vaccine. These data demonstrate that a transient ATP release is required for innate and adaptive immune responses induced by MF59 and link extracellular ATP with an enhanced response to vaccination.","container-title":"Proceedings of the National Academy of Sciences","DOI":"10.1073/pnas.1319784110","ISSN":"0027-8424, 1091-6490","issue":"52","journalAbbreviation":"PNAS","language":"en","license":"©  . Freely available online through the PNAS open access option.","note":"publisher: National Academy of Sciences\nsection: Biological Sciences\nPMID: 24324152","page":"21095-21100","source":"www.pnas.org","title":"The adjuvant MF59 induces ATP release from muscle that potentiates response to vaccination","URL":"https://www.pnas.org/content/110/52/21095","volume":"110","author":[{"family":"Vono","given":"Maria"},{"family":"Taccone","given":"Marianna"},{"family":"Caccin","given":"Paola"},{"family":"Gallotta","given":"Marilena"},{"family":"Donvito","given":"Giovanna"},{"family":"Falzoni","given":"Simonetta"},{"family":"Palmieri","given":"Emiliano"},{"family":"Pallaoro","given":"Michele"},{"family":"Rappuoli","given":"Rino"},{"family":"Virgilio","given":"Francesco Di"},{"family":"Gregorio","given":"Ennio De"},{"family":"Montecucco","given":"Cesare"},{"family":"Seubert","given":"Anja"}],"accessed":{"date-parts":[["2021",6,15]]},"issued":{"date-parts":[["2013",12,24]]},"citation-key":"vono_adjuvant_2013"}}],"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71</w:t>
      </w:r>
      <w:r w:rsidR="0072607A" w:rsidRPr="002A7128">
        <w:rPr>
          <w:rFonts w:ascii="Calibri" w:hAnsi="Calibri" w:cs="Calibri"/>
        </w:rPr>
        <w:fldChar w:fldCharType="end"/>
      </w:r>
      <w:r w:rsidRPr="002A7128">
        <w:rPr>
          <w:rFonts w:ascii="Calibri" w:hAnsi="Calibri" w:cs="Calibri"/>
        </w:rPr>
        <w:t>. In a recent study, plasmid-encoded HMGB-1 increased the immunogenicity of a DNA vaccine,  thus enhancing a specific immune response to the influenza nucleoprotein and HA proteins, and improving the survival of mice against lethal mucosal heterosubtypic influenza challenge</w:t>
      </w:r>
      <w:r w:rsidR="0072607A" w:rsidRPr="002A7128">
        <w:rPr>
          <w:rFonts w:ascii="Calibri" w:hAnsi="Calibri" w:cs="Calibri"/>
        </w:rPr>
        <w:fldChar w:fldCharType="begin"/>
      </w:r>
      <w:r w:rsidR="00317E7D" w:rsidRPr="002A7128">
        <w:rPr>
          <w:rFonts w:ascii="Calibri" w:hAnsi="Calibri" w:cs="Calibri"/>
        </w:rPr>
        <w:instrText xml:space="preserve"> ADDIN ZOTERO_ITEM CSL_CITATION {"citationID":"a1p58f2bg64","properties":{"formattedCitation":"\\super 165\\nosupersub{}","plainCitation":"165","noteIndex":0},"citationItems":[{"id":6406,"uris":["http://zotero.org/groups/2667333/items/Q8NHIK3F"],"itemData":{"id":6406,"type":"article-journal","abstract":"DNA-based vaccines, while highly immunogenic in mice, generate significantly weaker responses in primates. Therefore, current efforts are aimed at increasing their immunogenicity, which include optimizing the plasmid/gene, the vaccine formulation and method of delivery. For example, co-immunization with molecular adjuvants encoding an immunomodulatory protein has been shown to improve the antigen (Ag)-specific immune response. Thus, the incorporation of enhancing elements, such as these, may be particularly important in the influenza model in which high titered antibody (Ab) responses are critical for protection. In this regard, we compared the ability of plasmid-encoded high-mobility group box 1 protein (HMGB1), a novel cytokine in which we have previously mutated in order to increase DNA vaccine immunogenicity, with boost Ag-specific immune responses during DNA vaccination with influenza A/PR/8/34 nucleoprotein or the hemagglutinin of A novel H1N1/09. We show that the HMGB1 adjuvant is capable of enhancing adaptive effector and memory immune responses. Although Ag-specific antibodies were detected in all vaccinated animals, a greater neutralizing Ab response was associated with the HMGB1 adjuvant. Furthermore, these responses improved CD8 T+-cell effector and memory responses and provided protection against a lethal mucosal influenza A/PR/8/34 challenge. Thus, co-immunization with HMGB1 has strong in vivo adjuvant activity during the development of immunity against plasmid-encoded Ag.","container-title":"Gene Therapy","DOI":"10.1038/gt.2011.59","ISSN":"1476-5462","issue":"11","language":"en","license":"2011 Macmillan Publishers Limited","note":"number: 11\npublisher: Nature Publishing Group","page":"1070-1077","source":"www.nature.com","title":"Molecular adjuvant HMGB1 enhances anti-influenza immunity during DNA vaccination","URL":"https://www.nature.com/articles/gt201159","volume":"18","author":[{"family":"Fagone","given":"P."},{"family":"Shedlock","given":"D. J."},{"family":"Bao","given":"H."},{"family":"Kawalekar","given":"O. U."},{"family":"Yan","given":"J."},{"family":"Gupta","given":"D."},{"family":"Morrow","given":"M. P."},{"family":"Patel","given":"A."},{"family":"Kobinger","given":"G. P."},{"family":"Muthumani","given":"K."},{"family":"Weiner","given":"D. B."}],"accessed":{"date-parts":[["2021",5,21]]},"issued":{"date-parts":[["2011",11]]},"citation-key":"fagone_molecular_2011"}}],"schema":"https://github.com/citation-style-language/schema/raw/master/csl-citation.json"} </w:instrText>
      </w:r>
      <w:r w:rsidR="0072607A" w:rsidRPr="002A7128">
        <w:rPr>
          <w:rFonts w:ascii="Calibri" w:hAnsi="Calibri" w:cs="Calibri"/>
        </w:rPr>
        <w:fldChar w:fldCharType="separate"/>
      </w:r>
      <w:r w:rsidR="00317E7D" w:rsidRPr="002A7128">
        <w:rPr>
          <w:rFonts w:ascii="Calibri" w:hAnsi="Calibri" w:cs="Calibri"/>
          <w:vertAlign w:val="superscript"/>
        </w:rPr>
        <w:t>165</w:t>
      </w:r>
      <w:r w:rsidR="0072607A" w:rsidRPr="002A7128">
        <w:rPr>
          <w:rFonts w:ascii="Calibri" w:hAnsi="Calibri" w:cs="Calibri"/>
        </w:rPr>
        <w:fldChar w:fldCharType="end"/>
      </w:r>
      <w:r w:rsidRPr="002A7128">
        <w:rPr>
          <w:rFonts w:ascii="Calibri" w:hAnsi="Calibri" w:cs="Calibri"/>
        </w:rPr>
        <w:t>. HSP90 enhances the cross-presentation of antigens by APCs</w:t>
      </w:r>
      <w:r w:rsidR="00A5499D" w:rsidRPr="002A7128">
        <w:rPr>
          <w:rFonts w:ascii="Calibri" w:hAnsi="Calibri" w:cs="Calibri"/>
        </w:rPr>
        <w:fldChar w:fldCharType="begin"/>
      </w:r>
      <w:r w:rsidR="00317E7D" w:rsidRPr="002A7128">
        <w:rPr>
          <w:rFonts w:ascii="Calibri" w:hAnsi="Calibri" w:cs="Calibri"/>
        </w:rPr>
        <w:instrText xml:space="preserve"> ADDIN ZOTERO_ITEM CSL_CITATION {"citationID":"a2d5bffjgn3","properties":{"formattedCitation":"\\super 166\\nosupersub{}","plainCitation":"166","noteIndex":0},"citationItems":[{"id":5704,"uris":["http://zotero.org/groups/2667333/items/7XIG3WGS"],"itemData":{"id":5704,"type":"article-journal","abstract":"Antigen cross presentation is an important mechanism for CD8+ T cell activation by antigen presenting cells (APC). We have investigated mechanisms involved in Hsp90 chaperone mediated cross presentation of ovalbumin (Ova) derived antigens. Hsp90-Ova peptide complexes bound to scavenger receptor expressed by endothelial cells (SREC-I) on the surface of APC. SREC-I then mediated internalization of Hsp90-Ova polypeptide complexes through a Cdc42 regulated, dynamin independent endocytic pathway known as the GPI-AP enriched early endosomal compartment (GEEC) to recycling endosomes. Peptides that did not require processing could then be loaded directly onto MHC-I in endosomes, whereas longer peptides underwent endosomal and cytosomal processing by aminopeptidases and proteases. Cross presentation of Hsp90 chaperoned peptides through this pathway to CD8+ T-cells was highly efficient compared with processing of free polypeptides. In addition, Hsp90 also activated c-src kinase associated with SREC-I, an activity that we determined to be required for effective cross presentation. Extracellular Hsp90 can thus convey antigenic peptides through an efficient endocytosis pathway in APC and facilitate cross presentation in a highly regulated manner.","container-title":"Journal of immunology (Baltimore, Md. : 1950)","DOI":"10.4049/jimmunol.0903635","ISSN":"0022-1767","issue":"5","journalAbbreviation":"J Immunol","note":"PMID: 20686127\nPMCID: PMC4109054","page":"2903-2917","source":"PubMed Central","title":"Hsp90 mediates Efficient Antigen Cross Presentation Through the Scavenger Receptor SREC-I","URL":"https://www.ncbi.nlm.nih.gov/pmc/articles/PMC4109054/","volume":"185","author":[{"family":"Murshid","given":"Ayesha"},{"family":"Gong","given":"Jianlin"},{"family":"Calderwood","given":"Stuart K."}],"accessed":{"date-parts":[["2021",1,28]]},"issued":{"date-parts":[["2010",9,1]]},"citation-key":"murshid_hsp90_2010"}}],"schema":"https://github.com/citation-style-language/schema/raw/master/csl-citation.json"} </w:instrText>
      </w:r>
      <w:r w:rsidR="00A5499D" w:rsidRPr="002A7128">
        <w:rPr>
          <w:rFonts w:ascii="Calibri" w:hAnsi="Calibri" w:cs="Calibri"/>
        </w:rPr>
        <w:fldChar w:fldCharType="separate"/>
      </w:r>
      <w:r w:rsidR="00317E7D" w:rsidRPr="002A7128">
        <w:rPr>
          <w:rFonts w:ascii="Calibri" w:hAnsi="Calibri" w:cs="Calibri"/>
          <w:vertAlign w:val="superscript"/>
        </w:rPr>
        <w:t>166</w:t>
      </w:r>
      <w:r w:rsidR="00A5499D" w:rsidRPr="002A7128">
        <w:rPr>
          <w:rFonts w:ascii="Calibri" w:hAnsi="Calibri" w:cs="Calibri"/>
        </w:rPr>
        <w:fldChar w:fldCharType="end"/>
      </w:r>
      <w:r w:rsidRPr="002A7128">
        <w:rPr>
          <w:rFonts w:ascii="Calibri" w:hAnsi="Calibri" w:cs="Calibri"/>
        </w:rPr>
        <w:t>. However, recombinant DAMPs have been ineffective adjuvants</w:t>
      </w:r>
      <w:r w:rsidR="00A5499D" w:rsidRPr="002A7128">
        <w:rPr>
          <w:rFonts w:ascii="Calibri" w:hAnsi="Calibri" w:cs="Calibri"/>
        </w:rPr>
        <w:fldChar w:fldCharType="begin"/>
      </w:r>
      <w:r w:rsidR="00317E7D" w:rsidRPr="002A7128">
        <w:rPr>
          <w:rFonts w:ascii="Calibri" w:hAnsi="Calibri" w:cs="Calibri"/>
        </w:rPr>
        <w:instrText xml:space="preserve"> ADDIN ZOTERO_ITEM CSL_CITATION {"citationID":"a1pd6v6vcvo","properties":{"formattedCitation":"\\super 167\\nosupersub{}","plainCitation":"167","noteIndex":0},"citationItems":[{"id":6699,"uris":["http://zotero.org/groups/2667333/items/I63NZDI4"],"itemData":{"id":6699,"type":"article-journal","abstract":"Chemokines regulate the migration and the maturation of dendritic cells (DC) licensed by microbial constituents. We have recently found that the function of DC, including their ability to activate naïve, allogeneic CD4+ T cells, requires the autocrine/pracrine release of the nuclear protein high mobility group box 1 (HMGB1). We show here that human myeloid DC, which rapidly secrete upon maturation induction their own HMGB1, remodel their actin-based cytoskeleton, up-regulate the CCR7 and the CXCR4 chemokine receptors, and acquire the ability to migrate in response to chemokine receptor ligands. The events are apparently causally related: DC challenged with LPS in the presence of HMGB1-specific antibodies fail to up-regulate the expression of the CCR7 and CXCR4 receptors and to rearrange actin-rich structures. Moreover, DC matured in the presence of anti-HMGB1 antibodies fail to migrate in response to the CCR7 ligand CCL19 and to the CXCR4 ligand CXCL12. The blockade of receptor for advanced glycation end products (RAGE), the best-characterized membrane receptor for HMGB1, impinges as well on the up-regulation of chemokine receptors and on responsiveness to CCL19 and CXCL12. Our data suggest that the autocrine/paracrine release of HMGB1 and the integrity of the HMGB1/RAGE pathway are required for the migratory function of DC.","container-title":"Journal of Leukocyte Biology","DOI":"10.1189/jlb.0306171","ISSN":"1938-3673","issue":"1","language":"en","license":"© 2007 Society for Leukocyte Biology","note":"_eprint: https://jlb.onlinelibrary.wiley.com/doi/pdf/10.1189/jlb.0306171","page":"84-91","source":"Wiley Online Library","title":"The secretion of HMGB1 is required for the migration of maturing dendritic cells","URL":"https://jlb.onlinelibrary.wiley.com/doi/abs/10.1189/jlb.0306171","volume":"81","author":[{"family":"Dumitriu","given":"Ingrid E."},{"family":"Bianchi","given":"Marco E."},{"family":"Bacci","given":"Monica"},{"family":"Manfredi","given":"Angelo A."},{"family":"Rovere-Querini","given":"Patrizia"}],"accessed":{"date-parts":[["2021",6,9]]},"issued":{"date-parts":[["2007"]]},"citation-key":"dumitriu_secretion_2007"}}],"schema":"https://github.com/citation-style-language/schema/raw/master/csl-citation.json"} </w:instrText>
      </w:r>
      <w:r w:rsidR="00A5499D" w:rsidRPr="002A7128">
        <w:rPr>
          <w:rFonts w:ascii="Calibri" w:hAnsi="Calibri" w:cs="Calibri"/>
        </w:rPr>
        <w:fldChar w:fldCharType="separate"/>
      </w:r>
      <w:r w:rsidR="00317E7D" w:rsidRPr="002A7128">
        <w:rPr>
          <w:rFonts w:ascii="Calibri" w:hAnsi="Calibri" w:cs="Calibri"/>
          <w:vertAlign w:val="superscript"/>
        </w:rPr>
        <w:t>167</w:t>
      </w:r>
      <w:r w:rsidR="00A5499D" w:rsidRPr="002A7128">
        <w:rPr>
          <w:rFonts w:ascii="Calibri" w:hAnsi="Calibri" w:cs="Calibri"/>
        </w:rPr>
        <w:fldChar w:fldCharType="end"/>
      </w:r>
      <w:r w:rsidRPr="002A7128">
        <w:rPr>
          <w:rFonts w:ascii="Calibri" w:hAnsi="Calibri" w:cs="Calibri"/>
        </w:rPr>
        <w:t>. Therefore, technologies that induce the release of DAMPs collectively for synergistic effects are an emerging frontier in immunotherapy.</w:t>
      </w:r>
    </w:p>
    <w:p w14:paraId="1D79D9A9" w14:textId="370A2EAC" w:rsidR="0095358A" w:rsidRPr="002A7128" w:rsidRDefault="0095358A" w:rsidP="00F675B4">
      <w:pPr>
        <w:spacing w:line="480" w:lineRule="auto"/>
        <w:jc w:val="both"/>
        <w:rPr>
          <w:rFonts w:ascii="Calibri" w:hAnsi="Calibri" w:cs="Calibri"/>
        </w:rPr>
      </w:pPr>
      <w:r w:rsidRPr="002A7128">
        <w:rPr>
          <w:rFonts w:ascii="Calibri" w:hAnsi="Calibri" w:cs="Calibri"/>
        </w:rPr>
        <w:t xml:space="preserve">To induce such DAMP-release with a peptide that targets a specific cell membrane receptor has limitations; peptide will not be effective on the cells without the receptor or cell can mutate to reduce the expression of that receptor to gain resistance against the peptide. Therefore, rather than targeting a particular protein, in this study, we utilized the </w:t>
      </w:r>
      <w:proofErr w:type="spellStart"/>
      <w:r w:rsidRPr="002A7128">
        <w:rPr>
          <w:rFonts w:ascii="Calibri" w:hAnsi="Calibri" w:cs="Calibri"/>
        </w:rPr>
        <w:t>CoOP</w:t>
      </w:r>
      <w:proofErr w:type="spellEnd"/>
      <w:r w:rsidRPr="002A7128">
        <w:rPr>
          <w:rFonts w:ascii="Calibri" w:hAnsi="Calibri" w:cs="Calibri"/>
        </w:rPr>
        <w:t xml:space="preserve"> strategy to design a peptide sequence that can aggregate strong enough in the cellular environment to induce similar ICD functionality</w:t>
      </w:r>
      <w:r w:rsidR="00A5499D" w:rsidRPr="002A7128">
        <w:rPr>
          <w:rFonts w:ascii="Calibri" w:hAnsi="Calibri" w:cs="Calibri"/>
        </w:rPr>
        <w:fldChar w:fldCharType="begin"/>
      </w:r>
      <w:r w:rsidR="00317E7D" w:rsidRPr="002A7128">
        <w:rPr>
          <w:rFonts w:ascii="Calibri" w:hAnsi="Calibri" w:cs="Calibri"/>
        </w:rPr>
        <w:instrText xml:space="preserve"> ADDIN ZOTERO_ITEM CSL_CITATION {"citationID":"a1tujdjd3qt","properties":{"formattedCitation":"\\super 145\\nosupersub{}","plainCitation":"145","noteIndex":0},"citationItems":[{"id":9925,"uris":["http://zotero.org/groups/2667333/items/CDKDX376"],"itemData":{"id":9925,"type":"article-journal","abstract":"Co-assembly of oppositely charged peptides (CoOP) links intermolecular interactions and material properties.","archive_location":"world","container-title":"Science Advances","DOI":"10.1126/sciadv.abj0305","language":"EN","license":"Copyright © 2022 The Authors, some rights reserved; exclusive licensee American Association for the Advancement of Science. No claim to original U.S. Government Works. Distributed under a Creative Commons Attribution NonCommercial License 4.0 (CC BY-NC).","note":"publisher: American Association for the Advancement of Science\ntex.ids= doi:10.1126/sciadv.abj0305","source":"www.science.org","title":"Peptide framework for screening the effects of amino acids on assembly","URL":"https://www.science.org/doi/abs/10.1126/sciadv.abj0305","author":[{"family":"Hamsici","given":"Seren"},{"family":"White","given":"Andrew D."},{"family":"Acar","given":"Handan"}],"accessed":{"date-parts":[["2022",1,19]]},"issued":{"date-parts":[["2022",1]]},"citation-key":"hamsici_peptide_2022"}}],"schema":"https://github.com/citation-style-language/schema/raw/master/csl-citation.json"} </w:instrText>
      </w:r>
      <w:r w:rsidR="00A5499D" w:rsidRPr="002A7128">
        <w:rPr>
          <w:rFonts w:ascii="Calibri" w:hAnsi="Calibri" w:cs="Calibri"/>
        </w:rPr>
        <w:fldChar w:fldCharType="separate"/>
      </w:r>
      <w:r w:rsidR="00317E7D" w:rsidRPr="002A7128">
        <w:rPr>
          <w:rFonts w:ascii="Calibri" w:hAnsi="Calibri" w:cs="Calibri"/>
          <w:vertAlign w:val="superscript"/>
        </w:rPr>
        <w:t>145</w:t>
      </w:r>
      <w:r w:rsidR="00A5499D" w:rsidRPr="002A7128">
        <w:rPr>
          <w:rFonts w:ascii="Calibri" w:hAnsi="Calibri" w:cs="Calibri"/>
        </w:rPr>
        <w:fldChar w:fldCharType="end"/>
      </w:r>
      <w:r w:rsidRPr="002A7128">
        <w:rPr>
          <w:rFonts w:ascii="Calibri" w:hAnsi="Calibri" w:cs="Calibri"/>
        </w:rPr>
        <w:t xml:space="preserve">. </w:t>
      </w:r>
    </w:p>
    <w:p w14:paraId="72C0FD2F" w14:textId="1447A940" w:rsidR="0095358A" w:rsidRPr="002A7128" w:rsidRDefault="0095358A" w:rsidP="00F675B4">
      <w:pPr>
        <w:spacing w:line="480" w:lineRule="auto"/>
        <w:jc w:val="both"/>
        <w:rPr>
          <w:rFonts w:ascii="Calibri" w:hAnsi="Calibri" w:cs="Calibri"/>
        </w:rPr>
      </w:pPr>
      <w:r w:rsidRPr="002A7128">
        <w:rPr>
          <w:rFonts w:ascii="Calibri" w:hAnsi="Calibri" w:cs="Calibri"/>
        </w:rPr>
        <w:t>Nanomaterials built by self-assembling peptides have broad application areas in medicine. Discovery of peptide sequences that assemble into nanostructures with desired properties and functions in a biological environment is a major challenge for the field. Editing the sequence of a protein that naturally assembles in the body can accelerate the discovery of various sequences, yet the harvested properties rule their functionalities. Establishing the application of a new peptide material based on its characterized properties is a common strategy</w:t>
      </w:r>
      <w:r w:rsidR="00A5499D" w:rsidRPr="002A7128">
        <w:rPr>
          <w:rFonts w:ascii="Calibri" w:hAnsi="Calibri" w:cs="Calibri"/>
        </w:rPr>
        <w:fldChar w:fldCharType="begin"/>
      </w:r>
      <w:r w:rsidR="00A64B61" w:rsidRPr="002A7128">
        <w:rPr>
          <w:rFonts w:ascii="Calibri" w:hAnsi="Calibri" w:cs="Calibri"/>
        </w:rPr>
        <w:instrText xml:space="preserve"> ADDIN ZOTERO_ITEM CSL_CITATION {"citationID":"a170ik86sk6","properties":{"formattedCitation":"\\super 168\\nosupersub{}","plainCitation":"168","noteIndex":0},"citationItems":[{"id":9672,"uris":["http://zotero.org/groups/2667333/items/V9ZB526E"],"itemData":{"id":9672,"type":"article-journal","abstract":"A core challenge in biomaterials, with both fundamental significance and technological relevance, concerns the rational design of bioactive microenvironments. Designed properly, peptides can undergo supramolecular assembly into dynamic, physical hydrogels that mimic the mechanical, topological, and biochemical features of native tissue microenvironments. The relatively facile, inexpensive, and automatable preparation of peptides coupled with low batch-to-batch variability motivates the expanded use of assembling peptide hydrogels for biomedical applications. Integral to realizing dynamic peptide assemblies as functional biomaterials for tissue engineering is an understanding of the molecular and macroscopic features that govern assembly, morphology, and biological interactions. In this review, we first discuss the design of assembling peptides, including primary structure (sequence), secondary structure (e.g., α-helix and β-sheets), and molecular interactions that facilitate assembly into multiscale materials with desired properties. Next, we describe characterization tools for elucidating molecular structure and interactions, morphology, bulk properties, and biological functionality. Understanding of these characterization methods enables researchers to access a variety of approaches in this ever-expanding field. Finally, we discuss the biological properties and applications of peptide-based biomaterials for engineering several important tissues. By connecting molecular features and mechanisms of assembling peptides to the material and biological properties, we aim to guide the design and characterization of peptide-based biomaterials for tissue engineering and regenerative medicine.\nStatement of Significance\nWell-defined topological and mechanical properties of assembled peptides can be used to direct biological responses. Engineering peptide-based extracellular matrices offers immense opportunity for regenerative medicine and tissue engineering. Here we review the molecular-scale features of assembling peptides that result in useful extracellular matrix properties and desired cell interactions. Aiming to inspire researchers approaching this challenge from both the peptide biomaterial design and tissue engineering perspectives, we present characterization tools for understanding the connection between peptide structure and properties and highlight the use of peptide-based biomaterials in neural, orthopedic, cardiac, muscular, and immune engineering applications.","container-title":"Acta Biomaterialia","DOI":"10.1016/j.actbio.2021.10.030","ISSN":"1742-7061","journalAbbreviation":"Acta Biomaterialia","language":"en","source":"ScienceDirect","title":"Biomaterials via peptide assembly: design, characterization, and application in tissue engineering","title-short":"Biomaterials via peptide assembly","URL":"https://www.sciencedirect.com/science/article/pii/S1742706121007017","author":[{"family":"Gray","given":"Vincent P."},{"family":"Amelung","given":"Connor D."},{"family":"Duti","given":"Israt J."},{"family":"Laudermilch","given":"Emma G."},{"family":"Letteri","given":"Rachel A."},{"family":"Lampe","given":"Kyle J."}],"accessed":{"date-parts":[["2021",12,5]]},"issued":{"date-parts":[["2021",10,25]]},"citation-key":"gray_biomaterials_2021"}}],"schema":"https://github.com/citation-style-language/schema/raw/master/csl-citation.json"} </w:instrText>
      </w:r>
      <w:r w:rsidR="00A5499D" w:rsidRPr="002A7128">
        <w:rPr>
          <w:rFonts w:ascii="Calibri" w:hAnsi="Calibri" w:cs="Calibri"/>
        </w:rPr>
        <w:fldChar w:fldCharType="separate"/>
      </w:r>
      <w:r w:rsidR="00A64B61" w:rsidRPr="002A7128">
        <w:rPr>
          <w:rFonts w:ascii="Calibri" w:hAnsi="Calibri" w:cs="Calibri"/>
          <w:vertAlign w:val="superscript"/>
        </w:rPr>
        <w:t>168</w:t>
      </w:r>
      <w:r w:rsidR="00A5499D" w:rsidRPr="002A7128">
        <w:rPr>
          <w:rFonts w:ascii="Calibri" w:hAnsi="Calibri" w:cs="Calibri"/>
        </w:rPr>
        <w:fldChar w:fldCharType="end"/>
      </w:r>
      <w:r w:rsidRPr="002A7128">
        <w:rPr>
          <w:rFonts w:ascii="Calibri" w:hAnsi="Calibri" w:cs="Calibri"/>
        </w:rPr>
        <w:t xml:space="preserve">. Here we applied a unique approach; instead of mimicking a naturally existing protein or peptide sequence, we aimed to mimic their function and activity with a new tool that induces ICD via </w:t>
      </w:r>
      <w:proofErr w:type="spellStart"/>
      <w:r w:rsidRPr="002A7128">
        <w:rPr>
          <w:rFonts w:ascii="Calibri" w:hAnsi="Calibri" w:cs="Calibri"/>
        </w:rPr>
        <w:t>CoOP</w:t>
      </w:r>
      <w:proofErr w:type="spellEnd"/>
      <w:r w:rsidRPr="002A7128">
        <w:rPr>
          <w:rFonts w:ascii="Calibri" w:hAnsi="Calibri" w:cs="Calibri"/>
        </w:rPr>
        <w:t xml:space="preserve"> strategy. </w:t>
      </w:r>
      <w:r w:rsidRPr="002A7128">
        <w:rPr>
          <w:rFonts w:ascii="Calibri" w:hAnsi="Calibri" w:cs="Calibri"/>
        </w:rPr>
        <w:lastRenderedPageBreak/>
        <w:t xml:space="preserve">We designed peptide sequences for mimicking this activity. </w:t>
      </w:r>
      <w:proofErr w:type="spellStart"/>
      <w:r w:rsidRPr="002A7128">
        <w:rPr>
          <w:rFonts w:ascii="Calibri" w:hAnsi="Calibri" w:cs="Calibri"/>
        </w:rPr>
        <w:t>CoOP</w:t>
      </w:r>
      <w:proofErr w:type="spellEnd"/>
      <w:r w:rsidRPr="002A7128">
        <w:rPr>
          <w:rFonts w:ascii="Calibri" w:hAnsi="Calibri" w:cs="Calibri"/>
        </w:rPr>
        <w:t xml:space="preserve"> strategy is based on a framework (i.e., the diphenylalanine (FF) domain and terminal charges) that defines the peptide-peptide orientation and thus initiates the interactions of the peptides. However, the forces that affect the kinetics of the assembly and the properties of the final product are provided by the two amino acids of the substitution domain [XX] (we use the standard single-letter amino-acid codes throughout this work, with the </w:t>
      </w:r>
      <w:proofErr w:type="spellStart"/>
      <w:r w:rsidRPr="002A7128">
        <w:rPr>
          <w:rFonts w:ascii="Calibri" w:hAnsi="Calibri" w:cs="Calibri"/>
        </w:rPr>
        <w:t>CoOP</w:t>
      </w:r>
      <w:proofErr w:type="spellEnd"/>
      <w:r w:rsidRPr="002A7128">
        <w:rPr>
          <w:rFonts w:ascii="Calibri" w:hAnsi="Calibri" w:cs="Calibri"/>
        </w:rPr>
        <w:t xml:space="preserve"> pairs denoted in square brackets: </w:t>
      </w:r>
      <w:proofErr w:type="gramStart"/>
      <w:r w:rsidRPr="002A7128">
        <w:rPr>
          <w:rFonts w:ascii="Calibri" w:hAnsi="Calibri" w:cs="Calibri"/>
        </w:rPr>
        <w:t>[ ]</w:t>
      </w:r>
      <w:proofErr w:type="gramEnd"/>
      <w:r w:rsidRPr="002A7128">
        <w:rPr>
          <w:rFonts w:ascii="Calibri" w:hAnsi="Calibri" w:cs="Calibri"/>
        </w:rPr>
        <w:t xml:space="preserve">). Our </w:t>
      </w:r>
      <w:proofErr w:type="spellStart"/>
      <w:r w:rsidRPr="002A7128">
        <w:rPr>
          <w:rFonts w:ascii="Calibri" w:hAnsi="Calibri" w:cs="Calibri"/>
        </w:rPr>
        <w:t>CoOP</w:t>
      </w:r>
      <w:proofErr w:type="spellEnd"/>
      <w:r w:rsidRPr="002A7128">
        <w:rPr>
          <w:rFonts w:ascii="Calibri" w:hAnsi="Calibri" w:cs="Calibri"/>
        </w:rPr>
        <w:t xml:space="preserve"> strategy provides a quantitative correlations between changes in the amino acid sequence of the framework and the properties of the assembly</w:t>
      </w:r>
      <w:r w:rsidR="00A5499D" w:rsidRPr="002A7128">
        <w:rPr>
          <w:rFonts w:ascii="Calibri" w:hAnsi="Calibri" w:cs="Calibri"/>
        </w:rPr>
        <w:fldChar w:fldCharType="begin"/>
      </w:r>
      <w:r w:rsidR="00317E7D" w:rsidRPr="002A7128">
        <w:rPr>
          <w:rFonts w:ascii="Calibri" w:hAnsi="Calibri" w:cs="Calibri"/>
        </w:rPr>
        <w:instrText xml:space="preserve"> ADDIN ZOTERO_ITEM CSL_CITATION {"citationID":"a1lmp4h1d61","properties":{"formattedCitation":"\\super 145\\nosupersub{}","plainCitation":"145","noteIndex":0},"citationItems":[{"id":9925,"uris":["http://zotero.org/groups/2667333/items/CDKDX376"],"itemData":{"id":9925,"type":"article-journal","abstract":"Co-assembly of oppositely charged peptides (CoOP) links intermolecular interactions and material properties.","archive_location":"world","container-title":"Science Advances","DOI":"10.1126/sciadv.abj0305","language":"EN","license":"Copyright © 2022 The Authors, some rights reserved; exclusive licensee American Association for the Advancement of Science. No claim to original U.S. Government Works. Distributed under a Creative Commons Attribution NonCommercial License 4.0 (CC BY-NC).","note":"publisher: American Association for the Advancement of Science\ntex.ids= doi:10.1126/sciadv.abj0305","source":"www.science.org","title":"Peptide framework for screening the effects of amino acids on assembly","URL":"https://www.science.org/doi/abs/10.1126/sciadv.abj0305","author":[{"family":"Hamsici","given":"Seren"},{"family":"White","given":"Andrew D."},{"family":"Acar","given":"Handan"}],"accessed":{"date-parts":[["2022",1,19]]},"issued":{"date-parts":[["2022",1]]},"citation-key":"hamsici_peptide_2022"}}],"schema":"https://github.com/citation-style-language/schema/raw/master/csl-citation.json"} </w:instrText>
      </w:r>
      <w:r w:rsidR="00A5499D" w:rsidRPr="002A7128">
        <w:rPr>
          <w:rFonts w:ascii="Calibri" w:hAnsi="Calibri" w:cs="Calibri"/>
        </w:rPr>
        <w:fldChar w:fldCharType="separate"/>
      </w:r>
      <w:r w:rsidR="00317E7D" w:rsidRPr="002A7128">
        <w:rPr>
          <w:rFonts w:ascii="Calibri" w:hAnsi="Calibri" w:cs="Calibri"/>
          <w:vertAlign w:val="superscript"/>
        </w:rPr>
        <w:t>145</w:t>
      </w:r>
      <w:r w:rsidR="00A5499D" w:rsidRPr="002A7128">
        <w:rPr>
          <w:rFonts w:ascii="Calibri" w:hAnsi="Calibri" w:cs="Calibri"/>
        </w:rPr>
        <w:fldChar w:fldCharType="end"/>
      </w:r>
      <w:r w:rsidRPr="002A7128">
        <w:rPr>
          <w:rFonts w:ascii="Calibri" w:hAnsi="Calibri" w:cs="Calibri"/>
        </w:rPr>
        <w:t xml:space="preserve">. Hence, </w:t>
      </w:r>
      <w:proofErr w:type="spellStart"/>
      <w:r w:rsidRPr="002A7128">
        <w:rPr>
          <w:rFonts w:ascii="Calibri" w:hAnsi="Calibri" w:cs="Calibri"/>
        </w:rPr>
        <w:t>CoOP</w:t>
      </w:r>
      <w:proofErr w:type="spellEnd"/>
      <w:r w:rsidRPr="002A7128">
        <w:rPr>
          <w:rFonts w:ascii="Calibri" w:hAnsi="Calibri" w:cs="Calibri"/>
        </w:rPr>
        <w:t xml:space="preserve"> represents a uniquely powerful strategy to create small peptides with controllable aggregation profiles that can be used to design peptide-aggregation-induced immunogenic rupture (PAIIR) of the cell membrane and subsequent ICD.</w:t>
      </w:r>
    </w:p>
    <w:p w14:paraId="0062631A" w14:textId="77777777" w:rsidR="00A5499D" w:rsidRPr="002A7128" w:rsidRDefault="00A5499D" w:rsidP="00F675B4">
      <w:pPr>
        <w:spacing w:line="480" w:lineRule="auto"/>
        <w:jc w:val="both"/>
        <w:rPr>
          <w:rFonts w:ascii="Calibri" w:hAnsi="Calibri" w:cs="Calibri"/>
        </w:rPr>
      </w:pPr>
    </w:p>
    <w:p w14:paraId="5825AE02" w14:textId="77777777" w:rsidR="00A5499D" w:rsidRPr="002A7128" w:rsidRDefault="00A5499D" w:rsidP="00F675B4">
      <w:pPr>
        <w:keepNext/>
        <w:spacing w:line="480" w:lineRule="auto"/>
        <w:rPr>
          <w:rFonts w:ascii="Calibri" w:hAnsi="Calibri" w:cs="Calibri"/>
        </w:rPr>
      </w:pPr>
      <w:r w:rsidRPr="002A7128">
        <w:rPr>
          <w:rFonts w:ascii="Calibri" w:hAnsi="Calibri" w:cs="Calibri"/>
          <w:noProof/>
        </w:rPr>
        <w:lastRenderedPageBreak/>
        <w:drawing>
          <wp:inline distT="0" distB="0" distL="0" distR="0" wp14:anchorId="1569798A" wp14:editId="2017E7DE">
            <wp:extent cx="5943600" cy="3217545"/>
            <wp:effectExtent l="0" t="0" r="0" b="0"/>
            <wp:docPr id="14" name="Picture 1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217545"/>
                    </a:xfrm>
                    <a:prstGeom prst="rect">
                      <a:avLst/>
                    </a:prstGeom>
                  </pic:spPr>
                </pic:pic>
              </a:graphicData>
            </a:graphic>
          </wp:inline>
        </w:drawing>
      </w:r>
    </w:p>
    <w:p w14:paraId="1039A492" w14:textId="13112F70" w:rsidR="00A5499D" w:rsidRPr="002A7128" w:rsidRDefault="00A5499D" w:rsidP="007D2ECB">
      <w:pPr>
        <w:pStyle w:val="Caption"/>
        <w:spacing w:line="480" w:lineRule="auto"/>
        <w:jc w:val="both"/>
        <w:rPr>
          <w:rFonts w:ascii="Calibri" w:hAnsi="Calibri" w:cs="Calibri"/>
          <w:i w:val="0"/>
          <w:iCs w:val="0"/>
          <w:color w:val="000000" w:themeColor="text1"/>
          <w:sz w:val="24"/>
          <w:szCs w:val="24"/>
        </w:rPr>
      </w:pPr>
      <w:bookmarkStart w:id="43" w:name="_Ref103526960"/>
      <w:bookmarkStart w:id="44" w:name="_Toc120789422"/>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4</w:t>
      </w:r>
      <w:r w:rsidRPr="002A7128">
        <w:rPr>
          <w:rFonts w:ascii="Calibri" w:hAnsi="Calibri" w:cs="Calibri"/>
          <w:b/>
          <w:bCs/>
          <w:i w:val="0"/>
          <w:iCs w:val="0"/>
          <w:color w:val="000000" w:themeColor="text1"/>
          <w:sz w:val="24"/>
          <w:szCs w:val="24"/>
        </w:rPr>
        <w:fldChar w:fldCharType="end"/>
      </w:r>
      <w:bookmarkEnd w:id="43"/>
      <w:r w:rsidRPr="002A7128">
        <w:rPr>
          <w:rFonts w:ascii="Calibri" w:hAnsi="Calibri" w:cs="Calibri"/>
          <w:b/>
          <w:bCs/>
          <w:i w:val="0"/>
          <w:iCs w:val="0"/>
          <w:color w:val="000000" w:themeColor="text1"/>
          <w:sz w:val="24"/>
          <w:szCs w:val="24"/>
        </w:rPr>
        <w:t xml:space="preserve"> Cell membrane damage leads to the release of DAMPs.</w:t>
      </w:r>
      <w:r w:rsidRPr="002A7128">
        <w:rPr>
          <w:rFonts w:ascii="Calibri" w:hAnsi="Calibri" w:cs="Calibri"/>
          <w:i w:val="0"/>
          <w:iCs w:val="0"/>
          <w:color w:val="000000" w:themeColor="text1"/>
          <w:sz w:val="24"/>
          <w:szCs w:val="24"/>
        </w:rPr>
        <w:t xml:space="preserve"> These local DAMPs activate antigen-presenting cells for the uptake, </w:t>
      </w:r>
      <w:r w:rsidR="009A20DC" w:rsidRPr="002A7128">
        <w:rPr>
          <w:rFonts w:ascii="Calibri" w:hAnsi="Calibri" w:cs="Calibri"/>
          <w:i w:val="0"/>
          <w:iCs w:val="0"/>
          <w:color w:val="000000" w:themeColor="text1"/>
          <w:sz w:val="24"/>
          <w:szCs w:val="24"/>
        </w:rPr>
        <w:t>processing,</w:t>
      </w:r>
      <w:r w:rsidRPr="002A7128">
        <w:rPr>
          <w:rFonts w:ascii="Calibri" w:hAnsi="Calibri" w:cs="Calibri"/>
          <w:i w:val="0"/>
          <w:iCs w:val="0"/>
          <w:color w:val="000000" w:themeColor="text1"/>
          <w:sz w:val="24"/>
          <w:szCs w:val="24"/>
        </w:rPr>
        <w:t xml:space="preserve"> and presentation of antigens.</w:t>
      </w:r>
      <w:bookmarkEnd w:id="44"/>
    </w:p>
    <w:p w14:paraId="6F44E632" w14:textId="225B372E" w:rsidR="00A5499D" w:rsidRPr="002A7128" w:rsidRDefault="00A5499D" w:rsidP="00F675B4">
      <w:pPr>
        <w:spacing w:line="480" w:lineRule="auto"/>
        <w:jc w:val="both"/>
        <w:rPr>
          <w:rFonts w:ascii="Calibri" w:hAnsi="Calibri" w:cs="Calibri"/>
        </w:rPr>
      </w:pPr>
      <w:r w:rsidRPr="002A7128">
        <w:rPr>
          <w:rFonts w:ascii="Calibri" w:hAnsi="Calibri" w:cs="Calibri"/>
        </w:rPr>
        <w:t>Here, we hypothesize that PAIIR on cells can be utilized as a vaccine adjuvant. We showed the ICD mechanism induced by PAIIR, along with the released DAMPs. We developed an influenza vaccine and studied the immune response by mixing our new peptide tool with influenza HA proteins</w:t>
      </w:r>
      <w:r w:rsidR="000371DC" w:rsidRPr="002A7128">
        <w:rPr>
          <w:rFonts w:ascii="Calibri" w:hAnsi="Calibri" w:cs="Calibri"/>
        </w:rPr>
        <w:t xml:space="preserve"> (</w:t>
      </w:r>
      <w:r w:rsidR="000371DC" w:rsidRPr="002A7128">
        <w:rPr>
          <w:rFonts w:ascii="Calibri" w:hAnsi="Calibri" w:cs="Calibri"/>
        </w:rPr>
        <w:fldChar w:fldCharType="begin"/>
      </w:r>
      <w:r w:rsidR="000371DC" w:rsidRPr="002A7128">
        <w:rPr>
          <w:rFonts w:ascii="Calibri" w:hAnsi="Calibri" w:cs="Calibri"/>
        </w:rPr>
        <w:instrText xml:space="preserve"> REF _Ref103526960  \* MERGEFORMAT </w:instrText>
      </w:r>
      <w:r w:rsidR="000371DC" w:rsidRPr="002A7128">
        <w:rPr>
          <w:rFonts w:ascii="Calibri" w:hAnsi="Calibri" w:cs="Calibri"/>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5</w:t>
      </w:r>
      <w:r w:rsidR="000371DC" w:rsidRPr="002A7128">
        <w:rPr>
          <w:rFonts w:ascii="Calibri" w:hAnsi="Calibri" w:cs="Calibri"/>
        </w:rPr>
        <w:fldChar w:fldCharType="end"/>
      </w:r>
      <w:r w:rsidR="000371DC" w:rsidRPr="002A7128">
        <w:rPr>
          <w:rFonts w:ascii="Calibri" w:hAnsi="Calibri" w:cs="Calibri"/>
        </w:rPr>
        <w:t>).</w:t>
      </w:r>
      <w:r w:rsidRPr="002A7128">
        <w:rPr>
          <w:rFonts w:ascii="Calibri" w:hAnsi="Calibri" w:cs="Calibri"/>
        </w:rPr>
        <w:t xml:space="preserve"> We demonstrate the use of the </w:t>
      </w:r>
      <w:proofErr w:type="spellStart"/>
      <w:r w:rsidRPr="002A7128">
        <w:rPr>
          <w:rFonts w:ascii="Calibri" w:hAnsi="Calibri" w:cs="Calibri"/>
        </w:rPr>
        <w:t>CoOP</w:t>
      </w:r>
      <w:proofErr w:type="spellEnd"/>
      <w:r w:rsidR="00250FBA" w:rsidRPr="002A7128">
        <w:rPr>
          <w:rFonts w:ascii="Calibri" w:hAnsi="Calibri" w:cs="Calibri"/>
        </w:rPr>
        <w:t xml:space="preserve"> </w:t>
      </w:r>
      <w:r w:rsidRPr="002A7128">
        <w:rPr>
          <w:rFonts w:ascii="Calibri" w:hAnsi="Calibri" w:cs="Calibri"/>
        </w:rPr>
        <w:t>strategy to design peptide sequences with the desired aggregation properties to compose PAIIR. We identify the mechanism of programmed ICD and demonstrate DAMP release induced by our designed peptides in multiple cell types. Upon co-administration, PAIIR enhances HA-specific IgG1 and IgG2 formation significantly compared to immunization with HA alone. Therefore</w:t>
      </w:r>
      <w:r w:rsidR="00936C62" w:rsidRPr="002A7128">
        <w:rPr>
          <w:rFonts w:ascii="Calibri" w:hAnsi="Calibri" w:cs="Calibri"/>
        </w:rPr>
        <w:t>,</w:t>
      </w:r>
      <w:r w:rsidRPr="002A7128">
        <w:rPr>
          <w:rFonts w:ascii="Calibri" w:hAnsi="Calibri" w:cs="Calibri"/>
        </w:rPr>
        <w:t xml:space="preserve"> it is likely that PAIIR broadens the humoral immunity in mice. More importantly, we show that the designed peptide did not generate any specific antibody against itself. These results highlight PAIIR as a promising new tool </w:t>
      </w:r>
      <w:r w:rsidRPr="002A7128">
        <w:rPr>
          <w:rFonts w:ascii="Calibri" w:hAnsi="Calibri" w:cs="Calibri"/>
        </w:rPr>
        <w:lastRenderedPageBreak/>
        <w:t>that can readily be injected, providing a simple, efficient, and safe method for enhancing immune response in vaccine applications.</w:t>
      </w:r>
    </w:p>
    <w:p w14:paraId="1F15895D" w14:textId="18438616" w:rsidR="000371DC" w:rsidRPr="002A7128" w:rsidRDefault="000371DC" w:rsidP="00F675B4">
      <w:pPr>
        <w:spacing w:line="480" w:lineRule="auto"/>
        <w:jc w:val="both"/>
        <w:rPr>
          <w:rFonts w:ascii="Calibri" w:hAnsi="Calibri" w:cs="Calibri"/>
        </w:rPr>
      </w:pPr>
    </w:p>
    <w:p w14:paraId="610D7A19" w14:textId="22FFC242" w:rsidR="00BA550C" w:rsidRPr="002A7128" w:rsidRDefault="000371DC">
      <w:pPr>
        <w:pStyle w:val="Heading2"/>
        <w:numPr>
          <w:ilvl w:val="1"/>
          <w:numId w:val="7"/>
        </w:numPr>
        <w:spacing w:line="480" w:lineRule="auto"/>
        <w:rPr>
          <w:rFonts w:ascii="Calibri" w:hAnsi="Calibri" w:cs="Calibri"/>
        </w:rPr>
      </w:pPr>
      <w:bookmarkStart w:id="45" w:name="_Toc120794136"/>
      <w:r w:rsidRPr="002A7128">
        <w:rPr>
          <w:rFonts w:ascii="Calibri" w:hAnsi="Calibri" w:cs="Calibri"/>
        </w:rPr>
        <w:t>Results and Discussion</w:t>
      </w:r>
      <w:bookmarkEnd w:id="45"/>
    </w:p>
    <w:p w14:paraId="681602DC" w14:textId="177DDB60" w:rsidR="000371DC" w:rsidRPr="002A7128" w:rsidRDefault="00BA550C">
      <w:pPr>
        <w:pStyle w:val="Heading2"/>
        <w:numPr>
          <w:ilvl w:val="2"/>
          <w:numId w:val="7"/>
        </w:numPr>
        <w:spacing w:line="480" w:lineRule="auto"/>
        <w:rPr>
          <w:rFonts w:ascii="Calibri" w:hAnsi="Calibri" w:cs="Calibri"/>
        </w:rPr>
      </w:pPr>
      <w:bookmarkStart w:id="46" w:name="_Toc120794137"/>
      <w:r w:rsidRPr="002A7128">
        <w:rPr>
          <w:rFonts w:ascii="Calibri" w:hAnsi="Calibri" w:cs="Calibri"/>
        </w:rPr>
        <w:t>Designing Peptides as ICD Inducing Tools</w:t>
      </w:r>
      <w:bookmarkEnd w:id="46"/>
    </w:p>
    <w:p w14:paraId="3F70FFAF" w14:textId="32B607AE" w:rsidR="000371DC" w:rsidRPr="002A7128" w:rsidRDefault="000371DC" w:rsidP="00F675B4">
      <w:pPr>
        <w:spacing w:line="480" w:lineRule="auto"/>
        <w:jc w:val="both"/>
        <w:rPr>
          <w:rFonts w:ascii="Calibri" w:hAnsi="Calibri" w:cs="Calibri"/>
        </w:rPr>
      </w:pPr>
      <w:r w:rsidRPr="002A7128">
        <w:rPr>
          <w:rFonts w:ascii="Calibri" w:hAnsi="Calibri" w:cs="Calibri"/>
        </w:rPr>
        <w:t>Engineering the fine-tuned cellular aggregation of peptides requires well-characterized intermolecular interactions</w:t>
      </w:r>
      <w:r w:rsidRPr="002A7128">
        <w:rPr>
          <w:rFonts w:ascii="Calibri" w:hAnsi="Calibri" w:cs="Calibri"/>
        </w:rPr>
        <w:fldChar w:fldCharType="begin"/>
      </w:r>
      <w:r w:rsidR="00A64B61" w:rsidRPr="002A7128">
        <w:rPr>
          <w:rFonts w:ascii="Calibri" w:hAnsi="Calibri" w:cs="Calibri"/>
        </w:rPr>
        <w:instrText xml:space="preserve"> ADDIN ZOTERO_ITEM CSL_CITATION {"citationID":"a1fsedboei5","properties":{"formattedCitation":"\\super 169,170\\nosupersub{}","plainCitation":"169,170","noteIndex":0},"citationItems":[{"id":3318,"uris":["http://zotero.org/groups/2667333/items/AE4BFMA4"],"itemData":{"id":3318,"type":"chapter","abstract":"Peptides play an essential role in biotechnological applications as therapeutic and diagnostic agents due to their tunable activity for desired function. So far, a variety of peptide therapeutics and their peptide-based carriers have been engineered for drug delivery applications. However, in order to design and develop such systems for tissue-specific applications, the cellular microenvironment must be properly considered. Peptide-based materials have vast potential applications, particularly for cancer-related systems. Thus, in this chapter, we first focus on different design strategies and considerations for drug-release mechanisms in peptide-based materials. Then, we explain how tumor microenvironments may be distinguished from healthy tissue, including discussion of tumor-specific drug delivery strategies. Finally, the growing significance of peptide chemotherapeutics will be emphasized in terms of design concerns and current applications.","container-title":"Peptide-based Biomaterials","ISBN":"978-1-78801-729-9","note":"DOI: 10.1039/9781839161148-00291","page":"291-334","publisher":"The Royal Society of Chemistry","title":"CHAPTER 9 Drug Delivery Applications of Peptide Materials","URL":"https://doi.org/10.1039/9781839161148-00291","author":[{"family":"Hamsici","given":"Seren"},{"family":"Gunay","given":"Gokhan"},{"family":"Kirit","given":"Hande"},{"family":"Kamatar","given":"Advika"},{"family":"Loving","given":"Kendrick"},{"family":"Acar","given":"Handan"}],"issued":{"date-parts":[["2021"]]},"citation-key":"hamsici_chapter_2021"}},{"id":5851,"uris":["http://zotero.org/groups/2667333/items/GEDC8K7D"],"itemData":{"id":5851,"type":"article-journal","abstract":"© 2016 Elsevier B.V. Peptides and peptide-conjugates, comprising natural and synthetic building blocks, are an increasingly popular class of biomaterials. Self-assembled nanostructures based on peptides and peptide-conjugates offer advantages such as precise selectivity and multifunctionality that can address challenges and limitations in the clinic. In this review article, we discuss recent developments in the design and self-assembly of various nanomaterials based on peptides and peptide-conjugates for medical applications, and categorize them into two themes based on the driving forces of molecular self-assembly. First, we present the self-assembled nanostructures driven by the supramolecular interactions between the peptides, with or without the presence of conjugates. The studies where nanoassembly is driven by the interactions between the conjugates of peptide-conjugates are then presented. Particular emphasis is given to in vivo studies focusing on therapeutics, diagnostics, immune modulation and regenerative medicine. Finally, challenges and future perspectives are presented.","container-title":"Advanced Drug Delivery Reviews","DOI":"10.1016/j.addr.2016.08.006","ISSN":"18728294","journalAbbreviation":"Adv. Drug Deliv. Rev.","page":"65-79","title":"Self-assembling peptide-based building blocks in medical applications","volume":"110-111","author":[{"family":"Acar","given":"H."},{"family":"Srivastava","given":"S."},{"family":"Chung","given":"E.J."},{"family":"Schnorenberg","given":"M.R."},{"family":"Barrett","given":"J.C."},{"family":"LaBelle","given":"J.L."},{"family":"Tirrell","given":"M."}],"issued":{"date-parts":[["2017"]]},"citation-key":"acar_self-assembling_2017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169,170</w:t>
      </w:r>
      <w:r w:rsidRPr="002A7128">
        <w:rPr>
          <w:rFonts w:ascii="Calibri" w:hAnsi="Calibri" w:cs="Calibri"/>
        </w:rPr>
        <w:fldChar w:fldCharType="end"/>
      </w:r>
      <w:r w:rsidRPr="002A7128">
        <w:rPr>
          <w:rFonts w:ascii="Calibri" w:hAnsi="Calibri" w:cs="Calibri"/>
        </w:rPr>
        <w:t xml:space="preserve">. Understanding these interactions allows the rational design of peptides to encompass desired properties, such as aggregation on the cell that induces stress for inducing ICD and cell membrane rupturing for DAMP release. We utilized the </w:t>
      </w:r>
      <w:proofErr w:type="spellStart"/>
      <w:r w:rsidRPr="002A7128">
        <w:rPr>
          <w:rFonts w:ascii="Calibri" w:hAnsi="Calibri" w:cs="Calibri"/>
        </w:rPr>
        <w:t>CoOP</w:t>
      </w:r>
      <w:proofErr w:type="spellEnd"/>
      <w:r w:rsidRPr="002A7128">
        <w:rPr>
          <w:rFonts w:ascii="Calibri" w:hAnsi="Calibri" w:cs="Calibri"/>
        </w:rPr>
        <w:t xml:space="preserve"> strategy to design peptides with strong enough affinity to aggregate in the cellular environment. The local charges in this design promote electrostatic interactions between two oppositely charged amino acids; the anionic carboxylate of Glutamic acid (E) and the cationic ammonium from Lysine (K) (</w:t>
      </w:r>
      <w:r w:rsidRPr="002A7128">
        <w:rPr>
          <w:rFonts w:ascii="Calibri" w:hAnsi="Calibri" w:cs="Calibri"/>
          <w:b/>
          <w:bCs/>
        </w:rPr>
        <w:fldChar w:fldCharType="begin"/>
      </w:r>
      <w:r w:rsidRPr="002A7128">
        <w:rPr>
          <w:rFonts w:ascii="Calibri" w:hAnsi="Calibri" w:cs="Calibri"/>
          <w:b/>
          <w:bCs/>
        </w:rPr>
        <w:instrText xml:space="preserve"> REF _Ref103527289  \* MERGEFORMAT </w:instrText>
      </w:r>
      <w:r w:rsidRPr="002A7128">
        <w:rPr>
          <w:rFonts w:ascii="Calibri" w:hAnsi="Calibri" w:cs="Calibri"/>
          <w:b/>
          <w:bCs/>
        </w:rPr>
        <w:fldChar w:fldCharType="separate"/>
      </w:r>
      <w:r w:rsidR="00A64B61" w:rsidRPr="002A7128">
        <w:rPr>
          <w:rFonts w:ascii="Calibri" w:hAnsi="Calibri" w:cs="Calibri"/>
          <w:b/>
          <w:bCs/>
          <w:color w:val="000000" w:themeColor="text1"/>
        </w:rPr>
        <w:t xml:space="preserve">Figure </w:t>
      </w:r>
      <w:r w:rsidR="00A64B61" w:rsidRPr="002A7128">
        <w:rPr>
          <w:rFonts w:ascii="Calibri" w:hAnsi="Calibri" w:cs="Calibri"/>
          <w:b/>
          <w:bCs/>
          <w:noProof/>
          <w:color w:val="000000" w:themeColor="text1"/>
        </w:rPr>
        <w:t>6</w:t>
      </w:r>
      <w:r w:rsidRPr="002A7128">
        <w:rPr>
          <w:rFonts w:ascii="Calibri" w:hAnsi="Calibri" w:cs="Calibri"/>
          <w:b/>
          <w:bCs/>
        </w:rPr>
        <w:fldChar w:fldCharType="end"/>
      </w:r>
      <w:r w:rsidRPr="002A7128">
        <w:rPr>
          <w:rFonts w:ascii="Calibri" w:hAnsi="Calibri" w:cs="Calibri"/>
          <w:b/>
          <w:bCs/>
        </w:rPr>
        <w:t>A</w:t>
      </w:r>
      <w:r w:rsidRPr="002A7128">
        <w:rPr>
          <w:rFonts w:ascii="Calibri" w:hAnsi="Calibri" w:cs="Calibri"/>
        </w:rPr>
        <w:t xml:space="preserve">) The deliberately short, charged design enables the internalization of </w:t>
      </w:r>
      <w:proofErr w:type="spellStart"/>
      <w:r w:rsidRPr="002A7128">
        <w:rPr>
          <w:rFonts w:ascii="Calibri" w:hAnsi="Calibri" w:cs="Calibri"/>
        </w:rPr>
        <w:t>CoOP</w:t>
      </w:r>
      <w:proofErr w:type="spellEnd"/>
      <w:r w:rsidRPr="002A7128">
        <w:rPr>
          <w:rFonts w:ascii="Calibri" w:hAnsi="Calibri" w:cs="Calibri"/>
        </w:rPr>
        <w:t>-based peptides into cells</w:t>
      </w:r>
      <w:r w:rsidRPr="002A7128">
        <w:rPr>
          <w:rFonts w:ascii="Calibri" w:hAnsi="Calibri" w:cs="Calibri"/>
        </w:rPr>
        <w:fldChar w:fldCharType="begin"/>
      </w:r>
      <w:r w:rsidR="00A64B61" w:rsidRPr="002A7128">
        <w:rPr>
          <w:rFonts w:ascii="Calibri" w:hAnsi="Calibri" w:cs="Calibri"/>
        </w:rPr>
        <w:instrText xml:space="preserve"> ADDIN ZOTERO_ITEM CSL_CITATION {"citationID":"ajjt242r37","properties":{"formattedCitation":"\\super 171\\nosupersub{}","plainCitation":"171","noteIndex":0},"citationItems":[{"id":7027,"uris":["http://zotero.org/groups/2667333/items/XTLDJCTR"],"itemData":{"id":7027,"type":"article-journal","abstract":"The interaction of antimicrobial peptides (AMPs) with biological membranes is in the focus of research since several years, and the most important features and modes of action of AMPs are described in this review. Different model systems can be used to understand such interactions on a molecular level. As a special example, we use 2D and 3D model membranes to investigate the interaction of the natural cyclic (Ar-1) and the synthetic linear molecule arenicin with selected amphiphiles and phospholipids. A panoply of sophisticated methods has been used to analyze these interactions on a molecular level. As a general trend, one observes that cationic antimicrobial peptides do not interact with cationic amphiphiles due to electrostatic repulsion, whereas with non-ionic amphiphiles, the peptide interacts only with aggregated systems and not with monomers. The interaction is weak (hydrophobic interaction) and requires an aggregated state with a large surface (cylindrical micelles). Anionic amphiphiles (as monomers or micelles) exhibit strong electrostatic interactions with the AMPs leading to changes in the peptide conformation. Both types of peptides interact strongly with anionic phospholipid monolayers with a preference for fluid layers. The interaction with a zwitterionic layer is almost absent for the linear derivative but measurable for the cyclic arenicin Ar-1. This is in accordance with biological experiments showing that Ar-1 forms well defined stable pores in phospholipid and lipopolysaccharide (LPS) membranes (cytotoxicity). The synthetic linear arenicin, which is less cytotoxic, does not affect the mammalian lipids to such an extent. The interaction of arenicin with bacterial membrane lipids is dominated by hydrogen bonding together with electrostatic and hydrophobic interactions.","collection-title":"Dominique Langevin Festschrift: Four Decades Opening Gates in Colloid and Interface Science","container-title":"Advances in Colloid and Interface Science","DOI":"10.1016/j.cis.2017.06.001","ISSN":"0001-8686","journalAbbreviation":"Advances in Colloid and Interface Science","language":"en","page":"521-532","source":"ScienceDirect","title":"The interaction of antimicrobial peptides with membranes","URL":"https://www.sciencedirect.com/science/article/pii/S0001868617301860","volume":"247","author":[{"family":"Travkova","given":"Oksana G."},{"family":"Moehwald","given":"Helmuth"},{"family":"Brezesinski","given":"Gerald"}],"accessed":{"date-parts":[["2021",8,7]]},"issued":{"date-parts":[["2017",9,1]]},"citation-key":"travkova_interaction_2017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171</w:t>
      </w:r>
      <w:r w:rsidRPr="002A7128">
        <w:rPr>
          <w:rFonts w:ascii="Calibri" w:hAnsi="Calibri" w:cs="Calibri"/>
        </w:rPr>
        <w:fldChar w:fldCharType="end"/>
      </w:r>
      <w:r w:rsidRPr="002A7128">
        <w:rPr>
          <w:rFonts w:ascii="Calibri" w:hAnsi="Calibri" w:cs="Calibri"/>
        </w:rPr>
        <w:t>. Design studies on multidomain peptides revealed the importance of hydrophobic amino acid localization in the core of the structures</w:t>
      </w:r>
      <w:r w:rsidR="007F4BCC" w:rsidRPr="002A7128">
        <w:rPr>
          <w:rFonts w:ascii="Calibri" w:hAnsi="Calibri" w:cs="Calibri"/>
        </w:rPr>
        <w:fldChar w:fldCharType="begin"/>
      </w:r>
      <w:r w:rsidR="00A64B61" w:rsidRPr="002A7128">
        <w:rPr>
          <w:rFonts w:ascii="Calibri" w:hAnsi="Calibri" w:cs="Calibri"/>
        </w:rPr>
        <w:instrText xml:space="preserve"> ADDIN ZOTERO_ITEM CSL_CITATION {"citationID":"a2ftkho2ho9","properties":{"formattedCitation":"\\super 172\\nosupersub{}","plainCitation":"172","noteIndex":0},"citationItems":[{"id":3293,"uris":["http://zotero.org/groups/2667333/items/LCLXBZUY"],"itemData":{"id":3293,"type":"article-journal","abstract":"ConspectusMultidomain peptides (MDPs) are a class of self-assembling peptides that are organized in a β-sheet motif, resulting in a nanofibrous architecture. This structure is stabilized by hydrophobic packing in the fiber core and a hydrogen-bonding network down the fiber long axis. Under easily controllable conditions, regulated by electrostatic interactions between the peptides and the pH and salt composition of the solvent, the nanofiber length can be dramatically extended, resulting in fiber entanglement and hydrogel formation. One of the chief strengths of this supramolecular material is that the design criteria governing its structure and assembly are robust and permit a wide range of modifications without disruption. This allows the MDPs to be tailored to suit a wide range of applications, particularly in biomedical engineering. For example, delivery of small molecules, proteins, and cells is easily achievable. These materials can be trapped within the matrices of the hydrogel or trapped within the hydrophobic core of the nanofiber, depending on the cargo and the design of the MDP. Interactions between the nanofibers and their cargo can be tailored to alter the release profile, and in the most sophisticated cases, different cargos can be released in a cascading time-dependent fashion. The MDP hydrogel and its cargo can be targeted to specific locations, as the thixotropic nature of the hydrogel allows it to be easily aspirated into a syringe and then delivered from a narrow-bore needle. The sequence of amino acids making up the MDP can also be modified to permit cross-linking or enzymatic degradation. Selection of sequences with or without these modifications allows one to control the rate of degradation in vivo from as rapidly as 1 week to well over 6 weeks as the MDP nanofibers are degraded to their amino acid components. MDP sequences can also be modified to add biomimetic sequences derived from growth factors and other signaling proteins. These chemical signals are displayed at a very high density on the fibers’ surface, where they contribute to the modification of cellular behavior. We have used this approach to drive blood vessel formation, which is critical for tissue regeneration generally and more specifically for the treatment of diseases related to poor blood flow. MDPs represent an ideal case of bottom-up design where control of chemical structure leads to control of self-assembly and nanostructure and thereby control of material properties that collectively can control biological function.","container-title":"Accounts of Chemical Research","DOI":"10.1021/acs.accounts.6b00553","ISSN":"0001-4842","issue":"4","journalAbbreviation":"Acc. Chem. Res.","note":"ZSCC: 0000099\ntex.ids: moore_self-assembling_2017-1\npublisher: American Chemical Society","page":"714-722","source":"ACS Publications","title":"Self-Assembling Multidomain Peptide Nanofibers for Delivery of Bioactive Molecules and Tissue Regeneration","URL":"https://doi.org/10.1021/acs.accounts.6b00553","volume":"50","author":[{"family":"Moore","given":"Amanda N."},{"family":"Hartgerink","given":"Jeffrey D."}],"accessed":{"date-parts":[["2020",7,25]]},"issued":{"date-parts":[["2017",4,18]]},"citation-key":"moore_self-assembling_2017"}}],"schema":"https://github.com/citation-style-language/schema/raw/master/csl-citation.json"} </w:instrText>
      </w:r>
      <w:r w:rsidR="007F4BCC" w:rsidRPr="002A7128">
        <w:rPr>
          <w:rFonts w:ascii="Calibri" w:hAnsi="Calibri" w:cs="Calibri"/>
        </w:rPr>
        <w:fldChar w:fldCharType="separate"/>
      </w:r>
      <w:r w:rsidR="00A64B61" w:rsidRPr="002A7128">
        <w:rPr>
          <w:rFonts w:ascii="Calibri" w:hAnsi="Calibri" w:cs="Calibri"/>
          <w:vertAlign w:val="superscript"/>
        </w:rPr>
        <w:t>172</w:t>
      </w:r>
      <w:r w:rsidR="007F4BCC" w:rsidRPr="002A7128">
        <w:rPr>
          <w:rFonts w:ascii="Calibri" w:hAnsi="Calibri" w:cs="Calibri"/>
        </w:rPr>
        <w:fldChar w:fldCharType="end"/>
      </w:r>
      <w:r w:rsidRPr="002A7128">
        <w:rPr>
          <w:rFonts w:ascii="Calibri" w:hAnsi="Calibri" w:cs="Calibri"/>
        </w:rPr>
        <w:t>. In particular, the interplay between the backbone hydrogen bonding and hydrophobic interactions among amino acid side-chains is crucial to the formation of fibrillar structures</w:t>
      </w:r>
      <w:r w:rsidR="007F4BCC" w:rsidRPr="002A7128">
        <w:rPr>
          <w:rFonts w:ascii="Calibri" w:hAnsi="Calibri" w:cs="Calibri"/>
        </w:rPr>
        <w:fldChar w:fldCharType="begin"/>
      </w:r>
      <w:r w:rsidR="00A64B61" w:rsidRPr="002A7128">
        <w:rPr>
          <w:rFonts w:ascii="Calibri" w:hAnsi="Calibri" w:cs="Calibri"/>
        </w:rPr>
        <w:instrText xml:space="preserve"> ADDIN ZOTERO_ITEM CSL_CITATION {"citationID":"ahbudl9nti","properties":{"formattedCitation":"\\super 173\\nosupersub{}","plainCitation":"173","noteIndex":0},"citationItems":[{"id":1508,"uris":["http://zotero.org/groups/2667333/items/RIBH5HSW"],"itemData":{"id":1508,"type":"article-journal","container-title":"Soft Matter","DOI":"10.1039/C4SM00378K.","issue":"27","language":"en","page":"4956–4965","title":"Effects of Hydrophobic Interaction Strength on the Self-Assembled Structures of Model Peptides","URL":"https://doi.org/10.1039/C4SM00378K.","volume":"10","author":[{"family":"Mu","given":"Y."},{"family":"Yu","given":"M."}],"issued":{"date-parts":[["2014"]]},"citation-key":"mu_effects_2014-1"}}],"schema":"https://github.com/citation-style-language/schema/raw/master/csl-citation.json"} </w:instrText>
      </w:r>
      <w:r w:rsidR="007F4BCC" w:rsidRPr="002A7128">
        <w:rPr>
          <w:rFonts w:ascii="Calibri" w:hAnsi="Calibri" w:cs="Calibri"/>
        </w:rPr>
        <w:fldChar w:fldCharType="separate"/>
      </w:r>
      <w:r w:rsidR="00A64B61" w:rsidRPr="002A7128">
        <w:rPr>
          <w:rFonts w:ascii="Calibri" w:hAnsi="Calibri" w:cs="Calibri"/>
          <w:vertAlign w:val="superscript"/>
        </w:rPr>
        <w:t>173</w:t>
      </w:r>
      <w:r w:rsidR="007F4BCC" w:rsidRPr="002A7128">
        <w:rPr>
          <w:rFonts w:ascii="Calibri" w:hAnsi="Calibri" w:cs="Calibri"/>
        </w:rPr>
        <w:fldChar w:fldCharType="end"/>
      </w:r>
      <w:r w:rsidR="007F4BCC" w:rsidRPr="002A7128">
        <w:rPr>
          <w:rFonts w:ascii="Calibri" w:hAnsi="Calibri" w:cs="Calibri"/>
        </w:rPr>
        <w:t xml:space="preserve">. </w:t>
      </w:r>
      <w:r w:rsidRPr="002A7128">
        <w:rPr>
          <w:rFonts w:ascii="Calibri" w:hAnsi="Calibri" w:cs="Calibri"/>
        </w:rPr>
        <w:t xml:space="preserve">Therefore, to change the aggregation kinetics, we studied the hydrophobic amino acids in the substitution domain ("[XX]"), with increasing hydrophobicity indices; [AA] &lt; [VV] &lt; [WW] &lt; [LL] &lt; [II] </w:t>
      </w:r>
      <w:r w:rsidR="007F4BCC" w:rsidRPr="002A7128">
        <w:rPr>
          <w:rFonts w:ascii="Calibri" w:hAnsi="Calibri" w:cs="Calibri"/>
        </w:rPr>
        <w:t>(</w:t>
      </w:r>
      <w:r w:rsidR="007F4BCC" w:rsidRPr="002A7128">
        <w:rPr>
          <w:rFonts w:ascii="Calibri" w:hAnsi="Calibri" w:cs="Calibri"/>
          <w:b/>
          <w:bCs/>
        </w:rPr>
        <w:fldChar w:fldCharType="begin"/>
      </w:r>
      <w:r w:rsidR="007F4BCC" w:rsidRPr="002A7128">
        <w:rPr>
          <w:rFonts w:ascii="Calibri" w:hAnsi="Calibri" w:cs="Calibri"/>
          <w:b/>
          <w:bCs/>
        </w:rPr>
        <w:instrText xml:space="preserve"> REF _Ref103527289  \* MERGEFORMAT </w:instrText>
      </w:r>
      <w:r w:rsidR="007F4BCC"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6</w:t>
      </w:r>
      <w:r w:rsidR="007F4BCC" w:rsidRPr="002A7128">
        <w:rPr>
          <w:rFonts w:ascii="Calibri" w:hAnsi="Calibri" w:cs="Calibri"/>
          <w:b/>
          <w:bCs/>
        </w:rPr>
        <w:fldChar w:fldCharType="end"/>
      </w:r>
      <w:r w:rsidR="007F4BCC" w:rsidRPr="002A7128">
        <w:rPr>
          <w:rFonts w:ascii="Calibri" w:hAnsi="Calibri" w:cs="Calibri"/>
          <w:b/>
          <w:bCs/>
        </w:rPr>
        <w:t>A</w:t>
      </w:r>
      <w:r w:rsidR="007F4BCC" w:rsidRPr="002A7128">
        <w:rPr>
          <w:rFonts w:ascii="Calibri" w:hAnsi="Calibri" w:cs="Calibri"/>
        </w:rPr>
        <w:t>).</w:t>
      </w:r>
    </w:p>
    <w:p w14:paraId="54142C80" w14:textId="77777777" w:rsidR="000371DC" w:rsidRPr="002A7128" w:rsidRDefault="000371DC" w:rsidP="00F675B4">
      <w:pPr>
        <w:spacing w:line="480" w:lineRule="auto"/>
        <w:jc w:val="both"/>
        <w:rPr>
          <w:rFonts w:ascii="Calibri" w:hAnsi="Calibri" w:cs="Calibri"/>
        </w:rPr>
      </w:pPr>
    </w:p>
    <w:p w14:paraId="3730A692" w14:textId="77777777" w:rsidR="000371DC" w:rsidRPr="002A7128" w:rsidRDefault="000371DC" w:rsidP="00F675B4">
      <w:pPr>
        <w:keepNext/>
        <w:spacing w:line="480" w:lineRule="auto"/>
        <w:rPr>
          <w:rFonts w:ascii="Calibri" w:hAnsi="Calibri" w:cs="Calibri"/>
        </w:rPr>
      </w:pPr>
      <w:r w:rsidRPr="002A7128">
        <w:rPr>
          <w:rFonts w:ascii="Calibri" w:hAnsi="Calibri" w:cs="Calibri"/>
          <w:noProof/>
        </w:rPr>
        <w:lastRenderedPageBreak/>
        <w:drawing>
          <wp:inline distT="0" distB="0" distL="0" distR="0" wp14:anchorId="2A1560D5" wp14:editId="28889889">
            <wp:extent cx="5943600" cy="5736590"/>
            <wp:effectExtent l="0" t="0" r="0" b="3810"/>
            <wp:docPr id="15" name="Picture 1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736590"/>
                    </a:xfrm>
                    <a:prstGeom prst="rect">
                      <a:avLst/>
                    </a:prstGeom>
                  </pic:spPr>
                </pic:pic>
              </a:graphicData>
            </a:graphic>
          </wp:inline>
        </w:drawing>
      </w:r>
    </w:p>
    <w:p w14:paraId="7A1BBA02" w14:textId="2174124A" w:rsidR="007F4BCC" w:rsidRPr="002A7128" w:rsidRDefault="000371DC" w:rsidP="002A45FA">
      <w:pPr>
        <w:pStyle w:val="Caption"/>
        <w:spacing w:line="480" w:lineRule="auto"/>
        <w:jc w:val="both"/>
        <w:rPr>
          <w:rFonts w:ascii="Calibri" w:hAnsi="Calibri" w:cs="Calibri"/>
          <w:i w:val="0"/>
          <w:iCs w:val="0"/>
          <w:color w:val="000000" w:themeColor="text1"/>
          <w:sz w:val="24"/>
          <w:szCs w:val="24"/>
        </w:rPr>
      </w:pPr>
      <w:bookmarkStart w:id="47" w:name="_Ref103527289"/>
      <w:bookmarkStart w:id="48" w:name="_Toc120789423"/>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5</w:t>
      </w:r>
      <w:r w:rsidRPr="002A7128">
        <w:rPr>
          <w:rFonts w:ascii="Calibri" w:hAnsi="Calibri" w:cs="Calibri"/>
          <w:b/>
          <w:bCs/>
          <w:i w:val="0"/>
          <w:iCs w:val="0"/>
          <w:color w:val="000000" w:themeColor="text1"/>
          <w:sz w:val="24"/>
          <w:szCs w:val="24"/>
        </w:rPr>
        <w:fldChar w:fldCharType="end"/>
      </w:r>
      <w:bookmarkEnd w:id="47"/>
      <w:r w:rsidRPr="002A7128">
        <w:rPr>
          <w:rFonts w:ascii="Calibri" w:hAnsi="Calibri" w:cs="Calibri"/>
          <w:b/>
          <w:bCs/>
          <w:i w:val="0"/>
          <w:iCs w:val="0"/>
          <w:color w:val="000000" w:themeColor="text1"/>
          <w:sz w:val="24"/>
          <w:szCs w:val="24"/>
        </w:rPr>
        <w:t xml:space="preserve"> Peptide groups and aggregation kinetics. </w:t>
      </w:r>
      <w:r w:rsidRPr="002A7128">
        <w:rPr>
          <w:rFonts w:ascii="Calibri" w:hAnsi="Calibri" w:cs="Calibri"/>
          <w:i w:val="0"/>
          <w:iCs w:val="0"/>
          <w:color w:val="000000" w:themeColor="text1"/>
          <w:sz w:val="24"/>
          <w:szCs w:val="24"/>
        </w:rPr>
        <w:t xml:space="preserve">(A) </w:t>
      </w:r>
      <w:proofErr w:type="spellStart"/>
      <w:r w:rsidRPr="002A7128">
        <w:rPr>
          <w:rFonts w:ascii="Calibri" w:hAnsi="Calibri" w:cs="Calibri"/>
          <w:i w:val="0"/>
          <w:iCs w:val="0"/>
          <w:color w:val="000000" w:themeColor="text1"/>
          <w:sz w:val="24"/>
          <w:szCs w:val="24"/>
        </w:rPr>
        <w:t>CoOP</w:t>
      </w:r>
      <w:proofErr w:type="spellEnd"/>
      <w:r w:rsidRPr="002A7128">
        <w:rPr>
          <w:rFonts w:ascii="Calibri" w:hAnsi="Calibri" w:cs="Calibri"/>
          <w:i w:val="0"/>
          <w:iCs w:val="0"/>
          <w:color w:val="000000" w:themeColor="text1"/>
          <w:sz w:val="24"/>
          <w:szCs w:val="24"/>
        </w:rPr>
        <w:t xml:space="preserve"> groups and individual counterparts were used in this study. (B) CAC of co-assembled peptides with DPH. (C) Macroscopic </w:t>
      </w:r>
      <w:proofErr w:type="spellStart"/>
      <w:r w:rsidRPr="002A7128">
        <w:rPr>
          <w:rFonts w:ascii="Calibri" w:hAnsi="Calibri" w:cs="Calibri"/>
          <w:i w:val="0"/>
          <w:iCs w:val="0"/>
          <w:color w:val="000000" w:themeColor="text1"/>
          <w:sz w:val="24"/>
          <w:szCs w:val="24"/>
        </w:rPr>
        <w:t>CoOP</w:t>
      </w:r>
      <w:proofErr w:type="spellEnd"/>
      <w:r w:rsidRPr="002A7128">
        <w:rPr>
          <w:rFonts w:ascii="Calibri" w:hAnsi="Calibri" w:cs="Calibri"/>
          <w:i w:val="0"/>
          <w:iCs w:val="0"/>
          <w:color w:val="000000" w:themeColor="text1"/>
          <w:sz w:val="24"/>
          <w:szCs w:val="24"/>
        </w:rPr>
        <w:t xml:space="preserve"> aggregates incubated with Congo Red. (D) Determination of aggregation kinetics of </w:t>
      </w:r>
      <w:proofErr w:type="spellStart"/>
      <w:r w:rsidRPr="002A7128">
        <w:rPr>
          <w:rFonts w:ascii="Calibri" w:hAnsi="Calibri" w:cs="Calibri"/>
          <w:i w:val="0"/>
          <w:iCs w:val="0"/>
          <w:color w:val="000000" w:themeColor="text1"/>
          <w:sz w:val="24"/>
          <w:szCs w:val="24"/>
        </w:rPr>
        <w:t>CoOPs</w:t>
      </w:r>
      <w:proofErr w:type="spellEnd"/>
      <w:r w:rsidRPr="002A7128">
        <w:rPr>
          <w:rFonts w:ascii="Calibri" w:hAnsi="Calibri" w:cs="Calibri"/>
          <w:i w:val="0"/>
          <w:iCs w:val="0"/>
          <w:color w:val="000000" w:themeColor="text1"/>
          <w:sz w:val="24"/>
          <w:szCs w:val="24"/>
        </w:rPr>
        <w:t xml:space="preserve"> and (E) individual counterparts by </w:t>
      </w:r>
      <w:proofErr w:type="spellStart"/>
      <w:r w:rsidRPr="002A7128">
        <w:rPr>
          <w:rFonts w:ascii="Calibri" w:hAnsi="Calibri" w:cs="Calibri"/>
          <w:i w:val="0"/>
          <w:iCs w:val="0"/>
          <w:color w:val="000000" w:themeColor="text1"/>
          <w:sz w:val="24"/>
          <w:szCs w:val="24"/>
        </w:rPr>
        <w:t>ThT</w:t>
      </w:r>
      <w:proofErr w:type="spellEnd"/>
      <w:r w:rsidRPr="002A7128">
        <w:rPr>
          <w:rFonts w:ascii="Calibri" w:hAnsi="Calibri" w:cs="Calibri"/>
          <w:i w:val="0"/>
          <w:iCs w:val="0"/>
          <w:color w:val="000000" w:themeColor="text1"/>
          <w:sz w:val="24"/>
          <w:szCs w:val="24"/>
        </w:rPr>
        <w:t xml:space="preserve"> assay. Data are representative of three experiments.</w:t>
      </w:r>
      <w:bookmarkEnd w:id="48"/>
    </w:p>
    <w:p w14:paraId="1E66ED60" w14:textId="2FA56C86" w:rsidR="007F4BCC" w:rsidRPr="002A7128" w:rsidRDefault="007F4BCC" w:rsidP="002A45FA">
      <w:pPr>
        <w:spacing w:line="480" w:lineRule="auto"/>
        <w:jc w:val="both"/>
        <w:rPr>
          <w:rFonts w:ascii="Calibri" w:hAnsi="Calibri" w:cs="Calibri"/>
        </w:rPr>
      </w:pPr>
      <w:r w:rsidRPr="002A7128">
        <w:rPr>
          <w:rFonts w:ascii="Calibri" w:hAnsi="Calibri" w:cs="Calibri"/>
        </w:rPr>
        <w:t xml:space="preserve">Characterization assays were performed in 1XPBS to mimic the salt concentration in the physiological conditions. The critical aggregation concentrations (CAC), i.e., the minimum </w:t>
      </w:r>
      <w:r w:rsidRPr="002A7128">
        <w:rPr>
          <w:rFonts w:ascii="Calibri" w:hAnsi="Calibri" w:cs="Calibri"/>
        </w:rPr>
        <w:lastRenderedPageBreak/>
        <w:t>concentration needed for co-assembly of the peptides, are measured with DPH ((1,6-diphenyl-1,3,5-hexatriene)), which becomes fluorescent when located in aggregates with hydrophobic cores</w:t>
      </w:r>
      <w:r w:rsidRPr="002A7128">
        <w:rPr>
          <w:rFonts w:ascii="Calibri" w:hAnsi="Calibri" w:cs="Calibri"/>
        </w:rPr>
        <w:fldChar w:fldCharType="begin"/>
      </w:r>
      <w:r w:rsidR="00A64B61" w:rsidRPr="002A7128">
        <w:rPr>
          <w:rFonts w:ascii="Calibri" w:hAnsi="Calibri" w:cs="Calibri"/>
        </w:rPr>
        <w:instrText xml:space="preserve"> ADDIN ZOTERO_ITEM CSL_CITATION {"citationID":"a26mlg8149k","properties":{"formattedCitation":"\\super 174\\nosupersub{}","plainCitation":"174","noteIndex":0},"citationItems":[{"id":6875,"uris":["http://zotero.org/groups/2667333/items/VHVSVNGQ"],"itemData":{"id":6875,"type":"article-journal","container-title":"Soft Matter","DOI":"10.1039/C1SM05642E","issue":"20","language":"en","note":"publisher: Royal Society of Chemistry","page":"9737-9743","source":"pubs.rsc.org","title":"Mechanical and thermal stabilities of peptide amphiphile fibres","URL":"https://pubs.rsc.org/en/content/articlelanding/2011/sm/c1sm05642e","volume":"7","author":[{"family":"Heuvel","given":"Maaike","dropping-particle":"van den"},{"family":"Baptist","given":"H."},{"family":"Venema","given":"P."},{"family":"Linden","given":"E.","dropping-particle":"van der"},{"family":"M. Löwik","given":"Dennis W. P."},{"family":"Hest","given":"Jan C. M.","dropping-particle":"van"}],"accessed":{"date-parts":[["2021",7,15]]},"issued":{"date-parts":[["2011"]]},"citation-key":"heuvel_mechanical_2011"}}],"schema":"https://github.com/citation-style-language/schema/raw/master/csl-citation.json"}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174</w:t>
      </w:r>
      <w:r w:rsidRPr="002A7128">
        <w:rPr>
          <w:rFonts w:ascii="Calibri" w:hAnsi="Calibri" w:cs="Calibri"/>
        </w:rPr>
        <w:fldChar w:fldCharType="end"/>
      </w:r>
      <w:r w:rsidRPr="002A7128">
        <w:rPr>
          <w:rFonts w:ascii="Calibri" w:hAnsi="Calibri" w:cs="Calibri"/>
        </w:rPr>
        <w:t>. The CAC values of [VV]=200</w:t>
      </w:r>
      <w:r w:rsidRPr="002A7128">
        <w:rPr>
          <w:rFonts w:ascii="Calibri" w:hAnsi="Calibri" w:cs="Calibri"/>
        </w:rPr>
        <w:sym w:font="Symbol" w:char="F0B1"/>
      </w:r>
      <w:r w:rsidRPr="002A7128">
        <w:rPr>
          <w:rFonts w:ascii="Calibri" w:hAnsi="Calibri" w:cs="Calibri"/>
        </w:rPr>
        <w:t>26 mM [WW]=78.5</w:t>
      </w:r>
      <w:r w:rsidRPr="002A7128">
        <w:rPr>
          <w:rFonts w:ascii="Calibri" w:hAnsi="Calibri" w:cs="Calibri"/>
        </w:rPr>
        <w:sym w:font="Symbol" w:char="F0B1"/>
      </w:r>
      <w:r w:rsidRPr="002A7128">
        <w:rPr>
          <w:rFonts w:ascii="Calibri" w:hAnsi="Calibri" w:cs="Calibri"/>
        </w:rPr>
        <w:t>7 mM [LL]=44.7</w:t>
      </w:r>
      <w:r w:rsidRPr="002A7128">
        <w:rPr>
          <w:rFonts w:ascii="Calibri" w:hAnsi="Calibri" w:cs="Calibri"/>
        </w:rPr>
        <w:sym w:font="Symbol" w:char="F0B1"/>
      </w:r>
      <w:r w:rsidRPr="002A7128">
        <w:rPr>
          <w:rFonts w:ascii="Calibri" w:hAnsi="Calibri" w:cs="Calibri"/>
        </w:rPr>
        <w:t>12.5 mM and [II]=32</w:t>
      </w:r>
      <w:r w:rsidRPr="002A7128">
        <w:rPr>
          <w:rFonts w:ascii="Calibri" w:hAnsi="Calibri" w:cs="Calibri"/>
        </w:rPr>
        <w:sym w:font="Symbol" w:char="F0B1"/>
      </w:r>
      <w:r w:rsidRPr="002A7128">
        <w:rPr>
          <w:rFonts w:ascii="Calibri" w:hAnsi="Calibri" w:cs="Calibri"/>
        </w:rPr>
        <w:t xml:space="preserve">10 mM followed the same trend as the hydrophobicity of the amino acids at their core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_Ref103527289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5</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xml:space="preserve"> The identified CAC values were correlated to our previous study</w:t>
      </w:r>
      <w:r w:rsidRPr="002A7128">
        <w:rPr>
          <w:rFonts w:ascii="Calibri" w:hAnsi="Calibri" w:cs="Calibri"/>
        </w:rPr>
        <w:fldChar w:fldCharType="begin"/>
      </w:r>
      <w:r w:rsidR="00317E7D" w:rsidRPr="002A7128">
        <w:rPr>
          <w:rFonts w:ascii="Calibri" w:hAnsi="Calibri" w:cs="Calibri"/>
        </w:rPr>
        <w:instrText xml:space="preserve"> ADDIN ZOTERO_ITEM CSL_CITATION {"citationID":"av2s1gocft","properties":{"formattedCitation":"\\super 145\\nosupersub{}","plainCitation":"145","noteIndex":0},"citationItems":[{"id":9925,"uris":["http://zotero.org/groups/2667333/items/CDKDX376"],"itemData":{"id":9925,"type":"article-journal","abstract":"Co-assembly of oppositely charged peptides (CoOP) links intermolecular interactions and material properties.","archive_location":"world","container-title":"Science Advances","DOI":"10.1126/sciadv.abj0305","language":"EN","license":"Copyright © 2022 The Authors, some rights reserved; exclusive licensee American Association for the Advancement of Science. No claim to original U.S. Government Works. Distributed under a Creative Commons Attribution NonCommercial License 4.0 (CC BY-NC).","note":"publisher: American Association for the Advancement of Science\ntex.ids= doi:10.1126/sciadv.abj0305","source":"www.science.org","title":"Peptide framework for screening the effects of amino acids on assembly","URL":"https://www.science.org/doi/abs/10.1126/sciadv.abj0305","author":[{"family":"Hamsici","given":"Seren"},{"family":"White","given":"Andrew D."},{"family":"Acar","given":"Handan"}],"accessed":{"date-parts":[["2022",1,19]]},"issued":{"date-parts":[["2022",1]]},"citation-key":"hamsici_peptide_2022"}}],"schema":"https://github.com/citation-style-language/schema/raw/master/csl-citation.json"}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145</w:t>
      </w:r>
      <w:r w:rsidRPr="002A7128">
        <w:rPr>
          <w:rFonts w:ascii="Calibri" w:hAnsi="Calibri" w:cs="Calibri"/>
        </w:rPr>
        <w:fldChar w:fldCharType="end"/>
      </w:r>
      <w:r w:rsidRPr="002A7128">
        <w:rPr>
          <w:rFonts w:ascii="Calibri" w:hAnsi="Calibri" w:cs="Calibri"/>
        </w:rPr>
        <w:t xml:space="preserve">. No fluorescence was observed for [AA] even at 10 </w:t>
      </w:r>
      <w:r w:rsidR="00230386" w:rsidRPr="002A7128">
        <w:rPr>
          <w:rFonts w:ascii="Calibri" w:hAnsi="Calibri" w:cs="Calibri"/>
        </w:rPr>
        <w:t xml:space="preserve">mM </w:t>
      </w:r>
      <w:r w:rsidRPr="002A7128">
        <w:rPr>
          <w:rFonts w:ascii="Calibri" w:hAnsi="Calibri" w:cs="Calibri"/>
        </w:rPr>
        <w:t xml:space="preserve">indicating no aggregation; therefore, this situation represents an excellent control for studying the effects of peptide aggregation, as the same concentration of peptides with similar sequences and charges will remain free components in solution. </w:t>
      </w:r>
    </w:p>
    <w:p w14:paraId="0835CD43" w14:textId="77B36DFF" w:rsidR="007F4BCC" w:rsidRPr="002A7128" w:rsidRDefault="007F4BCC" w:rsidP="00F675B4">
      <w:pPr>
        <w:spacing w:line="480" w:lineRule="auto"/>
        <w:jc w:val="both"/>
        <w:rPr>
          <w:rFonts w:ascii="Calibri" w:hAnsi="Calibri" w:cs="Calibri"/>
        </w:rPr>
      </w:pPr>
      <w:r w:rsidRPr="002A7128">
        <w:rPr>
          <w:rFonts w:ascii="Calibri" w:hAnsi="Calibri" w:cs="Calibri"/>
        </w:rPr>
        <w:t>The aggregation kinetics of the peptide pairs were measured with Congo Red and Thioflavin T (</w:t>
      </w:r>
      <w:proofErr w:type="spellStart"/>
      <w:r w:rsidRPr="002A7128">
        <w:rPr>
          <w:rFonts w:ascii="Calibri" w:hAnsi="Calibri" w:cs="Calibri"/>
        </w:rPr>
        <w:t>ThT</w:t>
      </w:r>
      <w:proofErr w:type="spellEnd"/>
      <w:r w:rsidRPr="002A7128">
        <w:rPr>
          <w:rFonts w:ascii="Calibri" w:hAnsi="Calibri" w:cs="Calibri"/>
        </w:rPr>
        <w:t xml:space="preserve">) assays. Congo Red staining has been used to identify amyloid fibrils in vitro and tissue sections, emitting red light due to the binding of </w:t>
      </w:r>
      <w:r w:rsidR="00230386" w:rsidRPr="002A7128">
        <w:rPr>
          <w:rFonts w:ascii="Calibri" w:hAnsi="Calibri" w:cs="Calibri"/>
        </w:rPr>
        <w:t>b-</w:t>
      </w:r>
      <w:r w:rsidRPr="002A7128">
        <w:rPr>
          <w:rFonts w:ascii="Calibri" w:hAnsi="Calibri" w:cs="Calibri"/>
        </w:rPr>
        <w:t>sheet rich domains, leading to a redshift in its absorbance peak from 490 to 512 nm</w:t>
      </w:r>
      <w:r w:rsidR="00230386" w:rsidRPr="002A7128">
        <w:rPr>
          <w:rFonts w:ascii="Calibri" w:hAnsi="Calibri" w:cs="Calibri"/>
        </w:rPr>
        <w:fldChar w:fldCharType="begin"/>
      </w:r>
      <w:r w:rsidR="00A64B61" w:rsidRPr="002A7128">
        <w:rPr>
          <w:rFonts w:ascii="Calibri" w:hAnsi="Calibri" w:cs="Calibri"/>
        </w:rPr>
        <w:instrText xml:space="preserve"> ADDIN ZOTERO_ITEM CSL_CITATION {"citationID":"ak1vgse28m","properties":{"formattedCitation":"\\super 175\\nosupersub{}","plainCitation":"175","noteIndex":0},"citationItems":[{"id":9269,"uris":["http://zotero.org/groups/2667333/items/HG5P6ZG7"],"itemData":{"id":9269,"type":"article-journal","abstract":"Staining with Congo Red (CR) is a qualitative method used for the identification of amyloids in vitro and in tissue sections. However, the drawbacks and artefacts obtained when using this dye can be found both in vitro and in vivo Analysis of scientific data from previous studies shows that CR staining alone is not sufficient for confirmation of the amyloid nature of protein aggregates in vitro or for diagnosis of amyloidosis in tissue sections. In the present paper, we describe the characteristics and limitations of other methods used for amyloid studies. Our historical review on the use of CR staining for amyloid studies may provide insight into the pitfalls and caveats related to this technique for researchers considering using this dye.","container-title":"Bioscience Reports","DOI":"10.1042/BSR20181415","ISSN":"1573-4935","issue":"1","journalAbbreviation":"Biosci Rep","language":"eng","note":"PMID: 30567726\nPMCID: PMC6331669\ntex.ids= yakupova_congo_2019","page":"BSR20181415","source":"PubMed","title":"Congo Red and amyloids: history and relationship","title-short":"Congo Red and amyloids","volume":"39","author":[{"family":"Yakupova","given":"Elmira I."},{"family":"Bobyleva","given":"Liya G."},{"family":"Vikhlyantsev","given":"Ivan M."},{"family":"Bobylev","given":"Alexander G."}],"issued":{"date-parts":[["2019",1,31]]},"citation-key":"yakupova_congo_2019"}}],"schema":"https://github.com/citation-style-language/schema/raw/master/csl-citation.json"} </w:instrText>
      </w:r>
      <w:r w:rsidR="00230386" w:rsidRPr="002A7128">
        <w:rPr>
          <w:rFonts w:ascii="Calibri" w:hAnsi="Calibri" w:cs="Calibri"/>
        </w:rPr>
        <w:fldChar w:fldCharType="separate"/>
      </w:r>
      <w:r w:rsidR="00A64B61" w:rsidRPr="002A7128">
        <w:rPr>
          <w:rFonts w:ascii="Calibri" w:hAnsi="Calibri" w:cs="Calibri"/>
          <w:vertAlign w:val="superscript"/>
        </w:rPr>
        <w:t>175</w:t>
      </w:r>
      <w:r w:rsidR="00230386" w:rsidRPr="002A7128">
        <w:rPr>
          <w:rFonts w:ascii="Calibri" w:hAnsi="Calibri" w:cs="Calibri"/>
        </w:rPr>
        <w:fldChar w:fldCharType="end"/>
      </w:r>
      <w:r w:rsidRPr="002A7128">
        <w:rPr>
          <w:rFonts w:ascii="Calibri" w:hAnsi="Calibri" w:cs="Calibri"/>
        </w:rPr>
        <w:t>. We monitored the fluorescence of Congo red for 720 min (12 h) (</w:t>
      </w:r>
      <w:r w:rsidR="00230386" w:rsidRPr="002A7128">
        <w:rPr>
          <w:rFonts w:ascii="Calibri" w:hAnsi="Calibri" w:cs="Calibri"/>
          <w:b/>
          <w:bCs/>
        </w:rPr>
        <w:fldChar w:fldCharType="begin"/>
      </w:r>
      <w:r w:rsidR="00230386" w:rsidRPr="002A7128">
        <w:rPr>
          <w:rFonts w:ascii="Calibri" w:hAnsi="Calibri" w:cs="Calibri"/>
          <w:b/>
          <w:bCs/>
        </w:rPr>
        <w:instrText xml:space="preserve"> REF _Ref103527289  \* MERGEFORMAT </w:instrText>
      </w:r>
      <w:r w:rsidR="00230386"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5</w:t>
      </w:r>
      <w:r w:rsidR="00230386" w:rsidRPr="002A7128">
        <w:rPr>
          <w:rFonts w:ascii="Calibri" w:hAnsi="Calibri" w:cs="Calibri"/>
          <w:b/>
          <w:bCs/>
        </w:rPr>
        <w:fldChar w:fldCharType="end"/>
      </w:r>
      <w:r w:rsidR="00230386" w:rsidRPr="002A7128">
        <w:rPr>
          <w:rFonts w:ascii="Calibri" w:hAnsi="Calibri" w:cs="Calibri"/>
          <w:b/>
          <w:bCs/>
        </w:rPr>
        <w:t>C</w:t>
      </w:r>
      <w:r w:rsidRPr="002A7128">
        <w:rPr>
          <w:rFonts w:ascii="Calibri" w:hAnsi="Calibri" w:cs="Calibri"/>
        </w:rPr>
        <w:t xml:space="preserve">) at 0.5 mM peptide concentration. [AA] precipitation appeared after 720 min; these are not likely to be ordered aggregates with hydrophobic cores because no DPH fluorescence was observed at this concentration. [II] aggregated instantaneously (0 min), while [LL] aggregates were deposited initially and became stable until 720 min. [WW] and [VV] did not show any initial aggregates but deposited after 30 min and 120 min, respectively. Despite the ease of visualization with red light, Congo Red is not as sensitive as </w:t>
      </w:r>
      <w:proofErr w:type="spellStart"/>
      <w:r w:rsidRPr="002A7128">
        <w:rPr>
          <w:rFonts w:ascii="Calibri" w:hAnsi="Calibri" w:cs="Calibri"/>
        </w:rPr>
        <w:t>ThT</w:t>
      </w:r>
      <w:proofErr w:type="spellEnd"/>
      <w:r w:rsidRPr="002A7128">
        <w:rPr>
          <w:rFonts w:ascii="Calibri" w:hAnsi="Calibri" w:cs="Calibri"/>
        </w:rPr>
        <w:t xml:space="preserve"> in understanding ordered structures since fluorescence methods (rather than absorption) are preferred for high-sensitivity detection</w:t>
      </w:r>
      <w:r w:rsidR="00230386" w:rsidRPr="002A7128">
        <w:rPr>
          <w:rFonts w:ascii="Calibri" w:hAnsi="Calibri" w:cs="Calibri"/>
        </w:rPr>
        <w:fldChar w:fldCharType="begin"/>
      </w:r>
      <w:r w:rsidR="00A64B61" w:rsidRPr="002A7128">
        <w:rPr>
          <w:rFonts w:ascii="Calibri" w:hAnsi="Calibri" w:cs="Calibri"/>
        </w:rPr>
        <w:instrText xml:space="preserve"> ADDIN ZOTERO_ITEM CSL_CITATION {"citationID":"a1b1k4t5d3v","properties":{"formattedCitation":"\\super 176\\nosupersub{}","plainCitation":"176","noteIndex":0},"citationItems":[{"id":9278,"uris":["http://zotero.org/groups/2667333/items/LS6F5P48"],"itemData":{"id":9278,"type":"chapter","abstract":"Fluorescence sensing of chemical and biochemical analytes is an active area of research.1–8 These efforts are driven by the desire to eliminate the use of radioactive tracers, which are costly to use and dispose of. There is also a need for rapid and low-cost testing methods for a wide range of clinical, bioprocess, and environmental applications. During the past decade numerous methods based on high-sensitivity fluorescence detection have been introduced, including DNA sequencing, DNA fragment analysis, fluorescence staining of gels following electrophoretic separation, and a variety of fluorescence immunoassays. Many of these analytical applications can be traced to the early reports by Undenfriend and coworkers,9 which anticipated many of today's applications of fluorescence. The more recent monographs6–8 have summarized the numerous analytical applications of fluorescence.Why is fluorescence rather than absorption used for high-sensitivity detection? Fluorescence is more sensitive because of the different ways of measuring absorbance and fluorescence. Light absorbance is measured as the difference in intensity between light passing through the reference and the sample. In fluorescence the intensity is measured directly, without comparison with a reference beam. Consider a 10−10 M solution of a substance with a molar extinction coefficient of 105 M−1 cm−1. The absorbance will be 10−5 per cm, which is equivalent to a percentage transmission of 99.9977%. Even with exceptional optics and electronics, it will be very difficult to detect the small percentage of absorbed light, 0.0023%. Even if the electronics allow measurement of such a low optical density, the cuvettes will show some variability in transmission and surface reflection, which will probably exceed the intensity difference due to an absorbance of 10−5. In contrast, fluorescence detection at 10−10 M is readily accomplished with most fluorometers. This advantage is due to measurement of the fluorescence relative to a dark background, as compared to the bright reference beam in an absorbance meas-urement. It is relatively easy to detect low levels of light, and the electronic impulses due to single photons are measurable with most photomultiplier tubes.","container-title":"Principles of Fluorescence Spectroscopy","event-place":"Boston, MA","ISBN":"978-0-387-46312-4","language":"en","note":"DOI: 10.1007/978-0-387-46312-4_19","page":"623-673","publisher":"Springer US","publisher-place":"Boston, MA","source":"Springer Link","title":"Fluorescence Sensing","URL":"https://doi.org/10.1007/978-0-387-46312-4_19","editor":[{"family":"Lakowicz","given":"Joseph R."}],"accessed":{"date-parts":[["2021",10,23]]},"issued":{"date-parts":[["2006"]]},"citation-key":"lakowicz_fluorescence_2006"}}],"schema":"https://github.com/citation-style-language/schema/raw/master/csl-citation.json"} </w:instrText>
      </w:r>
      <w:r w:rsidR="00230386" w:rsidRPr="002A7128">
        <w:rPr>
          <w:rFonts w:ascii="Calibri" w:hAnsi="Calibri" w:cs="Calibri"/>
        </w:rPr>
        <w:fldChar w:fldCharType="separate"/>
      </w:r>
      <w:r w:rsidR="00A64B61" w:rsidRPr="002A7128">
        <w:rPr>
          <w:rFonts w:ascii="Calibri" w:hAnsi="Calibri" w:cs="Calibri"/>
          <w:vertAlign w:val="superscript"/>
        </w:rPr>
        <w:t>176</w:t>
      </w:r>
      <w:r w:rsidR="00230386" w:rsidRPr="002A7128">
        <w:rPr>
          <w:rFonts w:ascii="Calibri" w:hAnsi="Calibri" w:cs="Calibri"/>
        </w:rPr>
        <w:fldChar w:fldCharType="end"/>
      </w:r>
      <w:r w:rsidRPr="002A7128">
        <w:rPr>
          <w:rFonts w:ascii="Calibri" w:hAnsi="Calibri" w:cs="Calibri"/>
        </w:rPr>
        <w:t xml:space="preserve">. Therefore, we use Congo Red as a visualization method, with </w:t>
      </w:r>
      <w:proofErr w:type="spellStart"/>
      <w:r w:rsidRPr="002A7128">
        <w:rPr>
          <w:rFonts w:ascii="Calibri" w:hAnsi="Calibri" w:cs="Calibri"/>
        </w:rPr>
        <w:t>ThT</w:t>
      </w:r>
      <w:proofErr w:type="spellEnd"/>
      <w:r w:rsidRPr="002A7128">
        <w:rPr>
          <w:rFonts w:ascii="Calibri" w:hAnsi="Calibri" w:cs="Calibri"/>
        </w:rPr>
        <w:t xml:space="preserve"> used for quantitative temporal measurements of oppositely charged pairs and each counterpart </w:t>
      </w:r>
      <w:r w:rsidRPr="002A7128">
        <w:rPr>
          <w:rFonts w:ascii="Calibri" w:hAnsi="Calibri" w:cs="Calibri"/>
        </w:rPr>
        <w:lastRenderedPageBreak/>
        <w:t xml:space="preserve">individually for 1200 min (20 h). To determine the time needed for equilibrium assembly of </w:t>
      </w:r>
      <w:proofErr w:type="spellStart"/>
      <w:r w:rsidRPr="002A7128">
        <w:rPr>
          <w:rFonts w:ascii="Calibri" w:hAnsi="Calibri" w:cs="Calibri"/>
        </w:rPr>
        <w:t>CoOPs</w:t>
      </w:r>
      <w:proofErr w:type="spellEnd"/>
      <w:r w:rsidRPr="002A7128">
        <w:rPr>
          <w:rFonts w:ascii="Calibri" w:hAnsi="Calibri" w:cs="Calibri"/>
        </w:rPr>
        <w:t xml:space="preserve">, we applied curve fitting to the </w:t>
      </w:r>
      <w:proofErr w:type="spellStart"/>
      <w:r w:rsidRPr="002A7128">
        <w:rPr>
          <w:rFonts w:ascii="Calibri" w:hAnsi="Calibri" w:cs="Calibri"/>
        </w:rPr>
        <w:t>ThT</w:t>
      </w:r>
      <w:proofErr w:type="spellEnd"/>
      <w:r w:rsidRPr="002A7128">
        <w:rPr>
          <w:rFonts w:ascii="Calibri" w:hAnsi="Calibri" w:cs="Calibri"/>
        </w:rPr>
        <w:t xml:space="preserve"> analysis </w:t>
      </w:r>
      <w:r w:rsidR="00230386" w:rsidRPr="002A7128">
        <w:rPr>
          <w:rFonts w:ascii="Calibri" w:hAnsi="Calibri" w:cs="Calibri"/>
        </w:rPr>
        <w:t>(</w:t>
      </w:r>
      <w:r w:rsidR="00230386" w:rsidRPr="002A7128">
        <w:rPr>
          <w:rFonts w:ascii="Calibri" w:hAnsi="Calibri" w:cs="Calibri"/>
          <w:b/>
          <w:bCs/>
        </w:rPr>
        <w:fldChar w:fldCharType="begin"/>
      </w:r>
      <w:r w:rsidR="00230386" w:rsidRPr="002A7128">
        <w:rPr>
          <w:rFonts w:ascii="Calibri" w:hAnsi="Calibri" w:cs="Calibri"/>
          <w:b/>
          <w:bCs/>
        </w:rPr>
        <w:instrText xml:space="preserve"> REF _Ref103527289  \* MERGEFORMAT </w:instrText>
      </w:r>
      <w:r w:rsidR="00230386"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5</w:t>
      </w:r>
      <w:r w:rsidR="00230386" w:rsidRPr="002A7128">
        <w:rPr>
          <w:rFonts w:ascii="Calibri" w:hAnsi="Calibri" w:cs="Calibri"/>
          <w:b/>
          <w:bCs/>
        </w:rPr>
        <w:fldChar w:fldCharType="end"/>
      </w:r>
      <w:r w:rsidR="00230386" w:rsidRPr="002A7128">
        <w:rPr>
          <w:rFonts w:ascii="Calibri" w:hAnsi="Calibri" w:cs="Calibri"/>
          <w:b/>
          <w:bCs/>
        </w:rPr>
        <w:t>D</w:t>
      </w:r>
      <w:r w:rsidRPr="002A7128">
        <w:rPr>
          <w:rFonts w:ascii="Calibri" w:hAnsi="Calibri" w:cs="Calibri"/>
        </w:rPr>
        <w:t xml:space="preserve">). [AA] did not assemble and thus did not show any fluorescence in </w:t>
      </w:r>
      <w:proofErr w:type="spellStart"/>
      <w:r w:rsidRPr="002A7128">
        <w:rPr>
          <w:rFonts w:ascii="Calibri" w:hAnsi="Calibri" w:cs="Calibri"/>
        </w:rPr>
        <w:t>ThT</w:t>
      </w:r>
      <w:proofErr w:type="spellEnd"/>
      <w:r w:rsidRPr="002A7128">
        <w:rPr>
          <w:rFonts w:ascii="Calibri" w:hAnsi="Calibri" w:cs="Calibri"/>
        </w:rPr>
        <w:t>. For the remaining peptide pairs, the time to reach equilibrium assembly was calculated as [VV] (660 min) &gt; [WW] (675 min) &gt; [LL] (630 min) &gt; [II] (510 min). Individual counterparts did not produce any fluorescence signal (</w:t>
      </w:r>
      <w:r w:rsidR="00230386" w:rsidRPr="002A7128">
        <w:rPr>
          <w:rFonts w:ascii="Calibri" w:hAnsi="Calibri" w:cs="Calibri"/>
          <w:b/>
          <w:bCs/>
        </w:rPr>
        <w:fldChar w:fldCharType="begin"/>
      </w:r>
      <w:r w:rsidR="00230386" w:rsidRPr="002A7128">
        <w:rPr>
          <w:rFonts w:ascii="Calibri" w:hAnsi="Calibri" w:cs="Calibri"/>
          <w:b/>
          <w:bCs/>
        </w:rPr>
        <w:instrText xml:space="preserve"> REF _Ref103527289  \* MERGEFORMAT </w:instrText>
      </w:r>
      <w:r w:rsidR="00230386"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5</w:t>
      </w:r>
      <w:r w:rsidR="00230386" w:rsidRPr="002A7128">
        <w:rPr>
          <w:rFonts w:ascii="Calibri" w:hAnsi="Calibri" w:cs="Calibri"/>
          <w:b/>
          <w:bCs/>
        </w:rPr>
        <w:fldChar w:fldCharType="end"/>
      </w:r>
      <w:r w:rsidR="00230386" w:rsidRPr="002A7128">
        <w:rPr>
          <w:rFonts w:ascii="Calibri" w:hAnsi="Calibri" w:cs="Calibri"/>
          <w:b/>
          <w:bCs/>
        </w:rPr>
        <w:t>E</w:t>
      </w:r>
      <w:r w:rsidR="00230386" w:rsidRPr="002A7128">
        <w:rPr>
          <w:rFonts w:ascii="Calibri" w:hAnsi="Calibri" w:cs="Calibri"/>
        </w:rPr>
        <w:t xml:space="preserve">). </w:t>
      </w:r>
      <w:r w:rsidRPr="002A7128">
        <w:rPr>
          <w:rFonts w:ascii="Calibri" w:hAnsi="Calibri" w:cs="Calibri"/>
        </w:rPr>
        <w:t>We observed that the like-charged groups alone did not aggregate, highlighting the importance of electrostatic attractions in the aggregation process (</w:t>
      </w:r>
      <w:r w:rsidR="00230386" w:rsidRPr="002A7128">
        <w:rPr>
          <w:rFonts w:ascii="Calibri" w:hAnsi="Calibri" w:cs="Calibri"/>
          <w:b/>
          <w:bCs/>
        </w:rPr>
        <w:fldChar w:fldCharType="begin"/>
      </w:r>
      <w:r w:rsidR="00230386" w:rsidRPr="002A7128">
        <w:rPr>
          <w:rFonts w:ascii="Calibri" w:hAnsi="Calibri" w:cs="Calibri"/>
          <w:b/>
          <w:bCs/>
        </w:rPr>
        <w:instrText xml:space="preserve"> REF _Ref103527289  \* MERGEFORMAT </w:instrText>
      </w:r>
      <w:r w:rsidR="00230386"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5</w:t>
      </w:r>
      <w:r w:rsidR="00230386" w:rsidRPr="002A7128">
        <w:rPr>
          <w:rFonts w:ascii="Calibri" w:hAnsi="Calibri" w:cs="Calibri"/>
          <w:b/>
          <w:bCs/>
        </w:rPr>
        <w:fldChar w:fldCharType="end"/>
      </w:r>
      <w:r w:rsidR="00230386" w:rsidRPr="002A7128">
        <w:rPr>
          <w:rFonts w:ascii="Calibri" w:hAnsi="Calibri" w:cs="Calibri"/>
          <w:b/>
          <w:bCs/>
        </w:rPr>
        <w:t>D</w:t>
      </w:r>
      <w:r w:rsidRPr="002A7128">
        <w:rPr>
          <w:rFonts w:ascii="Calibri" w:hAnsi="Calibri" w:cs="Calibri"/>
        </w:rPr>
        <w:t xml:space="preserve">). Among the studied peptides, [II] showed the fastest aggregation and the highest fluorescence intensity, indicating that [II] has the highest affinity to each other, and these peptides are stacked in a more well-ordered structure than the other </w:t>
      </w:r>
      <w:proofErr w:type="spellStart"/>
      <w:r w:rsidRPr="002A7128">
        <w:rPr>
          <w:rFonts w:ascii="Calibri" w:hAnsi="Calibri" w:cs="Calibri"/>
        </w:rPr>
        <w:t>CoOPs</w:t>
      </w:r>
      <w:proofErr w:type="spellEnd"/>
      <w:r w:rsidRPr="002A7128">
        <w:rPr>
          <w:rFonts w:ascii="Calibri" w:hAnsi="Calibri" w:cs="Calibri"/>
        </w:rPr>
        <w:t>. The TEM images of the aggregates showed one-dimensional structures (</w:t>
      </w:r>
      <w:r w:rsidR="00FA2CDC" w:rsidRPr="002A7128">
        <w:rPr>
          <w:rFonts w:ascii="Calibri" w:hAnsi="Calibri" w:cs="Calibri"/>
          <w:b/>
          <w:bCs/>
        </w:rPr>
        <w:fldChar w:fldCharType="begin"/>
      </w:r>
      <w:r w:rsidR="00FA2CDC" w:rsidRPr="002A7128">
        <w:rPr>
          <w:rFonts w:ascii="Calibri" w:hAnsi="Calibri" w:cs="Calibri"/>
          <w:b/>
          <w:bCs/>
        </w:rPr>
        <w:instrText xml:space="preserve"> REF _Ref103527989  \* MERGEFORMAT </w:instrText>
      </w:r>
      <w:r w:rsidR="00FA2CDC"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6</w:t>
      </w:r>
      <w:r w:rsidR="00FA2CDC" w:rsidRPr="002A7128">
        <w:rPr>
          <w:rFonts w:ascii="Calibri" w:hAnsi="Calibri" w:cs="Calibri"/>
          <w:b/>
          <w:bCs/>
        </w:rPr>
        <w:fldChar w:fldCharType="end"/>
      </w:r>
      <w:r w:rsidRPr="002A7128">
        <w:rPr>
          <w:rFonts w:ascii="Calibri" w:hAnsi="Calibri" w:cs="Calibri"/>
        </w:rPr>
        <w:t xml:space="preserve">). The use of the FF group in the </w:t>
      </w:r>
      <w:proofErr w:type="spellStart"/>
      <w:r w:rsidRPr="002A7128">
        <w:rPr>
          <w:rFonts w:ascii="Calibri" w:hAnsi="Calibri" w:cs="Calibri"/>
        </w:rPr>
        <w:t>CoOP</w:t>
      </w:r>
      <w:proofErr w:type="spellEnd"/>
      <w:r w:rsidRPr="002A7128">
        <w:rPr>
          <w:rFonts w:ascii="Calibri" w:hAnsi="Calibri" w:cs="Calibri"/>
        </w:rPr>
        <w:t xml:space="preserve"> sequence was for enhancing the one-dimensional aggregation; thus, the observed structures were expected. These results indicate that control over peptide aggregation is achieved by changing the hydrophobicity of amino acids in the substitution domain</w:t>
      </w:r>
    </w:p>
    <w:p w14:paraId="4D2023AC" w14:textId="77777777" w:rsidR="00FA2CDC" w:rsidRPr="002A7128" w:rsidRDefault="00FA2CDC" w:rsidP="00F675B4">
      <w:pPr>
        <w:keepNext/>
        <w:spacing w:line="480" w:lineRule="auto"/>
        <w:jc w:val="both"/>
        <w:rPr>
          <w:rFonts w:ascii="Calibri" w:hAnsi="Calibri" w:cs="Calibri"/>
        </w:rPr>
      </w:pPr>
      <w:r w:rsidRPr="002A7128">
        <w:rPr>
          <w:rFonts w:ascii="Calibri" w:hAnsi="Calibri" w:cs="Calibri"/>
          <w:noProof/>
        </w:rPr>
        <w:drawing>
          <wp:inline distT="0" distB="0" distL="0" distR="0" wp14:anchorId="663FA13F" wp14:editId="255D1639">
            <wp:extent cx="4940300" cy="1308100"/>
            <wp:effectExtent l="0" t="0" r="0" b="0"/>
            <wp:docPr id="16" name="Picture 1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40300" cy="1308100"/>
                    </a:xfrm>
                    <a:prstGeom prst="rect">
                      <a:avLst/>
                    </a:prstGeom>
                  </pic:spPr>
                </pic:pic>
              </a:graphicData>
            </a:graphic>
          </wp:inline>
        </w:drawing>
      </w:r>
    </w:p>
    <w:p w14:paraId="3F114D5D" w14:textId="5B23D59F" w:rsidR="00FA2CDC" w:rsidRPr="002A7128" w:rsidRDefault="00FA2CDC" w:rsidP="00F675B4">
      <w:pPr>
        <w:pStyle w:val="Caption"/>
        <w:spacing w:line="480" w:lineRule="auto"/>
        <w:jc w:val="both"/>
        <w:rPr>
          <w:rFonts w:ascii="Calibri" w:hAnsi="Calibri" w:cs="Calibri"/>
          <w:i w:val="0"/>
          <w:iCs w:val="0"/>
          <w:color w:val="000000" w:themeColor="text1"/>
          <w:sz w:val="24"/>
          <w:szCs w:val="24"/>
        </w:rPr>
      </w:pPr>
      <w:bookmarkStart w:id="49" w:name="_Ref103527989"/>
      <w:bookmarkStart w:id="50" w:name="_Toc120789424"/>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6</w:t>
      </w:r>
      <w:r w:rsidRPr="002A7128">
        <w:rPr>
          <w:rFonts w:ascii="Calibri" w:hAnsi="Calibri" w:cs="Calibri"/>
          <w:b/>
          <w:bCs/>
          <w:i w:val="0"/>
          <w:iCs w:val="0"/>
          <w:color w:val="000000" w:themeColor="text1"/>
          <w:sz w:val="24"/>
          <w:szCs w:val="24"/>
        </w:rPr>
        <w:fldChar w:fldCharType="end"/>
      </w:r>
      <w:bookmarkEnd w:id="49"/>
      <w:r w:rsidRPr="002A7128">
        <w:rPr>
          <w:rFonts w:ascii="Calibri" w:hAnsi="Calibri" w:cs="Calibri"/>
          <w:i w:val="0"/>
          <w:iCs w:val="0"/>
          <w:color w:val="000000" w:themeColor="text1"/>
          <w:sz w:val="24"/>
          <w:szCs w:val="24"/>
        </w:rPr>
        <w:t xml:space="preserve"> TEM images of [VV], [WW], [LL] and [II] peptides. Scale bar: 500 nm.</w:t>
      </w:r>
      <w:bookmarkEnd w:id="50"/>
    </w:p>
    <w:p w14:paraId="3D14C6D8" w14:textId="6E94297C" w:rsidR="007F4BCC" w:rsidRPr="002A7128" w:rsidRDefault="007F4BCC" w:rsidP="00F675B4">
      <w:pPr>
        <w:spacing w:line="480" w:lineRule="auto"/>
        <w:rPr>
          <w:rFonts w:ascii="Calibri" w:hAnsi="Calibri" w:cs="Calibri"/>
        </w:rPr>
      </w:pPr>
    </w:p>
    <w:p w14:paraId="78D89B27" w14:textId="6F011467" w:rsidR="00BA550C" w:rsidRPr="002A7128" w:rsidRDefault="00BA550C">
      <w:pPr>
        <w:pStyle w:val="Heading2"/>
        <w:numPr>
          <w:ilvl w:val="2"/>
          <w:numId w:val="7"/>
        </w:numPr>
        <w:spacing w:line="480" w:lineRule="auto"/>
        <w:rPr>
          <w:rFonts w:ascii="Calibri" w:hAnsi="Calibri" w:cs="Calibri"/>
        </w:rPr>
      </w:pPr>
      <w:bookmarkStart w:id="51" w:name="_Toc120794138"/>
      <w:r w:rsidRPr="002A7128">
        <w:rPr>
          <w:rFonts w:ascii="Calibri" w:hAnsi="Calibri" w:cs="Calibri"/>
        </w:rPr>
        <w:lastRenderedPageBreak/>
        <w:t>Cell Viability</w:t>
      </w:r>
      <w:bookmarkEnd w:id="51"/>
    </w:p>
    <w:p w14:paraId="2FD48A0E" w14:textId="2C001994" w:rsidR="00BA550C" w:rsidRPr="002A7128" w:rsidRDefault="00BA550C" w:rsidP="00F675B4">
      <w:pPr>
        <w:spacing w:line="480" w:lineRule="auto"/>
        <w:jc w:val="both"/>
        <w:rPr>
          <w:rFonts w:ascii="Calibri" w:hAnsi="Calibri" w:cs="Calibri"/>
        </w:rPr>
      </w:pPr>
      <w:r w:rsidRPr="002A7128">
        <w:rPr>
          <w:rFonts w:ascii="Calibri" w:hAnsi="Calibri" w:cs="Calibri"/>
        </w:rPr>
        <w:t>We used the human ovarian cancer cell line OVCAR-8 as our initial model to identify the effect of the peptides on cells. All cell culture experiments were performed in an RPMI cell culture medium with 10% FBS. At 0.5 mM (i.e., above the overall CAC), the individual peptides mixed on the cells by promptly adding the first negative, then positive counterparts. The viability of the cells was measured for 6h through live-dead imaging (</w:t>
      </w:r>
      <w:r w:rsidR="00F73EE4" w:rsidRPr="002A7128">
        <w:rPr>
          <w:rFonts w:ascii="Calibri" w:hAnsi="Calibri" w:cs="Calibri"/>
          <w:b/>
          <w:bCs/>
        </w:rPr>
        <w:fldChar w:fldCharType="begin"/>
      </w:r>
      <w:r w:rsidR="00F73EE4" w:rsidRPr="002A7128">
        <w:rPr>
          <w:rFonts w:ascii="Calibri" w:hAnsi="Calibri" w:cs="Calibri"/>
          <w:b/>
          <w:bCs/>
        </w:rPr>
        <w:instrText xml:space="preserve"> REF _Ref103528290  \* MERGEFORMAT </w:instrText>
      </w:r>
      <w:r w:rsidR="00F73EE4"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00F73EE4" w:rsidRPr="002A7128">
        <w:rPr>
          <w:rFonts w:ascii="Calibri" w:hAnsi="Calibri" w:cs="Calibri"/>
          <w:b/>
          <w:bCs/>
        </w:rPr>
        <w:fldChar w:fldCharType="end"/>
      </w:r>
      <w:r w:rsidR="00F73EE4" w:rsidRPr="002A7128">
        <w:rPr>
          <w:rFonts w:ascii="Calibri" w:hAnsi="Calibri" w:cs="Calibri"/>
          <w:b/>
          <w:bCs/>
        </w:rPr>
        <w:t>A</w:t>
      </w:r>
      <w:r w:rsidR="00F73EE4" w:rsidRPr="002A7128">
        <w:rPr>
          <w:rFonts w:ascii="Calibri" w:hAnsi="Calibri" w:cs="Calibri"/>
        </w:rPr>
        <w:t xml:space="preserve">) </w:t>
      </w:r>
      <w:r w:rsidRPr="002A7128">
        <w:rPr>
          <w:rFonts w:ascii="Calibri" w:hAnsi="Calibri" w:cs="Calibri"/>
        </w:rPr>
        <w:t xml:space="preserve">Among the peptide groups studied, [AA], [VV], and [LL] did not affect cell viability in the measured time frame </w:t>
      </w:r>
      <w:r w:rsidR="00F73EE4" w:rsidRPr="002A7128">
        <w:rPr>
          <w:rFonts w:ascii="Calibri" w:hAnsi="Calibri" w:cs="Calibri"/>
        </w:rPr>
        <w:t>(</w:t>
      </w:r>
      <w:r w:rsidR="00F73EE4" w:rsidRPr="002A7128">
        <w:rPr>
          <w:rFonts w:ascii="Calibri" w:hAnsi="Calibri" w:cs="Calibri"/>
          <w:b/>
          <w:bCs/>
        </w:rPr>
        <w:fldChar w:fldCharType="begin"/>
      </w:r>
      <w:r w:rsidR="00F73EE4" w:rsidRPr="002A7128">
        <w:rPr>
          <w:rFonts w:ascii="Calibri" w:hAnsi="Calibri" w:cs="Calibri"/>
          <w:b/>
          <w:bCs/>
        </w:rPr>
        <w:instrText xml:space="preserve"> REF _Ref103528290  \* MERGEFORMAT </w:instrText>
      </w:r>
      <w:r w:rsidR="00F73EE4"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00F73EE4" w:rsidRPr="002A7128">
        <w:rPr>
          <w:rFonts w:ascii="Calibri" w:hAnsi="Calibri" w:cs="Calibri"/>
          <w:b/>
          <w:bCs/>
        </w:rPr>
        <w:fldChar w:fldCharType="end"/>
      </w:r>
      <w:r w:rsidR="00F73EE4" w:rsidRPr="002A7128">
        <w:rPr>
          <w:rFonts w:ascii="Calibri" w:hAnsi="Calibri" w:cs="Calibri"/>
          <w:b/>
          <w:bCs/>
        </w:rPr>
        <w:t>A</w:t>
      </w:r>
      <w:r w:rsidRPr="002A7128">
        <w:rPr>
          <w:rFonts w:ascii="Calibri" w:hAnsi="Calibri" w:cs="Calibri"/>
        </w:rPr>
        <w:t xml:space="preserve">). Only [WW] and [II] caused cell death compared to the control group. Because the peptides, if aggregate, form one-dimensional structures, the shape of the aggregates is not likely to be effective on the action of the peptides. [II] has the lowest CAC and highest ordered aggregation </w:t>
      </w:r>
      <w:r w:rsidR="00F73EE4" w:rsidRPr="002A7128">
        <w:rPr>
          <w:rFonts w:ascii="Calibri" w:hAnsi="Calibri" w:cs="Calibri"/>
        </w:rPr>
        <w:t>(</w:t>
      </w:r>
      <w:r w:rsidR="00F73EE4" w:rsidRPr="002A7128">
        <w:rPr>
          <w:rFonts w:ascii="Calibri" w:hAnsi="Calibri" w:cs="Calibri"/>
          <w:b/>
          <w:bCs/>
        </w:rPr>
        <w:fldChar w:fldCharType="begin"/>
      </w:r>
      <w:r w:rsidR="00F73EE4" w:rsidRPr="002A7128">
        <w:rPr>
          <w:rFonts w:ascii="Calibri" w:hAnsi="Calibri" w:cs="Calibri"/>
          <w:b/>
          <w:bCs/>
        </w:rPr>
        <w:instrText xml:space="preserve"> REF _Ref103527289  \* MERGEFORMAT </w:instrText>
      </w:r>
      <w:r w:rsidR="00F73EE4"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5</w:t>
      </w:r>
      <w:r w:rsidR="00F73EE4" w:rsidRPr="002A7128">
        <w:rPr>
          <w:rFonts w:ascii="Calibri" w:hAnsi="Calibri" w:cs="Calibri"/>
          <w:b/>
          <w:bCs/>
        </w:rPr>
        <w:fldChar w:fldCharType="end"/>
      </w:r>
      <w:r w:rsidR="00F73EE4" w:rsidRPr="002A7128">
        <w:rPr>
          <w:rFonts w:ascii="Calibri" w:hAnsi="Calibri" w:cs="Calibri"/>
          <w:b/>
          <w:bCs/>
        </w:rPr>
        <w:t>B, C and D</w:t>
      </w:r>
      <w:r w:rsidRPr="002A7128">
        <w:rPr>
          <w:rFonts w:ascii="Calibri" w:hAnsi="Calibri" w:cs="Calibri"/>
        </w:rPr>
        <w:t>). Additionally, the equilibrium time of [II] aggregations was the shortest among the tried groups (Table 1). These all indicate that [II] peptides have the highest affinity to each other, which creates aggregations strong and fast enough to induce cell death.</w:t>
      </w:r>
    </w:p>
    <w:p w14:paraId="3DB8C5F4" w14:textId="77777777" w:rsidR="00BA550C" w:rsidRPr="002A7128" w:rsidRDefault="00BA550C"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4636B817" wp14:editId="2BBDBE00">
            <wp:extent cx="5943600" cy="6060440"/>
            <wp:effectExtent l="0" t="0" r="0" b="0"/>
            <wp:docPr id="17" name="Picture 1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6060440"/>
                    </a:xfrm>
                    <a:prstGeom prst="rect">
                      <a:avLst/>
                    </a:prstGeom>
                  </pic:spPr>
                </pic:pic>
              </a:graphicData>
            </a:graphic>
          </wp:inline>
        </w:drawing>
      </w:r>
    </w:p>
    <w:p w14:paraId="6DBF4B84" w14:textId="56F0037F" w:rsidR="00BA550C" w:rsidRPr="002A7128" w:rsidRDefault="00BA550C" w:rsidP="001752A2">
      <w:pPr>
        <w:pStyle w:val="Caption"/>
        <w:spacing w:line="480" w:lineRule="auto"/>
        <w:jc w:val="both"/>
        <w:rPr>
          <w:rFonts w:ascii="Calibri" w:hAnsi="Calibri" w:cs="Calibri"/>
          <w:i w:val="0"/>
          <w:iCs w:val="0"/>
          <w:color w:val="000000" w:themeColor="text1"/>
          <w:sz w:val="24"/>
          <w:szCs w:val="24"/>
        </w:rPr>
      </w:pPr>
      <w:bookmarkStart w:id="52" w:name="_Ref103528290"/>
      <w:bookmarkStart w:id="53" w:name="_Toc120789425"/>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7</w:t>
      </w:r>
      <w:r w:rsidRPr="002A7128">
        <w:rPr>
          <w:rFonts w:ascii="Calibri" w:hAnsi="Calibri" w:cs="Calibri"/>
          <w:b/>
          <w:bCs/>
          <w:i w:val="0"/>
          <w:iCs w:val="0"/>
          <w:color w:val="000000" w:themeColor="text1"/>
          <w:sz w:val="24"/>
          <w:szCs w:val="24"/>
        </w:rPr>
        <w:fldChar w:fldCharType="end"/>
      </w:r>
      <w:bookmarkEnd w:id="52"/>
      <w:r w:rsidRPr="002A7128">
        <w:rPr>
          <w:rFonts w:ascii="Calibri" w:hAnsi="Calibri" w:cs="Calibri"/>
          <w:b/>
          <w:bCs/>
          <w:i w:val="0"/>
          <w:iCs w:val="0"/>
          <w:color w:val="000000" w:themeColor="text1"/>
          <w:sz w:val="24"/>
          <w:szCs w:val="24"/>
        </w:rPr>
        <w:t xml:space="preserve"> Cytotoxicity of peptides to OVCAR-8 cells.</w:t>
      </w:r>
      <w:r w:rsidRPr="002A7128">
        <w:rPr>
          <w:rFonts w:ascii="Calibri" w:hAnsi="Calibri" w:cs="Calibri"/>
          <w:i w:val="0"/>
          <w:iCs w:val="0"/>
          <w:color w:val="000000" w:themeColor="text1"/>
          <w:sz w:val="24"/>
          <w:szCs w:val="24"/>
        </w:rPr>
        <w:t xml:space="preserve"> Negative peptides were added to the cells, followed by corresponding positive peptides. (A) Live-dead images of OVCAR-8 cells treated with peptide combinations and corresponding individual counterparts at 6h (peptide concentration is 0.5 m</w:t>
      </w:r>
      <w:r w:rsidR="00F73EE4" w:rsidRPr="002A7128">
        <w:rPr>
          <w:rFonts w:ascii="Calibri" w:hAnsi="Calibri" w:cs="Calibri"/>
          <w:i w:val="0"/>
          <w:iCs w:val="0"/>
          <w:color w:val="000000" w:themeColor="text1"/>
          <w:sz w:val="24"/>
          <w:szCs w:val="24"/>
        </w:rPr>
        <w:t>M)</w:t>
      </w:r>
      <w:r w:rsidRPr="002A7128">
        <w:rPr>
          <w:rFonts w:ascii="Calibri" w:hAnsi="Calibri" w:cs="Calibri"/>
          <w:i w:val="0"/>
          <w:iCs w:val="0"/>
          <w:color w:val="000000" w:themeColor="text1"/>
          <w:sz w:val="24"/>
          <w:szCs w:val="24"/>
        </w:rPr>
        <w:t xml:space="preserve"> (B) Zeta potential of individual and combined peptides. (C) Illustration of peptide preparation for [WW] and [II]. The effect of peptide preparation on cell viability for [WW] (D) and </w:t>
      </w:r>
      <w:r w:rsidRPr="002A7128">
        <w:rPr>
          <w:rFonts w:ascii="Calibri" w:hAnsi="Calibri" w:cs="Calibri"/>
          <w:i w:val="0"/>
          <w:iCs w:val="0"/>
          <w:color w:val="000000" w:themeColor="text1"/>
          <w:sz w:val="24"/>
          <w:szCs w:val="24"/>
        </w:rPr>
        <w:lastRenderedPageBreak/>
        <w:t>[II] (E). The scale bar is 200</w:t>
      </w:r>
      <w:r w:rsidR="00F73EE4" w:rsidRPr="002A7128">
        <w:rPr>
          <w:rFonts w:ascii="Calibri" w:hAnsi="Calibri" w:cs="Calibri"/>
          <w:i w:val="0"/>
          <w:iCs w:val="0"/>
          <w:color w:val="000000" w:themeColor="text1"/>
          <w:sz w:val="24"/>
          <w:szCs w:val="24"/>
        </w:rPr>
        <w:t xml:space="preserve"> </w:t>
      </w:r>
      <w:r w:rsidR="00F73EE4" w:rsidRPr="00FD1007">
        <w:rPr>
          <w:rFonts w:ascii="Symbol" w:hAnsi="Symbol" w:cs="Calibri"/>
          <w:i w:val="0"/>
          <w:iCs w:val="0"/>
          <w:color w:val="000000" w:themeColor="text1"/>
          <w:sz w:val="24"/>
          <w:szCs w:val="24"/>
        </w:rPr>
        <w:t>m</w:t>
      </w:r>
      <w:r w:rsidR="00F73EE4" w:rsidRPr="002A7128">
        <w:rPr>
          <w:rFonts w:ascii="Calibri" w:hAnsi="Calibri" w:cs="Calibri"/>
          <w:i w:val="0"/>
          <w:iCs w:val="0"/>
          <w:color w:val="000000" w:themeColor="text1"/>
          <w:sz w:val="24"/>
          <w:szCs w:val="24"/>
        </w:rPr>
        <w:t>m</w:t>
      </w:r>
      <w:r w:rsidRPr="002A7128">
        <w:rPr>
          <w:rFonts w:ascii="Calibri" w:hAnsi="Calibri" w:cs="Calibri"/>
          <w:i w:val="0"/>
          <w:iCs w:val="0"/>
          <w:color w:val="000000" w:themeColor="text1"/>
          <w:sz w:val="24"/>
          <w:szCs w:val="24"/>
        </w:rPr>
        <w:t>. Data are representative of at least three experiments. Statistical analysis via one-way ANOVA test, data are mean ± SD, ****p&lt;0.0001.</w:t>
      </w:r>
      <w:bookmarkEnd w:id="53"/>
    </w:p>
    <w:p w14:paraId="0CE329EE" w14:textId="2091EC42" w:rsidR="00DE5DB9" w:rsidRPr="002A7128" w:rsidRDefault="00BA550C" w:rsidP="00F675B4">
      <w:pPr>
        <w:spacing w:line="480" w:lineRule="auto"/>
        <w:jc w:val="both"/>
        <w:rPr>
          <w:rFonts w:ascii="Calibri" w:hAnsi="Calibri" w:cs="Calibri"/>
        </w:rPr>
      </w:pPr>
      <w:r w:rsidRPr="002A7128">
        <w:rPr>
          <w:rFonts w:ascii="Calibri" w:hAnsi="Calibri" w:cs="Calibri"/>
        </w:rPr>
        <w:t>To understand the effect of peptide aggregates versus peptides alone on the cell death identified with [WW] and [II], we performed a live/dead assay with individual peptides at 0.5 m</w:t>
      </w:r>
      <w:r w:rsidR="00F73EE4" w:rsidRPr="002A7128">
        <w:rPr>
          <w:rFonts w:ascii="Calibri" w:hAnsi="Calibri" w:cs="Calibri"/>
        </w:rPr>
        <w:t>M</w:t>
      </w:r>
      <w:r w:rsidRPr="002A7128">
        <w:rPr>
          <w:rFonts w:ascii="Calibri" w:hAnsi="Calibri" w:cs="Calibri"/>
        </w:rPr>
        <w:t xml:space="preserve"> after 6h </w:t>
      </w:r>
      <w:r w:rsidR="00F73EE4" w:rsidRPr="002A7128">
        <w:rPr>
          <w:rFonts w:ascii="Calibri" w:hAnsi="Calibri" w:cs="Calibri"/>
        </w:rPr>
        <w:t>(</w:t>
      </w:r>
      <w:r w:rsidR="00F73EE4" w:rsidRPr="002A7128">
        <w:rPr>
          <w:rFonts w:ascii="Calibri" w:hAnsi="Calibri" w:cs="Calibri"/>
          <w:b/>
          <w:bCs/>
        </w:rPr>
        <w:fldChar w:fldCharType="begin"/>
      </w:r>
      <w:r w:rsidR="00F73EE4" w:rsidRPr="002A7128">
        <w:rPr>
          <w:rFonts w:ascii="Calibri" w:hAnsi="Calibri" w:cs="Calibri"/>
          <w:b/>
          <w:bCs/>
        </w:rPr>
        <w:instrText xml:space="preserve"> REF _Ref103528290  \* MERGEFORMAT </w:instrText>
      </w:r>
      <w:r w:rsidR="00F73EE4"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00F73EE4" w:rsidRPr="002A7128">
        <w:rPr>
          <w:rFonts w:ascii="Calibri" w:hAnsi="Calibri" w:cs="Calibri"/>
          <w:b/>
          <w:bCs/>
        </w:rPr>
        <w:fldChar w:fldCharType="end"/>
      </w:r>
      <w:r w:rsidR="00F73EE4" w:rsidRPr="002A7128">
        <w:rPr>
          <w:rFonts w:ascii="Calibri" w:hAnsi="Calibri" w:cs="Calibri"/>
          <w:b/>
          <w:bCs/>
        </w:rPr>
        <w:t>A</w:t>
      </w:r>
      <w:r w:rsidRPr="002A7128">
        <w:rPr>
          <w:rFonts w:ascii="Calibri" w:hAnsi="Calibri" w:cs="Calibri"/>
        </w:rPr>
        <w:t xml:space="preserve">). Despite the dramatic cell death observed with the [II] mixture at this concentration, the individual [II] peptides did not induce cell death. Similarly, the negative [WW] (EFFWWE) peptide alone did not show any cell death, yet the positive [WW] (KFFWWK) peptide induced the cell death (as indicated by red-stained cells). Positive charged peptides containing </w:t>
      </w:r>
      <w:proofErr w:type="spellStart"/>
      <w:r w:rsidRPr="002A7128">
        <w:rPr>
          <w:rFonts w:ascii="Calibri" w:hAnsi="Calibri" w:cs="Calibri"/>
        </w:rPr>
        <w:t>W are</w:t>
      </w:r>
      <w:proofErr w:type="spellEnd"/>
      <w:r w:rsidRPr="002A7128">
        <w:rPr>
          <w:rFonts w:ascii="Calibri" w:hAnsi="Calibri" w:cs="Calibri"/>
        </w:rPr>
        <w:t xml:space="preserve"> promiscuous residues for membrane damaging peptides, possibly because of W's ``anchoring'' role; W is abundant in membrane proteins, particularly near the lipid–water interface</w:t>
      </w:r>
      <w:r w:rsidR="00F73EE4" w:rsidRPr="002A7128">
        <w:rPr>
          <w:rFonts w:ascii="Calibri" w:hAnsi="Calibri" w:cs="Calibri"/>
        </w:rPr>
        <w:fldChar w:fldCharType="begin"/>
      </w:r>
      <w:r w:rsidR="00A64B61" w:rsidRPr="002A7128">
        <w:rPr>
          <w:rFonts w:ascii="Calibri" w:hAnsi="Calibri" w:cs="Calibri"/>
        </w:rPr>
        <w:instrText xml:space="preserve"> ADDIN ZOTERO_ITEM CSL_CITATION {"citationID":"a1ilihomdr9","properties":{"formattedCitation":"\\super 177,178\\nosupersub{}","plainCitation":"177,178","noteIndex":0},"citationItems":[{"id":7026,"uris":["http://zotero.org/groups/2667333/items/IXU554PZ"],"itemData":{"id":7026,"type":"article-journal","abstract":"Antimicrobial peptides encompass a number of different classes, including those that are rich in a particular amino acid. An important subset are peptides rich in Arg and Trp residues, such as indolicidin and tritrpticin, that have broad and potent antimicrobial activity. The importance of these two amino acids for antimicrobial activity was highlighted through the screening of a complete combinatorial library of hexapeptides. These residues possess some crucial chemical properties that make them suitable components of antimicrobial peptides. Trp has a distinct preference for the interfacial region of lipid bilayers, while Arg residues endow the peptides with cationic charges and hydrogen bonding properties necessary for interaction with the abundant anionic components of bacterial membranes. In combination, these two residues are capable of participating in cation–π interactions, thereby facilitating enhanced peptide–membrane interactions. Trp sidechains are also implicated in peptide and protein folding in aqueous solution, where they contribute by maintaining native and nonnative hydrophobic contacts. This has been observed for the antimicrobial peptide from human lactoferrin, possibly restraining the peptide structure in a suitable conformation to interact with the bacterial membrane. These unique properties make the Arg- and Trp-rich antimicrobial peptides highly active even at very short peptide lengths. Moreover, they lead to structures for membrane-mimetic bound peptides that go far beyond regular α-helices and β-sheet structures. In this review, the structures of a number of different Trp- and Arg-rich antimicrobial peptides are examined and some of the major mechanistic studies are presented.","collection-title":"Membrane Biophysics of Antimicrobial Peptides","container-title":"Biochimica et Biophysica Acta (BBA) - Biomembranes","DOI":"10.1016/j.bbamem.2006.04.006","ISSN":"0005-2736","issue":"9","journalAbbreviation":"Biochimica et Biophysica Acta (BBA) - Biomembranes","language":"en","page":"1184-1202","source":"ScienceDirect","title":"Tryptophan- and arginine-rich antimicrobial peptides: Structures and mechanisms of action","title-short":"Tryptophan- and arginine-rich antimicrobial peptides","URL":"https://www.sciencedirect.com/science/article/pii/S0005273606001404","volume":"1758","author":[{"family":"Chan","given":"David I."},{"family":"Prenner","given":"Elmar J."},{"family":"Vogel","given":"Hans J."}],"accessed":{"date-parts":[["2021",8,7]]},"issued":{"date-parts":[["2006",9,1]]},"citation-key":"chan_tryptophan-_2006"}},{"id":1717,"uris":["http://zotero.org/groups/2667333/items/PQRVFW4Z"],"itemData":{"id":1717,"type":"article-journal","abstract":"Tryptophan (Trp) is abundant in membrane proteins, preferentially residing near the lipid–water interface where it is thought to play a significant anchoring role. Using a total of 3μs of molecular dynamics simulations for a library of hydrophobic WALP-like peptides, a long poly-Leu α-helix, and the methyl-indole analog, we explore the thermodynamics of the Trp movement in membranes that governs the stability and orientation of transmembrane protein segments. We examine the dominant hydrogen-bonding interactions between the Trp and lipid carbonyl and phosphate moieties, cation–π interactions to lipid choline moieties, and elucidate the contributions to the thermodynamics that serve to localize the Trp, by ~4kcal/mol, near the membrane glycerol backbone region. We show a striking similarity between the free energy to move an isolated Trp side chain to that found from a wide range of WALP peptides, suggesting that the location of this side chain is nearly independent of the host transmembrane segment. Our calculations provide quantitative measures that explain Trp's role as a modulator of responses to hydrophobic mismatch, providing a deeper understanding of how lipid composition may control a range of membrane active peptides and proteins.","container-title":"Biochimica et Biophysica Acta (BBA) - Biomembranes","DOI":"10.1016/j.bbamem.2012.09.009","ISSN":"0005-2736","issue":"2","journalAbbreviation":"Biochimica et Biophysica Acta (BBA) - Biomembranes","language":"en","note":"ZSCC: 0000126","page":"864-876","source":"ScienceDirect","title":"The role of tryptophan side chains in membrane protein anchoring and hydrophobic mismatch","URL":"http://www.sciencedirect.com/science/article/pii/S0005273612003227","volume":"1828","author":[{"family":"Jesus","given":"Armando J.","non-dropping-particle":"de"},{"family":"Allen","given":"Toby W."}],"accessed":{"date-parts":[["2020",7,25]]},"issued":{"date-parts":[["2013",2,1]]},"citation-key":"de_jesus_role_2013"}}],"schema":"https://github.com/citation-style-language/schema/raw/master/csl-citation.json"} </w:instrText>
      </w:r>
      <w:r w:rsidR="00F73EE4" w:rsidRPr="002A7128">
        <w:rPr>
          <w:rFonts w:ascii="Calibri" w:hAnsi="Calibri" w:cs="Calibri"/>
        </w:rPr>
        <w:fldChar w:fldCharType="separate"/>
      </w:r>
      <w:r w:rsidR="00A64B61" w:rsidRPr="002A7128">
        <w:rPr>
          <w:rFonts w:ascii="Calibri" w:hAnsi="Calibri" w:cs="Calibri"/>
          <w:vertAlign w:val="superscript"/>
        </w:rPr>
        <w:t>177,178</w:t>
      </w:r>
      <w:r w:rsidR="00F73EE4" w:rsidRPr="002A7128">
        <w:rPr>
          <w:rFonts w:ascii="Calibri" w:hAnsi="Calibri" w:cs="Calibri"/>
        </w:rPr>
        <w:fldChar w:fldCharType="end"/>
      </w:r>
      <w:r w:rsidRPr="002A7128">
        <w:rPr>
          <w:rFonts w:ascii="Calibri" w:hAnsi="Calibri" w:cs="Calibri"/>
        </w:rPr>
        <w:t>. Furthermore, as analyzed by zeta-potential, individual peptides showed the expected overall charges at pH 7.0 ((</w:t>
      </w:r>
      <w:proofErr w:type="spellStart"/>
      <w:r w:rsidRPr="002A7128">
        <w:rPr>
          <w:rFonts w:ascii="Calibri" w:hAnsi="Calibri" w:cs="Calibri"/>
        </w:rPr>
        <w:t>pKa</w:t>
      </w:r>
      <w:proofErr w:type="spellEnd"/>
      <w:r w:rsidRPr="002A7128">
        <w:rPr>
          <w:rFonts w:ascii="Calibri" w:hAnsi="Calibri" w:cs="Calibri"/>
        </w:rPr>
        <w:t xml:space="preserve"> of (-COO</w:t>
      </w:r>
      <w:r w:rsidR="00F73EE4" w:rsidRPr="002A7128">
        <w:rPr>
          <w:rFonts w:ascii="Calibri" w:hAnsi="Calibri" w:cs="Calibri"/>
          <w:vertAlign w:val="superscript"/>
        </w:rPr>
        <w:t>-</w:t>
      </w:r>
      <w:r w:rsidR="00F73EE4" w:rsidRPr="002A7128">
        <w:rPr>
          <w:rFonts w:ascii="Calibri" w:hAnsi="Calibri" w:cs="Calibri"/>
        </w:rPr>
        <w:t xml:space="preserve">) </w:t>
      </w:r>
      <w:r w:rsidRPr="002A7128">
        <w:rPr>
          <w:rFonts w:ascii="Calibri" w:hAnsi="Calibri" w:cs="Calibri"/>
        </w:rPr>
        <w:t xml:space="preserve">of E </w:t>
      </w:r>
      <w:r w:rsidR="007678DF" w:rsidRPr="002A7128">
        <w:rPr>
          <w:rFonts w:ascii="Calibri" w:hAnsi="Calibri" w:cs="Calibri"/>
        </w:rPr>
        <w:t>is 4.25</w:t>
      </w:r>
      <w:r w:rsidRPr="002A7128">
        <w:rPr>
          <w:rFonts w:ascii="Calibri" w:hAnsi="Calibri" w:cs="Calibri"/>
        </w:rPr>
        <w:t xml:space="preserve"> and (-NH</w:t>
      </w:r>
      <w:r w:rsidR="00F73EE4" w:rsidRPr="002A7128">
        <w:rPr>
          <w:rFonts w:ascii="Calibri" w:hAnsi="Calibri" w:cs="Calibri"/>
          <w:vertAlign w:val="superscript"/>
        </w:rPr>
        <w:t>3+</w:t>
      </w:r>
      <w:r w:rsidR="00F73EE4" w:rsidRPr="002A7128">
        <w:rPr>
          <w:rFonts w:ascii="Calibri" w:hAnsi="Calibri" w:cs="Calibri"/>
        </w:rPr>
        <w:t>)</w:t>
      </w:r>
      <w:r w:rsidRPr="002A7128">
        <w:rPr>
          <w:rFonts w:ascii="Calibri" w:hAnsi="Calibri" w:cs="Calibri"/>
        </w:rPr>
        <w:t xml:space="preserve"> of K is 10.53) (</w:t>
      </w:r>
      <w:r w:rsidR="00F73EE4" w:rsidRPr="002A7128">
        <w:rPr>
          <w:rFonts w:ascii="Calibri" w:hAnsi="Calibri" w:cs="Calibri"/>
          <w:b/>
          <w:bCs/>
        </w:rPr>
        <w:fldChar w:fldCharType="begin"/>
      </w:r>
      <w:r w:rsidR="00F73EE4" w:rsidRPr="002A7128">
        <w:rPr>
          <w:rFonts w:ascii="Calibri" w:hAnsi="Calibri" w:cs="Calibri"/>
          <w:b/>
          <w:bCs/>
        </w:rPr>
        <w:instrText xml:space="preserve"> REF _Ref103528290  \* MERGEFORMAT </w:instrText>
      </w:r>
      <w:r w:rsidR="00F73EE4"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00F73EE4" w:rsidRPr="002A7128">
        <w:rPr>
          <w:rFonts w:ascii="Calibri" w:hAnsi="Calibri" w:cs="Calibri"/>
          <w:b/>
          <w:bCs/>
        </w:rPr>
        <w:fldChar w:fldCharType="end"/>
      </w:r>
      <w:r w:rsidR="00F73EE4" w:rsidRPr="002A7128">
        <w:rPr>
          <w:rFonts w:ascii="Calibri" w:hAnsi="Calibri" w:cs="Calibri"/>
          <w:b/>
          <w:bCs/>
        </w:rPr>
        <w:t>B</w:t>
      </w:r>
      <w:r w:rsidR="00F73EE4" w:rsidRPr="002A7128">
        <w:rPr>
          <w:rFonts w:ascii="Calibri" w:hAnsi="Calibri" w:cs="Calibri"/>
        </w:rPr>
        <w:t xml:space="preserve">). </w:t>
      </w:r>
      <w:r w:rsidRPr="002A7128">
        <w:rPr>
          <w:rFonts w:ascii="Calibri" w:hAnsi="Calibri" w:cs="Calibri"/>
        </w:rPr>
        <w:t>In an aqueous solution, the [II] aggregates acquire a neutral charge in 5 min, while [WW] showed a slight positive charge after 30 min, possibly due to incomplete assembly (</w:t>
      </w:r>
      <w:r w:rsidR="00F73EE4" w:rsidRPr="002A7128">
        <w:rPr>
          <w:rFonts w:ascii="Calibri" w:hAnsi="Calibri" w:cs="Calibri"/>
          <w:b/>
          <w:bCs/>
        </w:rPr>
        <w:fldChar w:fldCharType="begin"/>
      </w:r>
      <w:r w:rsidR="00F73EE4" w:rsidRPr="002A7128">
        <w:rPr>
          <w:rFonts w:ascii="Calibri" w:hAnsi="Calibri" w:cs="Calibri"/>
          <w:b/>
          <w:bCs/>
        </w:rPr>
        <w:instrText xml:space="preserve"> REF _Ref103528290  \* MERGEFORMAT </w:instrText>
      </w:r>
      <w:r w:rsidR="00F73EE4"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00F73EE4" w:rsidRPr="002A7128">
        <w:rPr>
          <w:rFonts w:ascii="Calibri" w:hAnsi="Calibri" w:cs="Calibri"/>
          <w:b/>
          <w:bCs/>
        </w:rPr>
        <w:fldChar w:fldCharType="end"/>
      </w:r>
      <w:r w:rsidR="00F73EE4" w:rsidRPr="002A7128">
        <w:rPr>
          <w:rFonts w:ascii="Calibri" w:hAnsi="Calibri" w:cs="Calibri"/>
          <w:b/>
          <w:bCs/>
        </w:rPr>
        <w:t>B</w:t>
      </w:r>
      <w:r w:rsidR="00F73EE4" w:rsidRPr="002A7128">
        <w:rPr>
          <w:rFonts w:ascii="Calibri" w:hAnsi="Calibri" w:cs="Calibri"/>
        </w:rPr>
        <w:t>)</w:t>
      </w:r>
      <w:r w:rsidRPr="002A7128">
        <w:rPr>
          <w:rFonts w:ascii="Calibri" w:hAnsi="Calibri" w:cs="Calibri"/>
        </w:rPr>
        <w:t>.</w:t>
      </w:r>
    </w:p>
    <w:p w14:paraId="0E3CCFB5" w14:textId="6249B483" w:rsidR="00DE5DB9" w:rsidRPr="002A7128" w:rsidRDefault="00DE5DB9" w:rsidP="00F675B4">
      <w:pPr>
        <w:spacing w:line="480" w:lineRule="auto"/>
        <w:jc w:val="both"/>
        <w:rPr>
          <w:rFonts w:ascii="Calibri" w:hAnsi="Calibri" w:cs="Calibri"/>
        </w:rPr>
      </w:pPr>
      <w:r w:rsidRPr="002A7128">
        <w:rPr>
          <w:rFonts w:ascii="Calibri" w:hAnsi="Calibri" w:cs="Calibri"/>
        </w:rPr>
        <w:t>Given the effects of individual [II] and [WW] on cell viability, we examined the order of addition of the peptide counterparts; first positive and then negative peptide, and vice versa (</w:t>
      </w:r>
      <w:r w:rsidRPr="002A7128">
        <w:rPr>
          <w:rFonts w:ascii="Calibri" w:hAnsi="Calibri" w:cs="Calibri"/>
          <w:b/>
          <w:bCs/>
        </w:rPr>
        <w:fldChar w:fldCharType="begin"/>
      </w:r>
      <w:r w:rsidRPr="002A7128">
        <w:rPr>
          <w:rFonts w:ascii="Calibri" w:hAnsi="Calibri" w:cs="Calibri"/>
          <w:b/>
          <w:bCs/>
        </w:rPr>
        <w:instrText xml:space="preserve"> REF _Ref103528290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Pr="002A7128">
        <w:rPr>
          <w:rFonts w:ascii="Calibri" w:hAnsi="Calibri" w:cs="Calibri"/>
          <w:b/>
          <w:bCs/>
        </w:rPr>
        <w:fldChar w:fldCharType="end"/>
      </w:r>
      <w:r w:rsidRPr="002A7128">
        <w:rPr>
          <w:rFonts w:ascii="Calibri" w:hAnsi="Calibri" w:cs="Calibri"/>
          <w:b/>
          <w:bCs/>
        </w:rPr>
        <w:t>C</w:t>
      </w:r>
      <w:r w:rsidRPr="002A7128">
        <w:rPr>
          <w:rFonts w:ascii="Calibri" w:hAnsi="Calibri" w:cs="Calibri"/>
        </w:rPr>
        <w:t>). The addition of KFFWWK first induced significantly higher cell death (****p&lt;0.0001) compared to the initial addition of negative peptide, indicating that the cell death is due to the positive charge of KFFWWK (</w:t>
      </w:r>
      <w:r w:rsidRPr="002A7128">
        <w:rPr>
          <w:rFonts w:ascii="Calibri" w:hAnsi="Calibri" w:cs="Calibri"/>
          <w:b/>
          <w:bCs/>
        </w:rPr>
        <w:fldChar w:fldCharType="begin"/>
      </w:r>
      <w:r w:rsidRPr="002A7128">
        <w:rPr>
          <w:rFonts w:ascii="Calibri" w:hAnsi="Calibri" w:cs="Calibri"/>
          <w:b/>
          <w:bCs/>
        </w:rPr>
        <w:instrText xml:space="preserve"> REF _Ref103528290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Pr="002A7128">
        <w:rPr>
          <w:rFonts w:ascii="Calibri" w:hAnsi="Calibri" w:cs="Calibri"/>
          <w:b/>
          <w:bCs/>
        </w:rPr>
        <w:fldChar w:fldCharType="end"/>
      </w:r>
      <w:r w:rsidRPr="002A7128">
        <w:rPr>
          <w:rFonts w:ascii="Calibri" w:hAnsi="Calibri" w:cs="Calibri"/>
          <w:b/>
          <w:bCs/>
        </w:rPr>
        <w:t>D</w:t>
      </w:r>
      <w:r w:rsidRPr="002A7128">
        <w:rPr>
          <w:rFonts w:ascii="Calibri" w:hAnsi="Calibri" w:cs="Calibri"/>
        </w:rPr>
        <w:t>). Yet, any order change did not affect the membrane damage activity levels for [II] (</w:t>
      </w:r>
      <w:r w:rsidRPr="002A7128">
        <w:rPr>
          <w:rFonts w:ascii="Calibri" w:hAnsi="Calibri" w:cs="Calibri"/>
          <w:b/>
          <w:bCs/>
        </w:rPr>
        <w:fldChar w:fldCharType="begin"/>
      </w:r>
      <w:r w:rsidRPr="002A7128">
        <w:rPr>
          <w:rFonts w:ascii="Calibri" w:hAnsi="Calibri" w:cs="Calibri"/>
          <w:b/>
          <w:bCs/>
        </w:rPr>
        <w:instrText xml:space="preserve"> REF _Ref103528290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Pr="002A7128">
        <w:rPr>
          <w:rFonts w:ascii="Calibri" w:hAnsi="Calibri" w:cs="Calibri"/>
          <w:b/>
          <w:bCs/>
        </w:rPr>
        <w:fldChar w:fldCharType="end"/>
      </w:r>
      <w:r w:rsidRPr="002A7128">
        <w:rPr>
          <w:rFonts w:ascii="Calibri" w:hAnsi="Calibri" w:cs="Calibri"/>
          <w:b/>
          <w:bCs/>
        </w:rPr>
        <w:t>E</w:t>
      </w:r>
      <w:r w:rsidRPr="002A7128">
        <w:rPr>
          <w:rFonts w:ascii="Calibri" w:hAnsi="Calibri" w:cs="Calibri"/>
        </w:rPr>
        <w:t>). Moreover, mixing the peptides for 30 min or 24h before addition to the cells completely abolished the effect of [WW] (</w:t>
      </w:r>
      <w:r w:rsidRPr="002A7128">
        <w:rPr>
          <w:rFonts w:ascii="Calibri" w:hAnsi="Calibri" w:cs="Calibri"/>
          <w:b/>
          <w:bCs/>
        </w:rPr>
        <w:fldChar w:fldCharType="begin"/>
      </w:r>
      <w:r w:rsidRPr="002A7128">
        <w:rPr>
          <w:rFonts w:ascii="Calibri" w:hAnsi="Calibri" w:cs="Calibri"/>
          <w:b/>
          <w:bCs/>
        </w:rPr>
        <w:instrText xml:space="preserve"> REF _Ref103528290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Pr="002A7128">
        <w:rPr>
          <w:rFonts w:ascii="Calibri" w:hAnsi="Calibri" w:cs="Calibri"/>
          <w:b/>
          <w:bCs/>
        </w:rPr>
        <w:fldChar w:fldCharType="end"/>
      </w:r>
      <w:r w:rsidRPr="002A7128">
        <w:rPr>
          <w:rFonts w:ascii="Calibri" w:hAnsi="Calibri" w:cs="Calibri"/>
          <w:b/>
          <w:bCs/>
        </w:rPr>
        <w:t>D</w:t>
      </w:r>
      <w:r w:rsidRPr="002A7128">
        <w:rPr>
          <w:rFonts w:ascii="Calibri" w:hAnsi="Calibri" w:cs="Calibri"/>
        </w:rPr>
        <w:t xml:space="preserve">), indicating that the initial membrane damage was due to the positive charge of KFFWWK which was neutralized upon </w:t>
      </w:r>
      <w:r w:rsidRPr="002A7128">
        <w:rPr>
          <w:rFonts w:ascii="Calibri" w:hAnsi="Calibri" w:cs="Calibri"/>
        </w:rPr>
        <w:lastRenderedPageBreak/>
        <w:t>mixing and aggregation with its counterpart (</w:t>
      </w:r>
      <w:r w:rsidR="00A64B61" w:rsidRPr="002A7128">
        <w:rPr>
          <w:rFonts w:ascii="Calibri" w:hAnsi="Calibri" w:cs="Calibri"/>
          <w:b/>
          <w:bCs/>
        </w:rPr>
        <w:fldChar w:fldCharType="begin"/>
      </w:r>
      <w:r w:rsidR="00A64B61" w:rsidRPr="002A7128">
        <w:rPr>
          <w:rFonts w:ascii="Calibri" w:hAnsi="Calibri" w:cs="Calibri"/>
        </w:rPr>
        <w:instrText xml:space="preserve"> REF _Ref103528290 \h </w:instrText>
      </w:r>
      <w:r w:rsidR="00A64B61" w:rsidRPr="002A7128">
        <w:rPr>
          <w:rFonts w:ascii="Calibri" w:hAnsi="Calibri" w:cs="Calibri"/>
          <w:b/>
          <w:bCs/>
        </w:rPr>
        <w:instrText xml:space="preserve"> \* MERGEFORMAT </w:instrText>
      </w:r>
      <w:r w:rsidR="00A64B61" w:rsidRPr="002A7128">
        <w:rPr>
          <w:rFonts w:ascii="Calibri" w:hAnsi="Calibri" w:cs="Calibri"/>
          <w:b/>
          <w:bCs/>
        </w:rPr>
      </w:r>
      <w:r w:rsidR="00A64B61"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00A64B61"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Nevertheless, the pre-mixing did not alter the effect of [II] under these conditions (</w:t>
      </w:r>
      <w:r w:rsidRPr="002A7128">
        <w:rPr>
          <w:rFonts w:ascii="Calibri" w:hAnsi="Calibri" w:cs="Calibri"/>
          <w:b/>
          <w:bCs/>
        </w:rPr>
        <w:fldChar w:fldCharType="begin"/>
      </w:r>
      <w:r w:rsidRPr="002A7128">
        <w:rPr>
          <w:rFonts w:ascii="Calibri" w:hAnsi="Calibri" w:cs="Calibri"/>
          <w:b/>
          <w:bCs/>
        </w:rPr>
        <w:instrText xml:space="preserve"> REF _Ref103528290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Pr="002A7128">
        <w:rPr>
          <w:rFonts w:ascii="Calibri" w:hAnsi="Calibri" w:cs="Calibri"/>
          <w:b/>
          <w:bCs/>
        </w:rPr>
        <w:fldChar w:fldCharType="end"/>
      </w:r>
      <w:r w:rsidRPr="002A7128">
        <w:rPr>
          <w:rFonts w:ascii="Calibri" w:hAnsi="Calibri" w:cs="Calibri"/>
          <w:b/>
          <w:bCs/>
        </w:rPr>
        <w:t>E</w:t>
      </w:r>
      <w:r w:rsidRPr="002A7128">
        <w:rPr>
          <w:rFonts w:ascii="Calibri" w:hAnsi="Calibri" w:cs="Calibri"/>
        </w:rPr>
        <w:t>), highlighting that [II] is the only peptide pair among those studied that induces cell death through the aggregation of its charged counterparts. Although these charges help peptides find each other even in low concentrations, the electrostatic interactions do not contribute to the stability or thermodynamic assembly of the peptides, which happens only through the hydrophobic amino acids in the core of the sequence</w:t>
      </w:r>
      <w:r w:rsidRPr="002A7128">
        <w:rPr>
          <w:rFonts w:ascii="Calibri" w:hAnsi="Calibri" w:cs="Calibri"/>
        </w:rPr>
        <w:fldChar w:fldCharType="begin"/>
      </w:r>
      <w:r w:rsidR="00317E7D" w:rsidRPr="002A7128">
        <w:rPr>
          <w:rFonts w:ascii="Calibri" w:hAnsi="Calibri" w:cs="Calibri"/>
        </w:rPr>
        <w:instrText xml:space="preserve"> ADDIN ZOTERO_ITEM CSL_CITATION {"citationID":"a1kr2q55ojv","properties":{"formattedCitation":"\\super 145\\nosupersub{}","plainCitation":"145","noteIndex":0},"citationItems":[{"id":9925,"uris":["http://zotero.org/groups/2667333/items/CDKDX376"],"itemData":{"id":9925,"type":"article-journal","abstract":"Co-assembly of oppositely charged peptides (CoOP) links intermolecular interactions and material properties.","archive_location":"world","container-title":"Science Advances","DOI":"10.1126/sciadv.abj0305","language":"EN","license":"Copyright © 2022 The Authors, some rights reserved; exclusive licensee American Association for the Advancement of Science. No claim to original U.S. Government Works. Distributed under a Creative Commons Attribution NonCommercial License 4.0 (CC BY-NC).","note":"publisher: American Association for the Advancement of Science\ntex.ids= doi:10.1126/sciadv.abj0305","source":"www.science.org","title":"Peptide framework for screening the effects of amino acids on assembly","URL":"https://www.science.org/doi/abs/10.1126/sciadv.abj0305","author":[{"family":"Hamsici","given":"Seren"},{"family":"White","given":"Andrew D."},{"family":"Acar","given":"Handan"}],"accessed":{"date-parts":[["2022",1,19]]},"issued":{"date-parts":[["2022",1]]},"citation-key":"hamsici_peptide_2022"}}],"schema":"https://github.com/citation-style-language/schema/raw/master/csl-citation.json"}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145</w:t>
      </w:r>
      <w:r w:rsidRPr="002A7128">
        <w:rPr>
          <w:rFonts w:ascii="Calibri" w:hAnsi="Calibri" w:cs="Calibri"/>
        </w:rPr>
        <w:fldChar w:fldCharType="end"/>
      </w:r>
      <w:r w:rsidRPr="002A7128">
        <w:rPr>
          <w:rFonts w:ascii="Calibri" w:hAnsi="Calibri" w:cs="Calibri"/>
        </w:rPr>
        <w:t>. Our results show that increasing the hydrophobicity of the amino acid decreases the aggregation time, which has a direct effect on cell membrane damage.  Isoleucine is the most hydrophobic canonical amino acid, and [II] peptides have the highest affinity among the studied pairs and showed the lowest CAC in the shortest aggregation equilibrium time (</w:t>
      </w:r>
      <w:r w:rsidRPr="002A7128">
        <w:rPr>
          <w:rFonts w:ascii="Calibri" w:hAnsi="Calibri" w:cs="Calibri"/>
          <w:b/>
          <w:bCs/>
        </w:rPr>
        <w:fldChar w:fldCharType="begin"/>
      </w:r>
      <w:r w:rsidRPr="002A7128">
        <w:rPr>
          <w:rFonts w:ascii="Calibri" w:hAnsi="Calibri" w:cs="Calibri"/>
          <w:b/>
          <w:bCs/>
        </w:rPr>
        <w:instrText xml:space="preserve"> REF _Ref103527289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5</w:t>
      </w:r>
      <w:r w:rsidRPr="002A7128">
        <w:rPr>
          <w:rFonts w:ascii="Calibri" w:hAnsi="Calibri" w:cs="Calibri"/>
          <w:b/>
          <w:bCs/>
        </w:rPr>
        <w:fldChar w:fldCharType="end"/>
      </w:r>
      <w:r w:rsidRPr="002A7128">
        <w:rPr>
          <w:rFonts w:ascii="Calibri" w:hAnsi="Calibri" w:cs="Calibri"/>
        </w:rPr>
        <w:t>)The affinity among [II] creates strong aggregates to induce ICD, which is the functionality that we aimed to mimic.</w:t>
      </w:r>
    </w:p>
    <w:p w14:paraId="31B72424" w14:textId="409EF502" w:rsidR="00FC031B" w:rsidRPr="002A7128" w:rsidRDefault="00DE5DB9" w:rsidP="00F675B4">
      <w:pPr>
        <w:spacing w:line="480" w:lineRule="auto"/>
        <w:jc w:val="both"/>
        <w:rPr>
          <w:rFonts w:ascii="Calibri" w:hAnsi="Calibri" w:cs="Calibri"/>
        </w:rPr>
      </w:pPr>
      <w:r w:rsidRPr="002A7128">
        <w:rPr>
          <w:rFonts w:ascii="Calibri" w:hAnsi="Calibri" w:cs="Calibri"/>
        </w:rPr>
        <w:t>Synthetic peptides derived from natural proteins induce ICD through perturbation of both cell and mitochondrial membranes</w:t>
      </w:r>
      <w:r w:rsidRPr="002A7128">
        <w:rPr>
          <w:rFonts w:ascii="Calibri" w:hAnsi="Calibri" w:cs="Calibri"/>
        </w:rPr>
        <w:fldChar w:fldCharType="begin"/>
      </w:r>
      <w:r w:rsidR="00A64B61" w:rsidRPr="002A7128">
        <w:rPr>
          <w:rFonts w:ascii="Calibri" w:hAnsi="Calibri" w:cs="Calibri"/>
        </w:rPr>
        <w:instrText xml:space="preserve"> ADDIN ZOTERO_ITEM CSL_CITATION {"citationID":"a1dsrorioai","properties":{"formattedCitation":"\\super 179\\uc0\\u8211{}181\\nosupersub{}","plainCitation":"179–181","noteIndex":0},"citationItems":[{"id":7064,"uris":["http://zotero.org/groups/2667333/items/9HUY86E8"],"itemData":{"id":7064,"type":"article-journal","container-title":"Cancer Research","DOI":"10.1158/0008-5472.CAN-09-0349","ISSN":"0008-5472, 1538-7445","issue":"21","journalAbbreviation":"Cancer Res","language":"en","page":"8356-8365","source":"DOI.org (Crossref)","title":"The Cell Death–Inducing Activity of the Peptide Containing Noxa Mitochondrial-Targeting Domain Is Associated with Calcium Release","URL":"http://cancerres.aacrjournals.org/lookup/doi/10.1158/0008-5472.CAN-09-0349","volume":"69","author":[{"family":"Seo","given":"Young-Woo"},{"family":"Woo","given":"Ha-Na"},{"family":"Piya","given":"Sujan"},{"family":"Moon","given":"Ae Ran"},{"family":"Oh","given":"Jae-Wook"},{"family":"Yun","given":"Cheol-Won"},{"family":"Kim","given":"Kyung-Keun"},{"family":"Min","given":"Ji-Young"},{"family":"Jeong","given":"Seon-Yong"},{"family":"Chung","given":"Seyung"},{"family":"Song","given":"Peter I."},{"family":"Jeong","given":"Seong-Yun"},{"family":"Choi","given":"Eun Kyung"},{"family":"Seol","given":"Dai-Wu"},{"family":"Kim","given":"Tae-Hyoung"}],"accessed":{"date-parts":[["2021",8,10]]},"issued":{"date-parts":[["2009",11,1]]},"citation-key":"seo_cell_2009"}},{"id":1579,"uris":["http://zotero.org/groups/2667333/items/6UHDNVFE"],"itemData":{"id":1579,"type":"article-journal","abstract":"Peptide therapeutics is a promising field for emerging anti-cancer agents. Benefits include the ease and rapid synthesis of peptides and capacity for modifications. An existing and vast knowledge base of protein structure and function can be exploited for novel peptide design. Current research focuses on developing peptides that can (1) serve as tumor targeting moieties and (2) permeabilize membranes with cytotoxic consequences. A survey of recent findings reveals significant trends. Amphiphilic peptides with clusters of hydrophobic and cationic residues are features of anti-microbial peptides that confer the ability to eradicate microbes and show considerable anti-cancer toxicity. Peptides that assemble and form pores can disrupt cell or organelle membranes and cause apoptotic or necrotic death. Cell permeable and tumor-homing peptides can carry biologically active cargo to tumors or tumor vasculature. The challenge lies in developing the clinical application of therapeutic peptides. Improving delivery to tumors, minimizing non-specific toxic effects and discerning pharmacokinetic properties are high among the needs to produce a powerful therapeutic peptide for cancer treatment.","container-title":"Current Medicinal Chemistry","DOI":"10.2174/092986712801661004","ISSN":"1875-533X","issue":"22","journalAbbreviation":"Curr. Med. Chem.","language":"eng","note":"PMID: 22725698\nPMCID: PMC4537071","page":"3794-3804","source":"PubMed","title":"The use of therapeutic peptides to target and to kill cancer cells","volume":"19","author":[{"family":"Boohaker","given":"R. J."},{"family":"Lee","given":"M. W."},{"family":"Vishnubhotla","given":"P."},{"family":"Perez","given":"J. M."},{"family":"Khaled","given":"A. R."}],"issued":{"date-parts":[["2012"]]},"citation-key":"boohaker_use_2012"}},{"id":9398,"uris":["http://zotero.org/groups/2667333/items/Y9YB9G47"],"itemData":{"id":9398,"type":"article-journal","abstract":"Oncolytic immunotherapies represent a new promising strategy in the treatment of cancer. In our efforts to develop oncolytic peptides, we identified a series of chemically modified 9-mer cationic peptides that were highly effective against both drug-resistant and drug-sensitive cancer cells and with lower toxicity toward normal cells. Among these peptides, LTX-315 displayed superior anticancer activity and was selected as a lead candidate. This peptide showed relative high plasma protein binding abilities and a human plasma half-life of 160 min, resulting in formation of nontoxic metabolites. In addition, the lead candidate demonstrated relatively low ability to inhibit CYP450 enzymes. Collectively these data indicated that this peptide has potential to be developed as a new anticancer agent for intratumoral administration and is currently being evaluated in a phase I/IIa study.","container-title":"Journal of Medicinal Chemistry","DOI":"10.1021/acs.jmedchem.5b02025","ISSN":"0022-2623","issue":"7","journalAbbreviation":"J. Med. Chem.","note":"publisher: American Chemical Society","page":"2918-2927","source":"ACS Publications","title":"Discovery of a 9-mer Cationic Peptide (LTX-315) as a Potential First in Class Oncolytic Peptide","URL":"https://doi.org/10.1021/acs.jmedchem.5b02025","volume":"59","author":[{"family":"Haug","given":"Bengt Erik"},{"family":"Camilio","given":"Ketil André"},{"family":"Eliassen","given":"Liv Tone"},{"family":"Stensen","given":"Wenche"},{"family":"Svendsen","given":"John Sigurd"},{"family":"Berg","given":"Kristel"},{"family":"Mortensen","given":"Bjarte"},{"family":"Serin","given":"Guillaume"},{"family":"Mirjolet","given":"Jean-Francois"},{"family":"Bichat","given":"Francis"},{"family":"Rekdal","given":"Øystein"}],"accessed":{"date-parts":[["2021",11,3]]},"issued":{"date-parts":[["2016",4,14]]},"citation-key":"haug_discovery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179–181</w:t>
      </w:r>
      <w:r w:rsidRPr="002A7128">
        <w:rPr>
          <w:rFonts w:ascii="Calibri" w:hAnsi="Calibri" w:cs="Calibri"/>
        </w:rPr>
        <w:fldChar w:fldCharType="end"/>
      </w:r>
      <w:r w:rsidRPr="002A7128">
        <w:rPr>
          <w:rFonts w:ascii="Calibri" w:hAnsi="Calibri" w:cs="Calibri"/>
        </w:rPr>
        <w:t>. However, these peptides target Bcl-2 family proteins to create mitochondrial damage</w:t>
      </w:r>
      <w:r w:rsidRPr="002A7128">
        <w:rPr>
          <w:rFonts w:ascii="Calibri" w:hAnsi="Calibri" w:cs="Calibri"/>
        </w:rPr>
        <w:fldChar w:fldCharType="begin"/>
      </w:r>
      <w:r w:rsidR="00A64B61" w:rsidRPr="002A7128">
        <w:rPr>
          <w:rFonts w:ascii="Calibri" w:hAnsi="Calibri" w:cs="Calibri"/>
        </w:rPr>
        <w:instrText xml:space="preserve"> ADDIN ZOTERO_ITEM CSL_CITATION {"citationID":"a185nmv9gq0","properties":{"formattedCitation":"\\super 109,182\\nosupersub{}","plainCitation":"109,182","noteIndex":0},"citationItems":[{"id":9401,"uris":["http://zotero.org/groups/2667333/items/YEYQEFQR"],"itemData":{"id":9401,"type":"article-journal","abstract":"LTX-315 has been developed as an amphipathic cationic peptide that kills cancer cells. Here, we investigated the putative involvement of mitochondria in the cytotoxic action of LTX-315. Subcellular fractionation of LTX-315-treated cells, followed by mass spectrometric quantification, revealed that the agent was enriched in mitochondria. LTX-315 caused an immediate arrest of mitochondrial respiration without any major uncoupling effect. Accordingly, LTX-315 disrupted the mitochondrial network, dissipated the mitochondrial inner transmembrane potential, and caused the release of mitochondrial intermembrane proteins into the cytosol. LTX-315 was relatively inefficient in stimulating mitophagy. Cells lacking the two pro-apoptotic multidomain proteins from the BCL-2 family, BAX and BAK, were less susceptible to LTX-315-mediated killing. Moreover, cells engineered to lose their mitochondria (by transfection with Parkin combined with treatment with a protonophore causing mitophagy) were relatively resistant against LTX-315, underscoring the importance of this organelle for LTX-315-mediated cytotoxicity. Altogether, these results support the notion that LTX-315 kills cancer cells by virtue of its capacity to permeabilize mitochondrial membranes.","container-title":"Oncotarget","ISSN":"1949-2553","issue":"29","journalAbbreviation":"Oncotarget","note":"PMID: 26378049\nPMCID: PMC4694939","page":"26599-26614","source":"PubMed Central","title":"The oncolytic peptide LTX-315 kills cancer cells through Bax/Bak-regulated mitochondrial membrane permeabilization","URL":"https://www.ncbi.nlm.nih.gov/pmc/articles/PMC4694939/","volume":"6","author":[{"family":"Zhou","given":"Heng"},{"family":"Forveille","given":"Sabrina"},{"family":"Sauvat","given":"Allan"},{"family":"Sica","given":"Valentina"},{"family":"Izzo","given":"Valentina"},{"family":"Durand","given":"Sylvère"},{"family":"Müller","given":"Kevin"},{"family":"Liu","given":"Peng"},{"family":"Zitvogel","given":"Laurence"},{"family":"Rekdal","given":"Øystein"},{"family":"Kepp","given":"Oliver"},{"family":"Kroemer","given":"Guido"}],"accessed":{"date-parts":[["2021",11,3]]},"issued":{"date-parts":[["2015",9,10]]},"citation-key":"zhou_oncolytic_2015-1"}},{"id":9400,"uris":["http://zotero.org/groups/2667333/items/L4W34AIK"],"itemData":{"id":9400,"type":"article-journal","container-title":"Science","DOI":"10.1126/science.1059108","issue":"5517","note":"publisher: American Association for the Advancement of Science","page":"727-730","source":"science.org (Atypon)","title":"Proapoptotic BAX and BAK: A Requisite Gateway to Mitochondrial Dysfunction and Death","title-short":"Proapoptotic BAX and BAK","URL":"https://www.science.org/doi/10.1126/science.1059108","volume":"292","author":[{"family":"Wei","given":"Michael C."},{"family":"Zong","given":"Wei-Xing"},{"family":"Cheng","given":"Emily H.-Y."},{"family":"Lindsten","given":"Tullia"},{"family":"Panoutsakopoulou","given":"Vily"},{"family":"Ross","given":"Andrea J."},{"family":"Roth","given":"Kevin A."},{"family":"MacGregor","given":"Grant R."},{"family":"Thompson","given":"Craig B."},{"family":"Korsmeyer","given":"Stanley J."}],"accessed":{"date-parts":[["2021",11,3]]},"issued":{"date-parts":[["2001",4,27]]},"citation-key":"wei_proapoptotic_2001"}}],"schema":"https://github.com/citation-style-language/schema/raw/master/csl-citation.json"}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109,182</w:t>
      </w:r>
      <w:r w:rsidRPr="002A7128">
        <w:rPr>
          <w:rFonts w:ascii="Calibri" w:hAnsi="Calibri" w:cs="Calibri"/>
        </w:rPr>
        <w:fldChar w:fldCharType="end"/>
      </w:r>
      <w:r w:rsidRPr="002A7128">
        <w:rPr>
          <w:rFonts w:ascii="Calibri" w:hAnsi="Calibri" w:cs="Calibri"/>
        </w:rPr>
        <w:t>. The oncogenic mutations in the Bcl-2 proteins and known drug resistance against therapeutics targeting them, diminishes the effectiveness of these peptides</w:t>
      </w:r>
      <w:r w:rsidR="00FC031B" w:rsidRPr="002A7128">
        <w:rPr>
          <w:rFonts w:ascii="Calibri" w:hAnsi="Calibri" w:cs="Calibri"/>
        </w:rPr>
        <w:fldChar w:fldCharType="begin"/>
      </w:r>
      <w:r w:rsidR="00A64B61" w:rsidRPr="002A7128">
        <w:rPr>
          <w:rFonts w:ascii="Calibri" w:hAnsi="Calibri" w:cs="Calibri"/>
        </w:rPr>
        <w:instrText xml:space="preserve"> ADDIN ZOTERO_ITEM CSL_CITATION {"citationID":"a20e3helt7u","properties":{"formattedCitation":"\\super 183,184\\nosupersub{}","plainCitation":"183,184","noteIndex":0},"citationItems":[{"id":9393,"uris":["http://zotero.org/groups/2667333/items/9UYXTREZ"],"itemData":{"id":9393,"type":"article-journal","abstract":"Purpose: Targeting malignant B cells using rituximab (anti-CD20) has improved the efficacy of chemotherapy regimens used to treat patients with non-Hodgkin's lymphoma. Despite the promising clinical results obtained using rituximab, many patients relapse with therapy-resistant disease following rituximab-based treatments. We have created a cell line model of rituximab resistance using three B-cell non-Hodgkin's lymphoma–derived cell lines (Raji, RL, and SUDHL-4). In an attempt to define strategies to overcome rituximab resistance, we sought to determine the chemotherapy sensitivity of our rituximab-resistant cell lines (RRCL).\nExperimental Design: Parental, rituximab-sensitive cell lines (RSCL) Raji, RL, and SUDHL-4, along with RRCLs derived from them, were exposed to several chemotherapeutic agents with different mechanisms of action and the ability of these agents to induce apoptotic cell death was measured. Expression of multidomain Bcl-2 family proteins was studied as potential mediators of chemotherapy/rituximab resistance.\nResults: We found that RRCLs are resistant to multiple chemotherapeutic agents and have significantly decreased expression of the Bcl-2 family proteins Bax, Bak, and Bcl-2. RRCLs do not undergo rituximab- or chemotherapy-induced apoptosis but die in a caspase-dependent manner when either wild-type Bax or Bak is exogenously expressed. Furthermore, forced expression of Bak sensitized RRCL to chemotherapy-induced apoptosis.\nConclusions: Whereas a single or limited exposure of lymphoma cells to rituximab may lead to a favorable ratio of proapoptotic to antiapoptotic Bcl-2 family proteins, repeated exposure to rituximab is associated with a therapy-resistant phenotype via modulation of Bax and Bak expression.","container-title":"Clinical Cancer Research","DOI":"10.1158/1078-0432.CCR-07-1255","ISSN":"1078-0432, 1557-3265","issue":"5","journalAbbreviation":"Clin Cancer Res","language":"en","license":"American Association for Cancer Research","note":"publisher: American Association for Cancer Research\nsection: Cancer Therapy: Preclinical\nPMID: 18316580\ntex.ids= olejniczak_acquired_2008-2","page":"1550-1560","source":"clincancerres.aacrjournals.org","title":"Acquired Resistance to Rituximab Is Associated with Chemotherapy Resistance Resulting from Decreased Bax and Bak Expression","URL":"https://clincancerres.aacrjournals.org/content/14/5/1550","volume":"14","author":[{"family":"Olejniczak","given":"Scott H."},{"family":"Hernandez-Ilizaliturri","given":"Francisco J."},{"family":"Clements","given":"James L."},{"family":"Czuczman","given":"Myron S."}],"accessed":{"date-parts":[["2021",11,3]]},"issued":{"date-parts":[["2008",3,1]]},"citation-key":"olejniczak_acquired_2008"}},{"id":9402,"uris":["http://zotero.org/groups/2667333/items/DCMLFEMV"],"itemData":{"id":9402,"type":"article-journal","abstract":"p53 status may be a determinant of chemosensitivity of tumor cells; however, its involvement in cellular resistance to cisplatin remains uncertain. To investigate the relationships between p53 and the development of resistance to cisplatin, the p53 gene status was studied in ovarian carcinoma cell systems which included two cisplatin-resistant variants (IGROV-1/Pt 0.5 and IGROV-1/Pt 1) selected in vitro after prolonged drug exposure of the cisplatin-sensitive parental IGROV-1 cell line. IGROV-1/Pt 0.5 and IGROV-1/Pt 1 cell lines exhibited a degree of resistance of approximately 6 and 14, respectively, following 96-h exposure to the drug and were cross-resistant to other DNA-damaging agents (ionizing radiation and melphalan). Resistance to cisplatin paralleled a reduced cell susceptibility to cisplatin-induced apoptosis. DNA single-strand conformation polymorphism analysis of exons 5–9 demonstrated the presence of two mutant alleles at exon 8 in the two resistant cell lines, in contrast to the parental IGROV-1 cell line which exhibited the wild-type p53 gene. Direct DNA sequencing revealed that the mutations consist of two nucleotide changes in the DNA-binding domain at codons 270 (T/A) and 282 (C/T). The constitutive levels of p53 protein were lower in IGROV-1 than in IGROV-1/Pt cells. Following exposure to ionizing radiation or cisplatin, accumulation of the p53 protein was markedly enhanced only in the sensitive cells. Concomitantly, the expression of WAF-1 protein was strongly induced in the parental IGROV-1 cells, whereas WAF-1 protein remained undetectable in the IGROV-1/Pt 1 subline after DNA-damaging treatment. Consistent with this finding is the observation that ionizing radiation caused a different pattern of cell cycle perturbation in sensitive and resistant cells. Northern blot analysis demonstrated a marked reduction in bax mRNA levels in IGROV-1/Pt 1 cisplatin-resistant cells. Co-transfection assays with wild-type or mutant p53 expression plasmids and a reporter gene plasmid that utilized the bax gene promoter to drive transcription of chloramphenicol acetyltransferase were consistent with the role of p53 in regulation of bax expression in these cells. Taken together, these observations support a role for mutations of the p53 gene in the development of cisplatin resistance in ovarian cancer as a consequence of loss of the ability of p53 to transactivate bax, an apoptosis-inducing gene.","container-title":"Cancer Research","ISSN":"0008-5472, 1538-7445","issue":"3","journalAbbreviation":"Cancer Res","language":"en","license":"©1996 American Association for Cancer Research.","note":"publisher: American Association for Cancer Research\nsection: Experimental Therapeutics\nPMID: 8564971","page":"556-562","source":"cancerres.aacrjournals.org","title":"Association between Cisplatin Resistance and Mutation of p53 Gene and Reduced Bax Expression in Ovarian Carcinoma Cell Systems","URL":"https://cancerres.aacrjournals.org/content/56/3/556","volume":"56","author":[{"family":"Perego","given":"Paola"},{"family":"Giarola","given":"Monica"},{"family":"Righetti","given":"Sabina C."},{"family":"Supino","given":"Rosanna"},{"family":"Caserini","given":"Claudia"},{"family":"Delia","given":"Domenico"},{"family":"Pierotti","given":"Marco A."},{"family":"Miyashita","given":"Toshiyuki"},{"family":"Reed","given":"John C."},{"family":"Zunino","given":"Franco"}],"accessed":{"date-parts":[["2021",11,3]]},"issued":{"date-parts":[["1996",2,1]]},"citation-key":"perego_association_1996"}}],"schema":"https://github.com/citation-style-language/schema/raw/master/csl-citation.json"} </w:instrText>
      </w:r>
      <w:r w:rsidR="00FC031B" w:rsidRPr="002A7128">
        <w:rPr>
          <w:rFonts w:ascii="Calibri" w:hAnsi="Calibri" w:cs="Calibri"/>
        </w:rPr>
        <w:fldChar w:fldCharType="separate"/>
      </w:r>
      <w:r w:rsidR="00A64B61" w:rsidRPr="002A7128">
        <w:rPr>
          <w:rFonts w:ascii="Calibri" w:hAnsi="Calibri" w:cs="Calibri"/>
          <w:vertAlign w:val="superscript"/>
        </w:rPr>
        <w:t>183,184</w:t>
      </w:r>
      <w:r w:rsidR="00FC031B" w:rsidRPr="002A7128">
        <w:rPr>
          <w:rFonts w:ascii="Calibri" w:hAnsi="Calibri" w:cs="Calibri"/>
        </w:rPr>
        <w:fldChar w:fldCharType="end"/>
      </w:r>
      <w:r w:rsidRPr="002A7128">
        <w:rPr>
          <w:rFonts w:ascii="Calibri" w:hAnsi="Calibri" w:cs="Calibri"/>
        </w:rPr>
        <w:t>.</w:t>
      </w:r>
    </w:p>
    <w:p w14:paraId="65896546" w14:textId="0F3CAFA9" w:rsidR="00FF7AC5" w:rsidRPr="002A7128" w:rsidRDefault="00FC031B">
      <w:pPr>
        <w:pStyle w:val="Heading2"/>
        <w:numPr>
          <w:ilvl w:val="2"/>
          <w:numId w:val="7"/>
        </w:numPr>
        <w:spacing w:line="480" w:lineRule="auto"/>
        <w:rPr>
          <w:rFonts w:ascii="Calibri" w:hAnsi="Calibri" w:cs="Calibri"/>
        </w:rPr>
      </w:pPr>
      <w:bookmarkStart w:id="54" w:name="_Toc120794139"/>
      <w:r w:rsidRPr="002A7128">
        <w:rPr>
          <w:rFonts w:ascii="Calibri" w:hAnsi="Calibri" w:cs="Calibri"/>
        </w:rPr>
        <w:t>Cell Membrane rupture Through Peptide Assembly</w:t>
      </w:r>
      <w:bookmarkEnd w:id="54"/>
    </w:p>
    <w:p w14:paraId="41775530" w14:textId="774A63A7" w:rsidR="007F4BCC" w:rsidRPr="002A7128" w:rsidRDefault="00FF7AC5" w:rsidP="00250FBA">
      <w:pPr>
        <w:spacing w:line="480" w:lineRule="auto"/>
        <w:jc w:val="both"/>
        <w:rPr>
          <w:rFonts w:ascii="Calibri" w:hAnsi="Calibri" w:cs="Calibri"/>
        </w:rPr>
      </w:pPr>
      <w:r w:rsidRPr="002A7128">
        <w:rPr>
          <w:rFonts w:ascii="Calibri" w:hAnsi="Calibri" w:cs="Calibri"/>
        </w:rPr>
        <w:t>The aggregation-induced membrane damage activity was only observed with [II]; we analyzed how it induces cell death. We used propidium iodide (PI) to understand cell membrane damage, a dye that does not permeate intact cell membranes</w:t>
      </w:r>
      <w:r w:rsidRPr="002A7128">
        <w:rPr>
          <w:rFonts w:ascii="Calibri" w:hAnsi="Calibri" w:cs="Calibri"/>
        </w:rPr>
        <w:fldChar w:fldCharType="begin"/>
      </w:r>
      <w:r w:rsidR="00A64B61" w:rsidRPr="002A7128">
        <w:rPr>
          <w:rFonts w:ascii="Calibri" w:hAnsi="Calibri" w:cs="Calibri"/>
        </w:rPr>
        <w:instrText xml:space="preserve"> ADDIN ZOTERO_ITEM CSL_CITATION {"citationID":"afporin2al","properties":{"formattedCitation":"\\super 185\\nosupersub{}","plainCitation":"185","noteIndex":0},"citationItems":[{"id":7107,"uris":["http://zotero.org/groups/2667333/items/7BWVVZ7A"],"itemData":{"id":7107,"type":"article-journal","container-title":"Biochemical and Biophysical Research Communications","DOI":"10.1016/j.bbrc.2011.06.186","ISSN":"0006291X","issue":"3","journalAbbreviation":"Biochemical and Biophysical Research Communications","language":"en","page":"569-573","source":"DOI.org (Crossref)","title":"Discrimination between primary necrosis and apoptosis by necrostatin-1 in Annexin V-positive/propidium iodide-negative cells","URL":"https://linkinghub.elsevier.com/retrieve/pii/S0006291X11011995","volume":"411","author":[{"family":"Sawai","given":"Hirofumi"},{"family":"Domae","given":"Naochika"}],"accessed":{"date-parts":[["2021",8,17]]},"issued":{"date-parts":[["2011",8]]},"citation-key":"sawai_discrimination_2011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185</w:t>
      </w:r>
      <w:r w:rsidRPr="002A7128">
        <w:rPr>
          <w:rFonts w:ascii="Calibri" w:hAnsi="Calibri" w:cs="Calibri"/>
        </w:rPr>
        <w:fldChar w:fldCharType="end"/>
      </w:r>
      <w:r w:rsidRPr="002A7128">
        <w:rPr>
          <w:rFonts w:ascii="Calibri" w:hAnsi="Calibri" w:cs="Calibri"/>
        </w:rPr>
        <w:t xml:space="preserve">. </w:t>
      </w:r>
      <w:r w:rsidRPr="002A7128">
        <w:rPr>
          <w:rFonts w:ascii="Calibri" w:hAnsi="Calibri" w:cs="Calibri"/>
        </w:rPr>
        <w:fldChar w:fldCharType="begin"/>
      </w:r>
      <w:r w:rsidRPr="002A7128">
        <w:rPr>
          <w:rFonts w:ascii="Calibri" w:hAnsi="Calibri" w:cs="Calibri"/>
        </w:rPr>
        <w:instrText xml:space="preserve"> REF _Ref103529427 </w:instrText>
      </w:r>
      <w:r w:rsidR="00F81EC9" w:rsidRPr="002A7128">
        <w:rPr>
          <w:rFonts w:ascii="Calibri" w:hAnsi="Calibri" w:cs="Calibri"/>
        </w:rPr>
        <w:instrText xml:space="preserve"> \* MERGEFORMAT </w:instrText>
      </w:r>
      <w:r w:rsidRPr="002A7128">
        <w:rPr>
          <w:rFonts w:ascii="Calibri" w:hAnsi="Calibri" w:cs="Calibri"/>
        </w:rPr>
        <w:fldChar w:fldCharType="separate"/>
      </w:r>
      <w:r w:rsidR="007D711E" w:rsidRPr="002A7128">
        <w:rPr>
          <w:rFonts w:ascii="Calibri" w:hAnsi="Calibri" w:cs="Calibri"/>
          <w:b/>
          <w:bCs/>
          <w:i/>
          <w:iCs/>
          <w:color w:val="000000" w:themeColor="text1"/>
          <w:sz w:val="20"/>
          <w:szCs w:val="20"/>
        </w:rPr>
        <w:t xml:space="preserve">Figure </w:t>
      </w:r>
      <w:r w:rsidR="007D711E" w:rsidRPr="002A7128">
        <w:rPr>
          <w:rFonts w:ascii="Calibri" w:hAnsi="Calibri" w:cs="Calibri"/>
          <w:b/>
          <w:bCs/>
          <w:i/>
          <w:iCs/>
          <w:noProof/>
          <w:color w:val="000000" w:themeColor="text1"/>
          <w:sz w:val="20"/>
          <w:szCs w:val="20"/>
        </w:rPr>
        <w:t>8</w:t>
      </w:r>
      <w:r w:rsidRPr="002A7128">
        <w:rPr>
          <w:rFonts w:ascii="Calibri" w:hAnsi="Calibri" w:cs="Calibri"/>
        </w:rPr>
        <w:fldChar w:fldCharType="end"/>
      </w:r>
      <w:r w:rsidRPr="002A7128">
        <w:rPr>
          <w:rFonts w:ascii="Calibri" w:hAnsi="Calibri" w:cs="Calibri"/>
        </w:rPr>
        <w:t xml:space="preserve"> shows cells treated with three concentrations of [II]: 0.25 mM 0.5 mM and 1 mM for 1, 6, and 24h. Increasing the concentration </w:t>
      </w:r>
      <w:r w:rsidRPr="002A7128">
        <w:rPr>
          <w:rFonts w:ascii="Calibri" w:hAnsi="Calibri" w:cs="Calibri"/>
        </w:rPr>
        <w:lastRenderedPageBreak/>
        <w:t>to 1 mM resulted in faster membrane damage, while decreasing the concentration to 0.25 mM (although still higher than the [II] CAC of 38 mM did not have sufficient aggregation to trigger membrane damage in this time frame. The time and concentration dependence membrane damage activity of [II] is likely to result from faster aggregation in higher concentrations. These results show that [II] induced cell death can be controlled through time and concentration. Flow cytometry results of PI uptake were correlated with the imaging analysis showing &gt;80% cell death at 6h for 0.5 and 1 mM [II] peptide treated cells (</w:t>
      </w:r>
      <w:r w:rsidR="000D3061" w:rsidRPr="002A7128">
        <w:rPr>
          <w:rFonts w:ascii="Calibri" w:hAnsi="Calibri" w:cs="Calibri"/>
          <w:b/>
          <w:bCs/>
        </w:rPr>
        <w:fldChar w:fldCharType="begin"/>
      </w:r>
      <w:r w:rsidR="000D3061" w:rsidRPr="002A7128">
        <w:rPr>
          <w:rFonts w:ascii="Calibri" w:hAnsi="Calibri" w:cs="Calibri"/>
          <w:b/>
          <w:bCs/>
        </w:rPr>
        <w:instrText xml:space="preserve"> REF _Ref103529828  \* MERGEFORMAT </w:instrText>
      </w:r>
      <w:r w:rsidR="000D3061"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9</w:t>
      </w:r>
      <w:r w:rsidR="000D3061" w:rsidRPr="002A7128">
        <w:rPr>
          <w:rFonts w:ascii="Calibri" w:hAnsi="Calibri" w:cs="Calibri"/>
          <w:b/>
          <w:bCs/>
        </w:rPr>
        <w:fldChar w:fldCharType="end"/>
      </w:r>
      <w:r w:rsidR="000D3061" w:rsidRPr="002A7128">
        <w:rPr>
          <w:rFonts w:ascii="Calibri" w:hAnsi="Calibri" w:cs="Calibri"/>
          <w:b/>
          <w:bCs/>
        </w:rPr>
        <w:t>A and B</w:t>
      </w:r>
      <w:r w:rsidRPr="002A7128">
        <w:rPr>
          <w:rFonts w:ascii="Calibri" w:hAnsi="Calibri" w:cs="Calibri"/>
        </w:rPr>
        <w:t>). To understand the lowest [II] peptide concentration that can induce membrane damage, we treated the cells with 0.1-0.2-0.3-0.4 and 0.5mM [II] peptides. For 6 and 24h the lowest concentration resulting in membrane damage was 0.4 mM (</w:t>
      </w:r>
      <w:r w:rsidR="00797CB8" w:rsidRPr="002A7128">
        <w:rPr>
          <w:rFonts w:ascii="Calibri" w:hAnsi="Calibri" w:cs="Calibri"/>
        </w:rPr>
        <w:fldChar w:fldCharType="begin"/>
      </w:r>
      <w:r w:rsidR="00797CB8" w:rsidRPr="002A7128">
        <w:rPr>
          <w:rFonts w:ascii="Calibri" w:hAnsi="Calibri" w:cs="Calibri"/>
        </w:rPr>
        <w:instrText xml:space="preserve"> REF _Ref103529926  \* MERGEFORMAT </w:instrText>
      </w:r>
      <w:r w:rsidR="00797CB8"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10</w:t>
      </w:r>
      <w:r w:rsidR="00797CB8" w:rsidRPr="002A7128">
        <w:rPr>
          <w:rFonts w:ascii="Calibri" w:hAnsi="Calibri" w:cs="Calibri"/>
        </w:rPr>
        <w:fldChar w:fldCharType="end"/>
      </w:r>
      <w:r w:rsidRPr="002A7128">
        <w:rPr>
          <w:rFonts w:ascii="Calibri" w:hAnsi="Calibri" w:cs="Calibri"/>
        </w:rPr>
        <w:t>).</w:t>
      </w:r>
    </w:p>
    <w:p w14:paraId="2EFF5F03" w14:textId="77777777" w:rsidR="00FF7AC5" w:rsidRPr="002A7128" w:rsidRDefault="00FF7AC5" w:rsidP="00F675B4">
      <w:pPr>
        <w:keepNext/>
        <w:spacing w:line="480" w:lineRule="auto"/>
        <w:rPr>
          <w:rFonts w:ascii="Calibri" w:hAnsi="Calibri" w:cs="Calibri"/>
        </w:rPr>
      </w:pPr>
      <w:r w:rsidRPr="002A7128">
        <w:rPr>
          <w:rFonts w:ascii="Calibri" w:hAnsi="Calibri" w:cs="Calibri"/>
          <w:noProof/>
        </w:rPr>
        <w:lastRenderedPageBreak/>
        <w:drawing>
          <wp:inline distT="0" distB="0" distL="0" distR="0" wp14:anchorId="1952E223" wp14:editId="2116AF45">
            <wp:extent cx="5682615" cy="8229600"/>
            <wp:effectExtent l="0" t="0" r="0" b="0"/>
            <wp:docPr id="18" name="Picture 18"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video gam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82615" cy="8229600"/>
                    </a:xfrm>
                    <a:prstGeom prst="rect">
                      <a:avLst/>
                    </a:prstGeom>
                  </pic:spPr>
                </pic:pic>
              </a:graphicData>
            </a:graphic>
          </wp:inline>
        </w:drawing>
      </w:r>
    </w:p>
    <w:p w14:paraId="7C94AF5B" w14:textId="69D14C23" w:rsidR="007F4BCC" w:rsidRPr="002A7128" w:rsidRDefault="00FF7AC5" w:rsidP="001752A2">
      <w:pPr>
        <w:pStyle w:val="Caption"/>
        <w:spacing w:line="480" w:lineRule="auto"/>
        <w:jc w:val="both"/>
        <w:rPr>
          <w:rFonts w:ascii="Calibri" w:hAnsi="Calibri" w:cs="Calibri"/>
          <w:i w:val="0"/>
          <w:iCs w:val="0"/>
          <w:color w:val="000000" w:themeColor="text1"/>
          <w:sz w:val="24"/>
          <w:szCs w:val="24"/>
        </w:rPr>
      </w:pPr>
      <w:bookmarkStart w:id="55" w:name="_Ref103529427"/>
      <w:bookmarkStart w:id="56" w:name="_Toc120789426"/>
      <w:r w:rsidRPr="002A7128">
        <w:rPr>
          <w:rFonts w:ascii="Calibri" w:hAnsi="Calibri" w:cs="Calibri"/>
          <w:b/>
          <w:bCs/>
          <w:i w:val="0"/>
          <w:iCs w:val="0"/>
          <w:color w:val="000000" w:themeColor="text1"/>
          <w:sz w:val="24"/>
          <w:szCs w:val="24"/>
        </w:rPr>
        <w:lastRenderedPageBreak/>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8</w:t>
      </w:r>
      <w:r w:rsidRPr="002A7128">
        <w:rPr>
          <w:rFonts w:ascii="Calibri" w:hAnsi="Calibri" w:cs="Calibri"/>
          <w:b/>
          <w:bCs/>
          <w:i w:val="0"/>
          <w:iCs w:val="0"/>
          <w:color w:val="000000" w:themeColor="text1"/>
          <w:sz w:val="24"/>
          <w:szCs w:val="24"/>
        </w:rPr>
        <w:fldChar w:fldCharType="end"/>
      </w:r>
      <w:bookmarkEnd w:id="55"/>
      <w:r w:rsidRPr="002A7128">
        <w:rPr>
          <w:rFonts w:ascii="Calibri" w:hAnsi="Calibri" w:cs="Calibri"/>
          <w:b/>
          <w:bCs/>
          <w:i w:val="0"/>
          <w:iCs w:val="0"/>
          <w:color w:val="000000" w:themeColor="text1"/>
          <w:sz w:val="24"/>
          <w:szCs w:val="24"/>
        </w:rPr>
        <w:t xml:space="preserve"> [II] induces membrane rupture.</w:t>
      </w:r>
      <w:r w:rsidRPr="002A7128">
        <w:rPr>
          <w:rFonts w:ascii="Calibri" w:hAnsi="Calibri" w:cs="Calibri"/>
          <w:i w:val="0"/>
          <w:iCs w:val="0"/>
          <w:color w:val="000000" w:themeColor="text1"/>
          <w:sz w:val="24"/>
          <w:szCs w:val="24"/>
        </w:rPr>
        <w:t xml:space="preserve"> (A) Time and concentration-dependent cell membrane damage of [II] were analyzed through PI uptake (scale bar is 100 </w:t>
      </w:r>
      <w:r w:rsidRPr="002A7128">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 xml:space="preserve">m). (B) Time-dependent viability measurement and (C) time-dependent nuclear size analysis. (D) Actin cytoskeleton staining of [II] treated OVCAR-8 cells at 1,3 and 6h, scale bar is 20 </w:t>
      </w:r>
      <w:r w:rsidRPr="002A7128">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 xml:space="preserve">m. (E) Internalization of FITC-KFFIIK and (F) FITC-[II] for 1, 3 and 6h, scale bar is 100 </w:t>
      </w:r>
      <w:r w:rsidRPr="00FD1007">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m. (G) Experimental plan of [II] transfer and viability experiment. (H) Effect of [II] transfer on cell viability at 6h. Data are representative of at least three experiments. Statistical analysis was done with one-way ANOVA test. Data are mean ± SD, ****p&lt;0.0001.</w:t>
      </w:r>
      <w:bookmarkEnd w:id="56"/>
    </w:p>
    <w:p w14:paraId="2FA110D7" w14:textId="74D520E6" w:rsidR="000D3061" w:rsidRPr="002A7128" w:rsidRDefault="000D3061" w:rsidP="00F675B4">
      <w:pPr>
        <w:spacing w:line="480" w:lineRule="auto"/>
        <w:jc w:val="both"/>
        <w:rPr>
          <w:rFonts w:ascii="Calibri" w:hAnsi="Calibri" w:cs="Calibri"/>
        </w:rPr>
      </w:pPr>
      <w:r w:rsidRPr="002A7128">
        <w:rPr>
          <w:rFonts w:ascii="Calibri" w:hAnsi="Calibri" w:cs="Calibri"/>
        </w:rPr>
        <w:t>The confocal images analyses of 0.5 mM [II], which induces &gt;85% of death in 6h (</w:t>
      </w:r>
      <w:r w:rsidRPr="002A7128">
        <w:rPr>
          <w:rFonts w:ascii="Calibri" w:hAnsi="Calibri" w:cs="Calibri"/>
        </w:rPr>
        <w:fldChar w:fldCharType="begin"/>
      </w:r>
      <w:r w:rsidRPr="002A7128">
        <w:rPr>
          <w:rFonts w:ascii="Calibri" w:hAnsi="Calibri" w:cs="Calibri"/>
        </w:rPr>
        <w:instrText xml:space="preserve"> REF _Ref103529427  \* MERGEFORMAT </w:instrText>
      </w:r>
      <w:r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9</w:t>
      </w:r>
      <w:r w:rsidRPr="002A7128">
        <w:rPr>
          <w:rFonts w:ascii="Calibri" w:hAnsi="Calibri" w:cs="Calibri"/>
        </w:rPr>
        <w:fldChar w:fldCharType="end"/>
      </w:r>
      <w:r w:rsidRPr="002A7128">
        <w:rPr>
          <w:rFonts w:ascii="Calibri" w:hAnsi="Calibri" w:cs="Calibri"/>
          <w:b/>
          <w:bCs/>
        </w:rPr>
        <w:t>B</w:t>
      </w:r>
      <w:r w:rsidRPr="002A7128">
        <w:rPr>
          <w:rFonts w:ascii="Calibri" w:hAnsi="Calibri" w:cs="Calibri"/>
        </w:rPr>
        <w:t>) showed cell swelling and nuclear condensation; hallmarks of necrotic cell death (</w:t>
      </w:r>
      <w:r w:rsidRPr="002A7128">
        <w:rPr>
          <w:rFonts w:ascii="Calibri" w:hAnsi="Calibri" w:cs="Calibri"/>
          <w:b/>
          <w:bCs/>
        </w:rPr>
        <w:fldChar w:fldCharType="begin"/>
      </w:r>
      <w:r w:rsidRPr="002A7128">
        <w:rPr>
          <w:rFonts w:ascii="Calibri" w:hAnsi="Calibri" w:cs="Calibri"/>
          <w:b/>
          <w:bCs/>
        </w:rPr>
        <w:instrText xml:space="preserve"> REF _Ref103529427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9</w:t>
      </w:r>
      <w:r w:rsidRPr="002A7128">
        <w:rPr>
          <w:rFonts w:ascii="Calibri" w:hAnsi="Calibri" w:cs="Calibri"/>
          <w:b/>
          <w:bCs/>
        </w:rPr>
        <w:fldChar w:fldCharType="end"/>
      </w:r>
      <w:r w:rsidRPr="002A7128">
        <w:rPr>
          <w:rFonts w:ascii="Calibri" w:hAnsi="Calibri" w:cs="Calibri"/>
          <w:b/>
          <w:bCs/>
        </w:rPr>
        <w:t>C and D</w:t>
      </w:r>
      <w:r w:rsidRPr="002A7128">
        <w:rPr>
          <w:rFonts w:ascii="Calibri" w:hAnsi="Calibri" w:cs="Calibri"/>
        </w:rPr>
        <w:t>)</w:t>
      </w:r>
      <w:r w:rsidRPr="002A7128">
        <w:rPr>
          <w:rFonts w:ascii="Calibri" w:hAnsi="Calibri" w:cs="Calibri"/>
        </w:rPr>
        <w:fldChar w:fldCharType="begin"/>
      </w:r>
      <w:r w:rsidR="00A64B61" w:rsidRPr="002A7128">
        <w:rPr>
          <w:rFonts w:ascii="Calibri" w:hAnsi="Calibri" w:cs="Calibri"/>
        </w:rPr>
        <w:instrText xml:space="preserve"> ADDIN ZOTERO_ITEM CSL_CITATION {"citationID":"a25qe179c2c","properties":{"formattedCitation":"\\super 186\\nosupersub{}","plainCitation":"186","noteIndex":0},"citationItems":[{"id":6929,"uris":["http://zotero.org/groups/2667333/items/P6ZM8SCI"],"itemData":{"id":6929,"type":"article-journal","abstract":"Classification of apoptosis and necrosis by morphological difference has been widely used for decades. However, this method has been seriously doubt in recent years, mainly due to lack of functional and biochemical evidence to interpret the morphology changes. To address these questions, we devised genetic manipulations in Drosophila to study pyknosis, a process of nuclear shrinkage and chromatin condensation occurred in apoptosis and necrosis. By following the progression of necrotic pyknosis, we surprisingly observed a transient state of chromatin detachment from the nuclear envelope (NE), followed with the NE completely collapsed onto chromatin. This phenomenon leads us to discover that phosphorylation of barrier-to-autointegration factor (BAF) mediates this initial separation of NE from chromatin. Functionally, inhibition of BAF phosphorylation suppressed the necrosis in both Drosophila and human cells, suggesting necrotic pyknosis is conserved in the propagation of necrosis. In contrast, apoptotic pyknosis did not show a detached state of chromatin from NE and inhibition of BAF phosphorylation had no effect on apoptotic pyknosis and apoptosis. Our research provides the first genetic evidence supporting morphological classification of apoptosis and necrosis by pyknosis.","container-title":"Journal of Cell Science","DOI":"10.1242/jcs.184374","ISSN":"1477-9137, 0021-9533","language":"en","page":"jcs.184374","source":"DOI.org (Crossref)","title":"Necrotic pyknosis is a morphologically and biochemically distinct event from apoptotic pyknosis","URL":"https://journals.biologists.com/jcs/article/doi/10.1242/jcs.184374/260282/Necrotic-pyknosis-is-a-morphologically-and","author":[{"family":"Hou","given":"Lin"},{"family":"Liu","given":"Kai"},{"family":"Li","given":"Yuhong"},{"family":"Ma","given":"Shuang"},{"family":"Ji","given":"Xunming"},{"family":"Liu","given":"Lei"}],"accessed":{"date-parts":[["2021",8,1]]},"issued":{"date-parts":[["2016",1,1]]},"citation-key":"hou_necrotic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186</w:t>
      </w:r>
      <w:r w:rsidRPr="002A7128">
        <w:rPr>
          <w:rFonts w:ascii="Calibri" w:hAnsi="Calibri" w:cs="Calibri"/>
        </w:rPr>
        <w:fldChar w:fldCharType="end"/>
      </w:r>
      <w:r w:rsidRPr="002A7128">
        <w:rPr>
          <w:rFonts w:ascii="Calibri" w:hAnsi="Calibri" w:cs="Calibri"/>
        </w:rPr>
        <w:t>. Aggregation was visualized by labeling the positive charged [II] (KFFIIK) peptide with FITC (green fluorescent). We monitored the internalization and aggregation of KFFIIK through fluorescence microscopy.</w:t>
      </w:r>
    </w:p>
    <w:p w14:paraId="69A5D79E" w14:textId="1D89AAC1" w:rsidR="007F4BCC" w:rsidRPr="002A7128" w:rsidRDefault="000D3061" w:rsidP="00F675B4">
      <w:pPr>
        <w:spacing w:line="480" w:lineRule="auto"/>
        <w:jc w:val="both"/>
        <w:rPr>
          <w:rFonts w:ascii="Calibri" w:hAnsi="Calibri" w:cs="Calibri"/>
        </w:rPr>
      </w:pPr>
      <w:r w:rsidRPr="002A7128">
        <w:rPr>
          <w:rFonts w:ascii="Calibri" w:hAnsi="Calibri" w:cs="Calibri"/>
        </w:rPr>
        <w:t>KFFIIK alone was internalized into the cells starting at 1h (</w:t>
      </w:r>
      <w:r w:rsidRPr="002A7128">
        <w:rPr>
          <w:rFonts w:ascii="Calibri" w:hAnsi="Calibri" w:cs="Calibri"/>
          <w:b/>
          <w:bCs/>
        </w:rPr>
        <w:fldChar w:fldCharType="begin"/>
      </w:r>
      <w:r w:rsidRPr="002A7128">
        <w:rPr>
          <w:rFonts w:ascii="Calibri" w:hAnsi="Calibri" w:cs="Calibri"/>
          <w:b/>
          <w:bCs/>
        </w:rPr>
        <w:instrText xml:space="preserve"> REF _Ref103529427  \* MERGEFORMAT </w:instrText>
      </w:r>
      <w:r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9</w:t>
      </w:r>
      <w:r w:rsidRPr="002A7128">
        <w:rPr>
          <w:rFonts w:ascii="Calibri" w:hAnsi="Calibri" w:cs="Calibri"/>
          <w:b/>
          <w:bCs/>
        </w:rPr>
        <w:fldChar w:fldCharType="end"/>
      </w:r>
      <w:r w:rsidRPr="002A7128">
        <w:rPr>
          <w:rFonts w:ascii="Calibri" w:hAnsi="Calibri" w:cs="Calibri"/>
          <w:b/>
          <w:bCs/>
        </w:rPr>
        <w:t>E</w:t>
      </w:r>
      <w:r w:rsidRPr="002A7128">
        <w:rPr>
          <w:rFonts w:ascii="Calibri" w:hAnsi="Calibri" w:cs="Calibri"/>
        </w:rPr>
        <w:t>), and cellular morphology did not change over time as KFFIIK alone does not cause cell death. When KFFIIK was introduced with its negatively charged counterpart, EFFIIE, the peptide-aggregation (more localized green KFFIIK) was apparent around and within the cells starting at 3h (</w:t>
      </w:r>
      <w:r w:rsidRPr="002A7128">
        <w:rPr>
          <w:rFonts w:ascii="Calibri" w:hAnsi="Calibri" w:cs="Calibri"/>
          <w:b/>
          <w:bCs/>
        </w:rPr>
        <w:fldChar w:fldCharType="begin"/>
      </w:r>
      <w:r w:rsidRPr="002A7128">
        <w:rPr>
          <w:rFonts w:ascii="Calibri" w:hAnsi="Calibri" w:cs="Calibri"/>
          <w:b/>
          <w:bCs/>
        </w:rPr>
        <w:instrText xml:space="preserve"> REF _Ref103529427  \* MERGEFORMAT </w:instrText>
      </w:r>
      <w:r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9</w:t>
      </w:r>
      <w:r w:rsidRPr="002A7128">
        <w:rPr>
          <w:rFonts w:ascii="Calibri" w:hAnsi="Calibri" w:cs="Calibri"/>
          <w:b/>
          <w:bCs/>
        </w:rPr>
        <w:fldChar w:fldCharType="end"/>
      </w:r>
      <w:r w:rsidRPr="002A7128">
        <w:rPr>
          <w:rFonts w:ascii="Calibri" w:hAnsi="Calibri" w:cs="Calibri"/>
          <w:b/>
          <w:bCs/>
        </w:rPr>
        <w:t>F</w:t>
      </w:r>
      <w:r w:rsidRPr="002A7128">
        <w:rPr>
          <w:rFonts w:ascii="Calibri" w:hAnsi="Calibri" w:cs="Calibri"/>
        </w:rPr>
        <w:t>). The peptide-aggregation induced nuclear area shrinking and loss of integrity of the cells (observed through the absence of actin fibers), indicating [II] aggregation-induced cell membrane damage and death.</w:t>
      </w:r>
    </w:p>
    <w:p w14:paraId="1BD85CE2" w14:textId="56700119" w:rsidR="000D3061" w:rsidRPr="002A7128" w:rsidRDefault="000D3061" w:rsidP="00F675B4">
      <w:pPr>
        <w:spacing w:line="480" w:lineRule="auto"/>
        <w:jc w:val="both"/>
        <w:rPr>
          <w:rFonts w:ascii="Calibri" w:hAnsi="Calibri" w:cs="Calibri"/>
        </w:rPr>
      </w:pPr>
    </w:p>
    <w:p w14:paraId="626D11B7" w14:textId="77777777" w:rsidR="000D3061" w:rsidRPr="002A7128" w:rsidRDefault="000D3061"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464165EF" wp14:editId="58825D20">
            <wp:extent cx="5702300" cy="4229100"/>
            <wp:effectExtent l="0" t="0" r="0" b="0"/>
            <wp:docPr id="19" name="Picture 19" descr="Graphical user interfac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calenda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02300" cy="4229100"/>
                    </a:xfrm>
                    <a:prstGeom prst="rect">
                      <a:avLst/>
                    </a:prstGeom>
                  </pic:spPr>
                </pic:pic>
              </a:graphicData>
            </a:graphic>
          </wp:inline>
        </w:drawing>
      </w:r>
    </w:p>
    <w:p w14:paraId="21E7025C" w14:textId="7DA95B3E" w:rsidR="000D3061" w:rsidRPr="002A7128" w:rsidRDefault="000D3061" w:rsidP="00F675B4">
      <w:pPr>
        <w:pStyle w:val="Caption"/>
        <w:spacing w:line="480" w:lineRule="auto"/>
        <w:jc w:val="both"/>
        <w:rPr>
          <w:rFonts w:ascii="Calibri" w:hAnsi="Calibri" w:cs="Calibri"/>
          <w:i w:val="0"/>
          <w:iCs w:val="0"/>
          <w:color w:val="000000" w:themeColor="text1"/>
          <w:sz w:val="24"/>
          <w:szCs w:val="24"/>
        </w:rPr>
      </w:pPr>
      <w:bookmarkStart w:id="57" w:name="_Ref103529828"/>
      <w:bookmarkStart w:id="58" w:name="_Toc120789427"/>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9</w:t>
      </w:r>
      <w:r w:rsidRPr="002A7128">
        <w:rPr>
          <w:rFonts w:ascii="Calibri" w:hAnsi="Calibri" w:cs="Calibri"/>
          <w:b/>
          <w:bCs/>
          <w:i w:val="0"/>
          <w:iCs w:val="0"/>
          <w:color w:val="000000" w:themeColor="text1"/>
          <w:sz w:val="24"/>
          <w:szCs w:val="24"/>
        </w:rPr>
        <w:fldChar w:fldCharType="end"/>
      </w:r>
      <w:bookmarkEnd w:id="57"/>
      <w:r w:rsidRPr="002A7128">
        <w:rPr>
          <w:rFonts w:ascii="Calibri" w:hAnsi="Calibri" w:cs="Calibri"/>
          <w:b/>
          <w:bCs/>
          <w:i w:val="0"/>
          <w:iCs w:val="0"/>
          <w:color w:val="000000" w:themeColor="text1"/>
          <w:sz w:val="24"/>
          <w:szCs w:val="24"/>
        </w:rPr>
        <w:t xml:space="preserve"> Propidium iodide (PI) uptake analysis by using flow cytometry.</w:t>
      </w:r>
      <w:r w:rsidRPr="002A7128">
        <w:rPr>
          <w:rFonts w:ascii="Calibri" w:hAnsi="Calibri" w:cs="Calibri"/>
          <w:i w:val="0"/>
          <w:iCs w:val="0"/>
          <w:color w:val="000000" w:themeColor="text1"/>
          <w:sz w:val="24"/>
          <w:szCs w:val="24"/>
        </w:rPr>
        <w:t xml:space="preserve"> Representative histograms of untreated cells and cells treated with 0.25-0.5 and 1 mM [II] peptide for 6h (A). Percent (PI) positive cells at 6h.</w:t>
      </w:r>
      <w:bookmarkEnd w:id="58"/>
    </w:p>
    <w:p w14:paraId="64F4CACF" w14:textId="20BB02BD" w:rsidR="007F4BCC" w:rsidRPr="002A7128" w:rsidRDefault="002058A6" w:rsidP="00F675B4">
      <w:pPr>
        <w:spacing w:line="480" w:lineRule="auto"/>
        <w:jc w:val="both"/>
        <w:rPr>
          <w:rFonts w:ascii="Calibri" w:hAnsi="Calibri" w:cs="Calibri"/>
        </w:rPr>
      </w:pPr>
      <w:r w:rsidRPr="002A7128">
        <w:rPr>
          <w:rFonts w:ascii="Calibri" w:hAnsi="Calibri" w:cs="Calibri"/>
        </w:rPr>
        <w:t>Observing cell death beyond the desired area (i.e., off-site cytotoxicity) is a major obstacle for existing therapeutic applications. To estimate the off-site cytotoxicity of our approach, we incubated cells with 0.5 mM [II] for 1h or 2h, followed by the transfer of supernatant into another well with fresh cells, and measured viability after 6h (</w:t>
      </w:r>
      <w:r w:rsidRPr="002A7128">
        <w:rPr>
          <w:rFonts w:ascii="Calibri" w:hAnsi="Calibri" w:cs="Calibri"/>
          <w:b/>
          <w:bCs/>
        </w:rPr>
        <w:fldChar w:fldCharType="begin"/>
      </w:r>
      <w:r w:rsidRPr="002A7128">
        <w:rPr>
          <w:rFonts w:ascii="Calibri" w:hAnsi="Calibri" w:cs="Calibri"/>
          <w:b/>
          <w:bCs/>
        </w:rPr>
        <w:instrText xml:space="preserve"> REF _Ref103529427  \* MERGEFORMAT </w:instrText>
      </w:r>
      <w:r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9</w:t>
      </w:r>
      <w:r w:rsidRPr="002A7128">
        <w:rPr>
          <w:rFonts w:ascii="Calibri" w:hAnsi="Calibri" w:cs="Calibri"/>
          <w:b/>
          <w:bCs/>
        </w:rPr>
        <w:fldChar w:fldCharType="end"/>
      </w:r>
      <w:r w:rsidRPr="002A7128">
        <w:rPr>
          <w:rFonts w:ascii="Calibri" w:hAnsi="Calibri" w:cs="Calibri"/>
          <w:b/>
          <w:bCs/>
        </w:rPr>
        <w:t>G</w:t>
      </w:r>
      <w:r w:rsidRPr="002A7128">
        <w:rPr>
          <w:rFonts w:ascii="Calibri" w:hAnsi="Calibri" w:cs="Calibri"/>
        </w:rPr>
        <w:t>). We observed the membrane damage activity only in the initial sample after 2h (</w:t>
      </w:r>
      <w:r w:rsidRPr="002A7128">
        <w:rPr>
          <w:rFonts w:ascii="Calibri" w:hAnsi="Calibri" w:cs="Calibri"/>
          <w:b/>
          <w:bCs/>
        </w:rPr>
        <w:fldChar w:fldCharType="begin"/>
      </w:r>
      <w:r w:rsidRPr="002A7128">
        <w:rPr>
          <w:rFonts w:ascii="Calibri" w:hAnsi="Calibri" w:cs="Calibri"/>
          <w:b/>
          <w:bCs/>
        </w:rPr>
        <w:instrText xml:space="preserve"> REF _Ref103529427  \* MERGEFORMAT </w:instrText>
      </w:r>
      <w:r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9</w:t>
      </w:r>
      <w:r w:rsidRPr="002A7128">
        <w:rPr>
          <w:rFonts w:ascii="Calibri" w:hAnsi="Calibri" w:cs="Calibri"/>
          <w:b/>
          <w:bCs/>
        </w:rPr>
        <w:fldChar w:fldCharType="end"/>
      </w:r>
      <w:r w:rsidRPr="002A7128">
        <w:rPr>
          <w:rFonts w:ascii="Calibri" w:hAnsi="Calibri" w:cs="Calibri"/>
          <w:b/>
          <w:bCs/>
        </w:rPr>
        <w:t>H</w:t>
      </w:r>
      <w:r w:rsidRPr="002A7128">
        <w:rPr>
          <w:rFonts w:ascii="Calibri" w:hAnsi="Calibri" w:cs="Calibri"/>
        </w:rPr>
        <w:t xml:space="preserve">) suggesting that at this concentration, [II] does not induce cell membrane damage in 1h (in line with the viability results </w:t>
      </w:r>
      <w:r w:rsidRPr="002A7128">
        <w:rPr>
          <w:rFonts w:ascii="Calibri" w:hAnsi="Calibri" w:cs="Calibri"/>
          <w:b/>
          <w:bCs/>
        </w:rPr>
        <w:fldChar w:fldCharType="begin"/>
      </w:r>
      <w:r w:rsidRPr="002A7128">
        <w:rPr>
          <w:rFonts w:ascii="Calibri" w:hAnsi="Calibri" w:cs="Calibri"/>
          <w:b/>
          <w:bCs/>
        </w:rPr>
        <w:instrText xml:space="preserve"> REF _Ref103529427  \* MERGEFORMAT </w:instrText>
      </w:r>
      <w:r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9</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xml:space="preserve"> )Also, subsequent transfer of the supernatant of cells incubated with [II] for 1h did not </w:t>
      </w:r>
      <w:r w:rsidRPr="002A7128">
        <w:rPr>
          <w:rFonts w:ascii="Calibri" w:hAnsi="Calibri" w:cs="Calibri"/>
        </w:rPr>
        <w:lastRenderedPageBreak/>
        <w:t>induce cell membrane damage, possibly due to aggregation having started within the cells and thus insufficient [II] transfer to the next well.</w:t>
      </w:r>
    </w:p>
    <w:p w14:paraId="24FF40A6" w14:textId="1A11A6D4" w:rsidR="007F4BCC" w:rsidRPr="002A7128" w:rsidRDefault="007F4BCC" w:rsidP="00F675B4">
      <w:pPr>
        <w:spacing w:line="480" w:lineRule="auto"/>
        <w:rPr>
          <w:rFonts w:ascii="Calibri" w:hAnsi="Calibri" w:cs="Calibri"/>
        </w:rPr>
      </w:pPr>
    </w:p>
    <w:p w14:paraId="31AA98E0" w14:textId="77777777" w:rsidR="00797CB8" w:rsidRPr="002A7128" w:rsidRDefault="00797CB8" w:rsidP="00F675B4">
      <w:pPr>
        <w:keepNext/>
        <w:spacing w:line="480" w:lineRule="auto"/>
        <w:rPr>
          <w:rFonts w:ascii="Calibri" w:hAnsi="Calibri" w:cs="Calibri"/>
        </w:rPr>
      </w:pPr>
      <w:r w:rsidRPr="002A7128">
        <w:rPr>
          <w:rFonts w:ascii="Calibri" w:hAnsi="Calibri" w:cs="Calibri"/>
          <w:noProof/>
        </w:rPr>
        <w:drawing>
          <wp:inline distT="0" distB="0" distL="0" distR="0" wp14:anchorId="61A4A306" wp14:editId="7840CE41">
            <wp:extent cx="5943600" cy="1734185"/>
            <wp:effectExtent l="0" t="0" r="0" b="5715"/>
            <wp:docPr id="20" name="Picture 20"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 clock&#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734185"/>
                    </a:xfrm>
                    <a:prstGeom prst="rect">
                      <a:avLst/>
                    </a:prstGeom>
                  </pic:spPr>
                </pic:pic>
              </a:graphicData>
            </a:graphic>
          </wp:inline>
        </w:drawing>
      </w:r>
    </w:p>
    <w:p w14:paraId="27BF405A" w14:textId="2D2A2B63" w:rsidR="00797CB8" w:rsidRPr="002B27CA" w:rsidRDefault="00797CB8" w:rsidP="002B27CA">
      <w:pPr>
        <w:pStyle w:val="Caption"/>
        <w:spacing w:line="480" w:lineRule="auto"/>
        <w:rPr>
          <w:rFonts w:ascii="Calibri" w:hAnsi="Calibri" w:cs="Calibri"/>
          <w:i w:val="0"/>
          <w:iCs w:val="0"/>
          <w:color w:val="000000" w:themeColor="text1"/>
          <w:sz w:val="24"/>
          <w:szCs w:val="24"/>
        </w:rPr>
      </w:pPr>
      <w:bookmarkStart w:id="59" w:name="_Ref103529926"/>
      <w:bookmarkStart w:id="60" w:name="_Toc120789428"/>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10</w:t>
      </w:r>
      <w:r w:rsidRPr="002A7128">
        <w:rPr>
          <w:rFonts w:ascii="Calibri" w:hAnsi="Calibri" w:cs="Calibri"/>
          <w:b/>
          <w:bCs/>
          <w:i w:val="0"/>
          <w:iCs w:val="0"/>
          <w:color w:val="000000" w:themeColor="text1"/>
          <w:sz w:val="24"/>
          <w:szCs w:val="24"/>
        </w:rPr>
        <w:fldChar w:fldCharType="end"/>
      </w:r>
      <w:bookmarkEnd w:id="59"/>
      <w:r w:rsidRPr="002A7128">
        <w:rPr>
          <w:rFonts w:ascii="Calibri" w:hAnsi="Calibri" w:cs="Calibri"/>
          <w:b/>
          <w:bCs/>
          <w:i w:val="0"/>
          <w:iCs w:val="0"/>
          <w:color w:val="000000" w:themeColor="text1"/>
          <w:sz w:val="24"/>
          <w:szCs w:val="24"/>
        </w:rPr>
        <w:t xml:space="preserve"> </w:t>
      </w:r>
      <w:r w:rsidRPr="002A7128">
        <w:rPr>
          <w:rFonts w:ascii="Calibri" w:eastAsia="Times New Roman" w:hAnsi="Calibri" w:cs="Calibri"/>
          <w:i w:val="0"/>
          <w:iCs w:val="0"/>
          <w:color w:val="000000" w:themeColor="text1"/>
          <w:sz w:val="24"/>
          <w:szCs w:val="24"/>
        </w:rPr>
        <w:t xml:space="preserve">6h and 24h cell viability measurements of OVCAR-8 cells treated with 0.1, 0.2, 0.3, 0.4 and 0.5 mM [II] peptide. Statistical analysis was done by one-way analysis of variance (ANOVA) with Tukey’s multiple-comparison test. Data shown are mean </w:t>
      </w:r>
      <m:oMath>
        <m:r>
          <w:rPr>
            <w:rFonts w:ascii="Cambria Math" w:hAnsi="Cambria Math" w:cs="Calibri"/>
            <w:color w:val="000000" w:themeColor="text1"/>
            <w:sz w:val="24"/>
            <w:szCs w:val="24"/>
          </w:rPr>
          <m:t>±</m:t>
        </m:r>
      </m:oMath>
      <w:r w:rsidRPr="002A7128">
        <w:rPr>
          <w:rFonts w:ascii="Calibri" w:hAnsi="Calibri" w:cs="Calibri"/>
          <w:i w:val="0"/>
          <w:iCs w:val="0"/>
          <w:color w:val="000000" w:themeColor="text1"/>
          <w:sz w:val="24"/>
          <w:szCs w:val="24"/>
        </w:rPr>
        <w:t xml:space="preserve"> SD, ****p&lt;0.0001. n=3 replicates.</w:t>
      </w:r>
      <w:bookmarkEnd w:id="60"/>
    </w:p>
    <w:p w14:paraId="29B929B1" w14:textId="2651833D" w:rsidR="00654998" w:rsidRPr="002A7128" w:rsidRDefault="00654998">
      <w:pPr>
        <w:pStyle w:val="Heading2"/>
        <w:numPr>
          <w:ilvl w:val="2"/>
          <w:numId w:val="7"/>
        </w:numPr>
        <w:spacing w:line="480" w:lineRule="auto"/>
        <w:rPr>
          <w:rFonts w:ascii="Calibri" w:hAnsi="Calibri" w:cs="Calibri"/>
        </w:rPr>
      </w:pPr>
      <w:bookmarkStart w:id="61" w:name="_Toc120794140"/>
      <w:r w:rsidRPr="002A7128">
        <w:rPr>
          <w:rFonts w:ascii="Calibri" w:hAnsi="Calibri" w:cs="Calibri"/>
        </w:rPr>
        <w:t>[II] Aggregation-Induced Cell Death is Immunogenic</w:t>
      </w:r>
      <w:bookmarkEnd w:id="61"/>
    </w:p>
    <w:p w14:paraId="5A9D0666" w14:textId="0E1FD4DB" w:rsidR="00654998" w:rsidRPr="002A7128" w:rsidRDefault="00654998" w:rsidP="00F675B4">
      <w:pPr>
        <w:spacing w:line="480" w:lineRule="auto"/>
        <w:jc w:val="both"/>
        <w:rPr>
          <w:rFonts w:ascii="Calibri" w:hAnsi="Calibri" w:cs="Calibri"/>
        </w:rPr>
      </w:pPr>
      <w:r w:rsidRPr="002A7128">
        <w:rPr>
          <w:rFonts w:ascii="Calibri" w:hAnsi="Calibri" w:cs="Calibri"/>
        </w:rPr>
        <w:t>DAMP release through cell membrane rupture is a hallmark of ICD. We measured the release of lactate dehydrogenase (LDH), a cytoplasmic enzyme released into the extracellular matrix upon membrane damage</w:t>
      </w:r>
      <w:r w:rsidRPr="002A7128">
        <w:rPr>
          <w:rFonts w:ascii="Calibri" w:hAnsi="Calibri" w:cs="Calibri"/>
        </w:rPr>
        <w:fldChar w:fldCharType="begin"/>
      </w:r>
      <w:r w:rsidR="00A64B61" w:rsidRPr="002A7128">
        <w:rPr>
          <w:rFonts w:ascii="Calibri" w:hAnsi="Calibri" w:cs="Calibri"/>
        </w:rPr>
        <w:instrText xml:space="preserve"> ADDIN ZOTERO_ITEM CSL_CITATION {"citationID":"a1m1fnmodgo","properties":{"formattedCitation":"\\super 187\\nosupersub{}","plainCitation":"187","noteIndex":0},"citationItems":[{"id":6955,"uris":["http://zotero.org/groups/2667333/items/G6FHFX5J"],"itemData":{"id":6955,"type":"article-journal","container-title":"Cold Spring Harbor Protocols","DOI":"10.1101/pdb.prot095497","ISSN":"1940-3402, 1559-6095","issue":"6","journalAbbreviation":"Cold Spring Harb Protoc","language":"en","page":"pdb.prot095497","source":"DOI.org (Crossref)","title":"Analysis of Cell Viability by the Lactate Dehydrogenase Assay","URL":"http://www.cshprotocols.org/lookup/doi/10.1101/pdb.prot095497","volume":"2018","author":[{"family":"Kumar","given":"Priti"},{"family":"Nagarajan","given":"Arvindhan"},{"family":"Uchil","given":"Pradeep D."}],"accessed":{"date-parts":[["2021",8,4]]},"issued":{"date-parts":[["2018",6]]},"citation-key":"kumar_analysis_2018"}}],"schema":"https://github.com/citation-style-language/schema/raw/master/csl-citation.json"}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187</w:t>
      </w:r>
      <w:r w:rsidRPr="002A7128">
        <w:rPr>
          <w:rFonts w:ascii="Calibri" w:hAnsi="Calibri" w:cs="Calibri"/>
        </w:rPr>
        <w:fldChar w:fldCharType="end"/>
      </w:r>
      <w:r w:rsidRPr="002A7128">
        <w:rPr>
          <w:rFonts w:ascii="Calibri" w:hAnsi="Calibri" w:cs="Calibri"/>
        </w:rPr>
        <w:t>. LDH release became significant 3h after incubation with [II] (</w:t>
      </w:r>
      <w:r w:rsidRPr="002A7128">
        <w:rPr>
          <w:rFonts w:ascii="Calibri" w:hAnsi="Calibri" w:cs="Calibri"/>
          <w:b/>
          <w:bCs/>
        </w:rPr>
        <w:fldChar w:fldCharType="begin"/>
      </w:r>
      <w:r w:rsidRPr="002A7128">
        <w:rPr>
          <w:rFonts w:ascii="Calibri" w:hAnsi="Calibri" w:cs="Calibri"/>
          <w:b/>
          <w:bCs/>
        </w:rPr>
        <w:instrText xml:space="preserve"> REF _Ref103530404 </w:instrText>
      </w:r>
      <w:r w:rsidR="004E2D15" w:rsidRPr="002A7128">
        <w:rPr>
          <w:rFonts w:ascii="Calibri" w:hAnsi="Calibri" w:cs="Calibri"/>
          <w:b/>
          <w:bCs/>
        </w:rPr>
        <w:instrText xml:space="preserve">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12</w:t>
      </w:r>
      <w:r w:rsidRPr="002A7128">
        <w:rPr>
          <w:rFonts w:ascii="Calibri" w:hAnsi="Calibri" w:cs="Calibri"/>
          <w:b/>
          <w:bCs/>
        </w:rPr>
        <w:fldChar w:fldCharType="end"/>
      </w:r>
      <w:r w:rsidRPr="002A7128">
        <w:rPr>
          <w:rFonts w:ascii="Calibri" w:hAnsi="Calibri" w:cs="Calibri"/>
          <w:b/>
          <w:bCs/>
        </w:rPr>
        <w:t>A</w:t>
      </w:r>
      <w:r w:rsidRPr="002A7128">
        <w:rPr>
          <w:rFonts w:ascii="Calibri" w:hAnsi="Calibri" w:cs="Calibri"/>
        </w:rPr>
        <w:t>)</w:t>
      </w:r>
      <w:r w:rsidR="004E2D15" w:rsidRPr="002A7128">
        <w:rPr>
          <w:rFonts w:ascii="Calibri" w:hAnsi="Calibri" w:cs="Calibri"/>
        </w:rPr>
        <w:t xml:space="preserve"> </w:t>
      </w:r>
      <w:r w:rsidRPr="002A7128">
        <w:rPr>
          <w:rFonts w:ascii="Calibri" w:hAnsi="Calibri" w:cs="Calibri"/>
        </w:rPr>
        <w:t>in agreement with the reduction of cell viability (</w:t>
      </w:r>
      <w:r w:rsidRPr="002A7128">
        <w:rPr>
          <w:rFonts w:ascii="Calibri" w:hAnsi="Calibri" w:cs="Calibri"/>
          <w:b/>
          <w:bCs/>
        </w:rPr>
        <w:fldChar w:fldCharType="begin"/>
      </w:r>
      <w:r w:rsidRPr="002A7128">
        <w:rPr>
          <w:rFonts w:ascii="Calibri" w:hAnsi="Calibri" w:cs="Calibri"/>
          <w:b/>
          <w:bCs/>
        </w:rPr>
        <w:instrText xml:space="preserve"> REF _Ref103530404 </w:instrText>
      </w:r>
      <w:r w:rsidR="004E2D15" w:rsidRPr="002A7128">
        <w:rPr>
          <w:rFonts w:ascii="Calibri" w:hAnsi="Calibri" w:cs="Calibri"/>
          <w:b/>
          <w:bCs/>
        </w:rPr>
        <w:instrText xml:space="preserve"> \* MERGEFORMAT </w:instrText>
      </w:r>
      <w:r w:rsidRPr="002A7128">
        <w:rPr>
          <w:rFonts w:ascii="Calibri" w:hAnsi="Calibri" w:cs="Calibri"/>
          <w:b/>
          <w:bCs/>
        </w:rPr>
        <w:fldChar w:fldCharType="separate"/>
      </w:r>
      <w:r w:rsidR="00A64B61" w:rsidRPr="002A7128">
        <w:rPr>
          <w:rFonts w:ascii="Calibri" w:hAnsi="Calibri" w:cs="Calibri"/>
          <w:b/>
          <w:bCs/>
          <w:color w:val="000000" w:themeColor="text1"/>
        </w:rPr>
        <w:t xml:space="preserve">Figure </w:t>
      </w:r>
      <w:r w:rsidR="00A64B61" w:rsidRPr="002A7128">
        <w:rPr>
          <w:rFonts w:ascii="Calibri" w:hAnsi="Calibri" w:cs="Calibri"/>
          <w:b/>
          <w:bCs/>
          <w:noProof/>
          <w:color w:val="000000" w:themeColor="text1"/>
        </w:rPr>
        <w:t>12</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As expected, significant DAMP release followed the cell membrane damage, such as the presence of extracellular ATP (****p&lt;0.0001) after 3h (</w:t>
      </w:r>
      <w:r w:rsidRPr="002A7128">
        <w:rPr>
          <w:rFonts w:ascii="Calibri" w:hAnsi="Calibri" w:cs="Calibri"/>
          <w:b/>
          <w:bCs/>
        </w:rPr>
        <w:fldChar w:fldCharType="begin"/>
      </w:r>
      <w:r w:rsidRPr="002A7128">
        <w:rPr>
          <w:rFonts w:ascii="Calibri" w:hAnsi="Calibri" w:cs="Calibri"/>
          <w:b/>
          <w:bCs/>
        </w:rPr>
        <w:instrText xml:space="preserve"> REF _Ref103530404 </w:instrText>
      </w:r>
      <w:r w:rsidR="004E2D15" w:rsidRPr="002A7128">
        <w:rPr>
          <w:rFonts w:ascii="Calibri" w:hAnsi="Calibri" w:cs="Calibri"/>
          <w:b/>
          <w:bCs/>
        </w:rPr>
        <w:instrText xml:space="preserve"> \* MERGEFORMAT </w:instrText>
      </w:r>
      <w:r w:rsidRPr="002A7128">
        <w:rPr>
          <w:rFonts w:ascii="Calibri" w:hAnsi="Calibri" w:cs="Calibri"/>
          <w:b/>
          <w:bCs/>
        </w:rPr>
        <w:fldChar w:fldCharType="separate"/>
      </w:r>
      <w:r w:rsidR="00A64B61" w:rsidRPr="002A7128">
        <w:rPr>
          <w:rFonts w:ascii="Calibri" w:hAnsi="Calibri" w:cs="Calibri"/>
          <w:b/>
          <w:bCs/>
          <w:color w:val="000000" w:themeColor="text1"/>
        </w:rPr>
        <w:t xml:space="preserve">Figure </w:t>
      </w:r>
      <w:r w:rsidR="00A64B61" w:rsidRPr="002A7128">
        <w:rPr>
          <w:rFonts w:ascii="Calibri" w:hAnsi="Calibri" w:cs="Calibri"/>
          <w:b/>
          <w:bCs/>
          <w:noProof/>
          <w:color w:val="000000" w:themeColor="text1"/>
        </w:rPr>
        <w:t>12</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correlated to the LDH release data. However, the amount of extracellular ATP is depleted in 6h due to cell death &gt; 85% (i.e., few live cells remain to release ATP upon ICD) and rapid extracellular hydrolysis of ATP</w:t>
      </w:r>
      <w:r w:rsidRPr="002A7128">
        <w:rPr>
          <w:rFonts w:ascii="Calibri" w:hAnsi="Calibri" w:cs="Calibri"/>
        </w:rPr>
        <w:fldChar w:fldCharType="begin"/>
      </w:r>
      <w:r w:rsidR="00A64B61" w:rsidRPr="002A7128">
        <w:rPr>
          <w:rFonts w:ascii="Calibri" w:hAnsi="Calibri" w:cs="Calibri"/>
        </w:rPr>
        <w:instrText xml:space="preserve"> ADDIN ZOTERO_ITEM CSL_CITATION {"citationID":"a2l92hnlj4s","properties":{"formattedCitation":"\\super 188\\nosupersub{}","plainCitation":"188","noteIndex":0},"citationItems":[{"id":7129,"uris":["http://zotero.org/groups/2667333/items/GLU9KWLR"],"itemData":{"id":7129,"type":"article-journal","container-title":"Life Sciences","DOI":"10.1016/0024-3205(95)02004-3","ISSN":"00243205","issue":"8","journalAbbreviation":"Life Sciences","language":"en","page":"763-771","source":"DOI.org (Crossref)","title":"Inhibition of extracellular ATP degradation in endothelial cells","URL":"https://linkinghub.elsevier.com/retrieve/pii/0024320595020043","volume":"57","author":[{"family":"Meghji","given":"Parviz"},{"family":"Burnstock","given":"Geoffrey"}],"accessed":{"date-parts":[["2021",8,18]]},"issued":{"date-parts":[["1995",7]]},"citation-key":"meghji_inhibition_1995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188</w:t>
      </w:r>
      <w:r w:rsidRPr="002A7128">
        <w:rPr>
          <w:rFonts w:ascii="Calibri" w:hAnsi="Calibri" w:cs="Calibri"/>
        </w:rPr>
        <w:fldChar w:fldCharType="end"/>
      </w:r>
      <w:r w:rsidRPr="002A7128">
        <w:rPr>
          <w:rFonts w:ascii="Calibri" w:hAnsi="Calibri" w:cs="Calibri"/>
        </w:rPr>
        <w:t xml:space="preserve">. Similarly, the release of other DAMPs (specifically HMGB-1 and HSP90) was also detected in the extracellular environment of [II] </w:t>
      </w:r>
      <w:r w:rsidRPr="002A7128">
        <w:rPr>
          <w:rFonts w:ascii="Calibri" w:hAnsi="Calibri" w:cs="Calibri"/>
        </w:rPr>
        <w:lastRenderedPageBreak/>
        <w:t>treated cells at 6h via western blotting (</w:t>
      </w:r>
      <w:r w:rsidR="004E2D15" w:rsidRPr="002A7128">
        <w:rPr>
          <w:rFonts w:ascii="Calibri" w:hAnsi="Calibri" w:cs="Calibri"/>
          <w:b/>
          <w:bCs/>
        </w:rPr>
        <w:fldChar w:fldCharType="begin"/>
      </w:r>
      <w:r w:rsidR="004E2D15" w:rsidRPr="002A7128">
        <w:rPr>
          <w:rFonts w:ascii="Calibri" w:hAnsi="Calibri" w:cs="Calibri"/>
          <w:b/>
          <w:bCs/>
        </w:rPr>
        <w:instrText xml:space="preserve"> REF _Ref103530404  \* MERGEFORMAT </w:instrText>
      </w:r>
      <w:r w:rsidR="004E2D15" w:rsidRPr="002A7128">
        <w:rPr>
          <w:rFonts w:ascii="Calibri" w:hAnsi="Calibri" w:cs="Calibri"/>
          <w:b/>
          <w:bCs/>
        </w:rPr>
        <w:fldChar w:fldCharType="separate"/>
      </w:r>
      <w:r w:rsidR="00A64B61" w:rsidRPr="002A7128">
        <w:rPr>
          <w:rFonts w:ascii="Calibri" w:hAnsi="Calibri" w:cs="Calibri"/>
          <w:b/>
          <w:bCs/>
          <w:color w:val="000000" w:themeColor="text1"/>
        </w:rPr>
        <w:t xml:space="preserve">Figure </w:t>
      </w:r>
      <w:r w:rsidR="00A64B61" w:rsidRPr="002A7128">
        <w:rPr>
          <w:rFonts w:ascii="Calibri" w:hAnsi="Calibri" w:cs="Calibri"/>
          <w:b/>
          <w:bCs/>
          <w:noProof/>
          <w:color w:val="000000" w:themeColor="text1"/>
        </w:rPr>
        <w:t>12</w:t>
      </w:r>
      <w:r w:rsidR="004E2D15" w:rsidRPr="002A7128">
        <w:rPr>
          <w:rFonts w:ascii="Calibri" w:hAnsi="Calibri" w:cs="Calibri"/>
          <w:b/>
          <w:bCs/>
        </w:rPr>
        <w:fldChar w:fldCharType="end"/>
      </w:r>
      <w:r w:rsidR="004E2D15" w:rsidRPr="002A7128">
        <w:rPr>
          <w:rFonts w:ascii="Calibri" w:hAnsi="Calibri" w:cs="Calibri"/>
          <w:b/>
          <w:bCs/>
        </w:rPr>
        <w:t>C</w:t>
      </w:r>
      <w:r w:rsidRPr="002A7128">
        <w:rPr>
          <w:rFonts w:ascii="Calibri" w:hAnsi="Calibri" w:cs="Calibri"/>
        </w:rPr>
        <w:t>). Our DAMP release profile results highlight that the observed cell death is immunogenic and induced by [II] peptide pair aggregation. In other words, peptide-aggregation induced immune rupture (PAIIR) is demonstrated with the [II] pair.</w:t>
      </w:r>
    </w:p>
    <w:p w14:paraId="4E7CABEA" w14:textId="77777777" w:rsidR="00654998" w:rsidRPr="002A7128" w:rsidRDefault="00654998"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5164B122" wp14:editId="5532A413">
            <wp:extent cx="5943600" cy="8169275"/>
            <wp:effectExtent l="0" t="0" r="0" b="0"/>
            <wp:docPr id="21" name="Picture 2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8169275"/>
                    </a:xfrm>
                    <a:prstGeom prst="rect">
                      <a:avLst/>
                    </a:prstGeom>
                  </pic:spPr>
                </pic:pic>
              </a:graphicData>
            </a:graphic>
          </wp:inline>
        </w:drawing>
      </w:r>
    </w:p>
    <w:p w14:paraId="3E6529DB" w14:textId="0C0E81F0" w:rsidR="00654998" w:rsidRPr="002A7128" w:rsidRDefault="00654998" w:rsidP="002A45FA">
      <w:pPr>
        <w:pStyle w:val="Caption"/>
        <w:spacing w:line="480" w:lineRule="auto"/>
        <w:jc w:val="both"/>
        <w:rPr>
          <w:rFonts w:ascii="Calibri" w:hAnsi="Calibri" w:cs="Calibri"/>
          <w:i w:val="0"/>
          <w:iCs w:val="0"/>
          <w:color w:val="000000" w:themeColor="text1"/>
          <w:sz w:val="24"/>
          <w:szCs w:val="24"/>
        </w:rPr>
      </w:pPr>
      <w:bookmarkStart w:id="62" w:name="_Ref103530404"/>
      <w:bookmarkStart w:id="63" w:name="_Toc120789429"/>
      <w:r w:rsidRPr="002A7128">
        <w:rPr>
          <w:rFonts w:ascii="Calibri" w:hAnsi="Calibri" w:cs="Calibri"/>
          <w:b/>
          <w:bCs/>
          <w:i w:val="0"/>
          <w:iCs w:val="0"/>
          <w:color w:val="000000" w:themeColor="text1"/>
          <w:sz w:val="24"/>
          <w:szCs w:val="24"/>
        </w:rPr>
        <w:lastRenderedPageBreak/>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11</w:t>
      </w:r>
      <w:r w:rsidRPr="002A7128">
        <w:rPr>
          <w:rFonts w:ascii="Calibri" w:hAnsi="Calibri" w:cs="Calibri"/>
          <w:b/>
          <w:bCs/>
          <w:i w:val="0"/>
          <w:iCs w:val="0"/>
          <w:color w:val="000000" w:themeColor="text1"/>
          <w:sz w:val="24"/>
          <w:szCs w:val="24"/>
        </w:rPr>
        <w:fldChar w:fldCharType="end"/>
      </w:r>
      <w:bookmarkEnd w:id="62"/>
      <w:r w:rsidRPr="002A7128">
        <w:rPr>
          <w:rFonts w:ascii="Calibri" w:hAnsi="Calibri" w:cs="Calibri"/>
          <w:b/>
          <w:bCs/>
          <w:i w:val="0"/>
          <w:iCs w:val="0"/>
          <w:color w:val="000000" w:themeColor="text1"/>
          <w:sz w:val="24"/>
          <w:szCs w:val="24"/>
        </w:rPr>
        <w:t xml:space="preserve"> [II] induces DAMP release and secondary pyroptosis.</w:t>
      </w:r>
      <w:r w:rsidRPr="002A7128">
        <w:rPr>
          <w:rFonts w:ascii="Calibri" w:hAnsi="Calibri" w:cs="Calibri"/>
          <w:i w:val="0"/>
          <w:iCs w:val="0"/>
          <w:color w:val="000000" w:themeColor="text1"/>
          <w:sz w:val="24"/>
          <w:szCs w:val="24"/>
        </w:rPr>
        <w:t xml:space="preserve"> (A) Time-dependent LDH release. (B) Time-dependent extracellular ATP release. (C) Western blot analysis of HMGB-1 and HSP90 release at 6h. (D) Caspase-3 cleavage after treatment with Cisplatin, F/T, heat treatment and 1-2-3 and 6h of [II] treatment. (E) Phase-contrast images of control and [II] treated OVCAR-8 cells at 6h, yellow arrows indicate bubbles emerging from pyroptotic cells. (F) Caspase-3 and GSDME cleavage of OVCAR-8 cells with and without treatment with [II]. (G) Time-dependent cytochrome c release into the cytoplasm from OVCAR-8 cells. The scale bar is 100 </w:t>
      </w:r>
      <w:r w:rsidRPr="002A7128">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m. (H) Schematic illustration of the phagocytosis assay. (I) Phagocytosis of OVCAR-8 cells by THP-1 differentiated macrophages after 6h of [II] and control treatment. Data are representative of at least three experiments. Statistical analysis via one-way ANOVA test, data are mean ± SD, ****p&lt;0.0001.</w:t>
      </w:r>
      <w:bookmarkEnd w:id="63"/>
    </w:p>
    <w:p w14:paraId="51D62DD9" w14:textId="537DEA15" w:rsidR="004E2D15" w:rsidRPr="002A7128" w:rsidRDefault="004E2D15" w:rsidP="00F675B4">
      <w:pPr>
        <w:spacing w:line="480" w:lineRule="auto"/>
        <w:jc w:val="both"/>
        <w:rPr>
          <w:rFonts w:ascii="Calibri" w:hAnsi="Calibri" w:cs="Calibri"/>
        </w:rPr>
      </w:pPr>
      <w:r w:rsidRPr="002A7128">
        <w:rPr>
          <w:rFonts w:ascii="Calibri" w:hAnsi="Calibri" w:cs="Calibri"/>
        </w:rPr>
        <w:t>Regulated cell death via an inducer is concentration and time-dependent and therefore controllable. On the other hand, unregulated cell death cannot be controlled to the same extent as it mainly results from mechanical forces or temperature. The unregulated cell death releases an instantaneous burst of DAMPs, while the DAMP release from regulated cell death is prolonged. Therefore, regulated ICD is desired for a controlled immune response. Regulated necrotic cell deaths are caspase-dependent</w:t>
      </w:r>
      <w:r w:rsidRPr="002A7128">
        <w:rPr>
          <w:rFonts w:ascii="Calibri" w:hAnsi="Calibri" w:cs="Calibri"/>
        </w:rPr>
        <w:fldChar w:fldCharType="begin"/>
      </w:r>
      <w:r w:rsidR="00317E7D" w:rsidRPr="002A7128">
        <w:rPr>
          <w:rFonts w:ascii="Calibri" w:hAnsi="Calibri" w:cs="Calibri"/>
        </w:rPr>
        <w:instrText xml:space="preserve"> ADDIN ZOTERO_ITEM CSL_CITATION {"citationID":"a1u40frou3b","properties":{"formattedCitation":"\\super 14,189\\nosupersub{}","plainCitation":"14,189","noteIndex":0},"citationItems":[{"id":1070,"uris":["http://zotero.org/groups/2667333/items/USDQ834X"],"itemData":{"id":1070,"type":"article-journal","abstract":"Over the past decade, the Nomenclature Committee on Cell Death (NCCD) has formulated guidelines for the deﬁnition and interpretation of cell death from morphological, biochemical, and functional perspectives. Since the ﬁeld continues to expand and novel mechanisms that orchestrate multiple cell death pathways are unveiled, we propose an updated classiﬁcation of cell death subroutines focusing on mechanistic and essential (as opposed to correlative and dispensable) aspects of the process. As we provide molecularly oriented deﬁnitions of terms including intrinsic apoptosis, extrinsic apoptosis, mitochondrial permeability transition (MPT)-driven necrosis, necroptosis, ferroptosis, pyroptosis, parthanatos, entotic cell death, NETotic cell death, lysosome-dependent cell death, autophagy-dependent cell death, immunogenic cell death, cellular senescence, and mitotic catastrophe, we discuss the utility of neologisms that refer to highly specialized instances of these processes. The mission of the NCCD is to provide a widely accepted nomenclature on cell death in support of the continued development of the ﬁeld.","container-title":"Cell Death &amp; Differentiation","DOI":"10.1038/s41418-017-0012-4","ISSN":"1350-9047, 1476-5403","issue":"3","journalAbbreviation":"Cell Death Differ","language":"en","note":"ZSCC: NoCitationData[s0]","page":"486-541","source":"DOI.org (Crossref)","title":"Molecular mechanisms of cell death: recommendations of the Nomenclature Committee on Cell Death 2018","title-short":"Molecular mechanisms of cell death","URL":"http://www.nature.com/articles/s41418-017-0012-4","volume":"25","author":[{"family":"Galluzzi","given":"Lorenzo"},{"family":"Vitale","given":"Ilio"},{"family":"Aaronson","given":"Stuart A."},{"family":"Abrams","given":"John M."},{"family":"Adam","given":"Dieter"},{"family":"Agostinis","given":"Patrizia"},{"family":"Alnemri","given":"Emad S."},{"family":"Altucci","given":"Lucia"},{"family":"Amelio","given":"Ivano"},{"family":"Andrews","given":"David W."},{"family":"Annicchiarico-Petruzzelli","given":"Margherita"},{"family":"Antonov","given":"Alexey V."},{"family":"Arama","given":"Eli"},{"family":"Baehrecke","given":"Eric H."},{"family":"Barlev","given":"Nickolai A."},{"family":"Bazan","given":"Nicolas G."},{"family":"Bernassola","given":"Francesca"},{"family":"Bertrand","given":"Mathieu J. M."},{"family":"Bianchi","given":"Katiuscia"},{"family":"Blagosklonny","given":"Mikhail V."},{"family":"Blomgren","given":"Klas"},{"family":"Borner","given":"Christoph"},{"family":"Boya","given":"Patricia"},{"family":"Brenner","given":"Catherine"},{"family":"Campanella","given":"Michelangelo"},{"family":"Candi","given":"Eleonora"},{"family":"Carmona-Gutierrez","given":"Didac"},{"family":"Cecconi","given":"Francesco"},{"family":"Chan","given":"Francis K.-M."},{"family":"Chandel","given":"Navdeep S."},{"family":"Cheng","given":"Emily H."},{"family":"Chipuk","given":"Jerry E."},{"family":"Cidlowski","given":"John A."},{"family":"Ciechanover","given":"Aaron"},{"family":"Cohen","given":"Gerald M."},{"family":"Conrad","given":"Marcus"},{"family":"Cubillos-Ruiz","given":"Juan R."},{"family":"Czabotar","given":"Peter E."},{"family":"D’Angiolella","given":"Vincenzo"},{"family":"Dawson","given":"Ted M."},{"family":"Dawson","given":"Valina L."},{"family":"De Laurenzi","given":"Vincenzo"},{"family":"De Maria","given":"Ruggero"},{"family":"Debatin","given":"Klaus-Michael"},{"family":"DeBerardinis","given":"Ralph J."},{"family":"Deshmukh","given":"Mohanish"},{"family":"Di Daniele","given":"Nicola"},{"family":"Di Virgilio","given":"Francesco"},{"family":"Dixit","given":"Vishva M."},{"family":"Dixon","given":"Scott J."},{"family":"Duckett","given":"Colin S."},{"family":"Dynlacht","given":"Brian D."},{"family":"El-Deiry","given":"Wafik S."},{"family":"Elrod","given":"John W."},{"family":"Fimia","given":"Gian Maria"},{"family":"Fulda","given":"Simone"},{"family":"García-Sáez","given":"Ana J."},{"family":"Garg","given":"Abhishek D."},{"family":"Garrido","given":"Carmen"},{"family":"Gavathiotis","given":"Evripidis"},{"family":"Golstein","given":"Pierre"},{"family":"Gottlieb","given":"Eyal"},{"family":"Green","given":"Douglas R."},{"family":"Greene","given":"Lloyd A."},{"family":"Gronemeyer","given":"Hinrich"},{"family":"Gross","given":"Atan"},{"family":"Hajnoczky","given":"Gyorgy"},{"family":"Hardwick","given":"J. Marie"},{"family":"Harris","given":"Isaac S."},{"family":"Hengartner","given":"Michael O."},{"family":"Hetz","given":"Claudio"},{"family":"Ichijo","given":"Hidenori"},{"family":"Jäättelä","given":"Marja"},{"family":"Joseph","given":"Bertrand"},{"family":"Jost","given":"Philipp J."},{"family":"Juin","given":"Philippe P."},{"family":"Kaiser","given":"William J."},{"family":"Karin","given":"Michael"},{"family":"Kaufmann","given":"Thomas"},{"family":"Kepp","given":"Oliver"},{"family":"Kimchi","given":"Adi"},{"family":"Kitsis","given":"Richard N."},{"family":"Klionsky","given":"Daniel J."},{"family":"Knight","given":"Richard A."},{"family":"Kumar","given":"Sharad"},{"family":"Lee","given":"Sam W."},{"family":"Lemasters","given":"John J."},{"family":"Levine","given":"Beth"},{"family":"Linkermann","given":"Andreas"},{"family":"Lipton","given":"Stuart A."},{"family":"Lockshin","given":"Richard A."},{"family":"López-Otín","given":"Carlos"},{"family":"Lowe","given":"Scott W."},{"family":"Luedde","given":"Tom"},{"family":"Lugli","given":"Enrico"},{"family":"MacFarlane","given":"Marion"},{"family":"Madeo","given":"Frank"},{"family":"Malewicz","given":"Michal"},{"family":"Malorni","given":"Walter"},{"family":"Manic","given":"Gwenola"},{"family":"Marine","given":"Jean-Christophe"},{"family":"Martin","given":"Seamus J."},{"family":"Martinou","given":"Jean-Claude"},{"family":"Medema","given":"Jan Paul"},{"family":"Mehlen","given":"Patrick"},{"family":"Meier","given":"Pascal"},{"family":"Melino","given":"Sonia"},{"family":"Miao","given":"Edward A."},{"family":"Molkentin","given":"Jeffery D."},{"family":"Moll","given":"Ute M."},{"family":"Muñoz-Pinedo","given":"Cristina"},{"family":"Nagata","given":"Shigekazu"},{"family":"Nuñez","given":"Gabriel"},{"family":"Oberst","given":"Andrew"},{"family":"Oren","given":"Moshe"},{"family":"Overholtzer","given":"Michael"},{"family":"Pagano","given":"Michele"},{"family":"Panaretakis","given":"Theocharis"},{"family":"Pasparakis","given":"Manolis"},{"family":"Penninger","given":"Josef M."},{"family":"Pereira","given":"David M."},{"family":"Pervaiz","given":"Shazib"},{"family":"Peter","given":"Marcus E."},{"family":"Piacentini","given":"Mauro"},{"family":"Pinton","given":"Paolo"},{"family":"Prehn","given":"Jochen H.M."},{"family":"Puthalakath","given":"Hamsa"},{"family":"Rabinovich","given":"Gabriel A."},{"family":"Rehm","given":"Markus"},{"family":"Rizzuto","given":"Rosario"},{"family":"Rodrigues","given":"Cecilia M.P."},{"family":"Rubinsztein","given":"David C."},{"family":"Rudel","given":"Thomas"},{"family":"Ryan","given":"Kevin M."},{"family":"Sayan","given":"Emre"},{"family":"Scorrano","given":"Luca"},{"family":"Shao","given":"Feng"},{"family":"Shi","given":"Yufang"},{"family":"Silke","given":"John"},{"family":"Simon","given":"Hans-Uwe"},{"family":"Sistigu","given":"Antonella"},{"family":"Stockwell","given":"Brent R."},{"family":"Strasser","given":"Andreas"},{"family":"Szabadkai","given":"Gyorgy"},{"family":"Tait","given":"Stephen W.G."},{"family":"Tang","given":"Daolin"},{"family":"Tavernarakis","given":"Nektarios"},{"family":"Thorburn","given":"Andrew"},{"family":"Tsujimoto","given":"Yoshihide"},{"family":"Turk","given":"Boris"},{"family":"Vanden Berghe","given":"Tom"},{"family":"Vandenabeele","given":"Peter"},{"family":"Vander Heiden","given":"Matthew G."},{"family":"Villunger","given":"Andreas"},{"family":"Virgin","given":"Herbert W."},{"family":"Vousden","given":"Karen H."},{"family":"Vucic","given":"Domagoj"},{"family":"Wagner","given":"Erwin F."},{"family":"Walczak","given":"Henning"},{"family":"Wallach","given":"David"},{"family":"Wang","given":"Ying"},{"family":"Wells","given":"James A."},{"family":"Wood","given":"Will"},{"family":"Yuan","given":"Junying"},{"family":"Zakeri","given":"Zahra"},{"family":"Zhivotovsky","given":"Boris"},{"family":"Zitvogel","given":"Laurence"},{"family":"Melino","given":"Gerry"},{"family":"Kroemer","given":"Guido"}],"accessed":{"date-parts":[["2020",7,18]]},"issued":{"date-parts":[["2018",3]]},"citation-key":"galluzzi_molecular_2018"}},{"id":1557,"uris":["http://zotero.org/groups/2667333/items/9NJXXZ3M"],"itemData":{"id":1557,"type":"article-journal","abstract":"Cells may die from accidental cell death (ACD) or regulated cell death (RCD). ACD is a biologically uncontrolled process, whereas RCD involves tightly structured signaling cascades and molecularly defined effector mechanisms. A growing number of novel non-apoptotic forms of RCD have been identified and are increasingly being implicated in various human pathologies. Here, we critically review the current state of the art regarding non-apoptotic types of RCD, including necroptosis, pyroptosis, ferroptosis, entotic cell death, netotic cell death, parthanatos, lysosome-dependent cell death, autophagy-dependent cell death, alkaliptosis and oxeiptosis. The in-depth comprehension of each of these lethal subroutines and their intercellular consequences may uncover novel therapeutic targets for the avoidance of pathogenic cell loss.","container-title":"Cell Research","DOI":"10.1038/s41422-019-0164-5","ISSN":"1748-7838","issue":"5","journalAbbreviation":"Cell Res","language":"en","license":"2019 The Author(s)","page":"347-364","source":"www.nature.com","title":"The molecular machinery of regulated cell death","URL":"https://www.nature.com/articles/s41422-019-0164-5","volume":"29","author":[{"family":"Tang","given":"Daolin"},{"family":"Kang","given":"Rui"},{"family":"Berghe","given":"Tom Vanden"},{"family":"Vandenabeele","given":"Peter"},{"family":"Kroemer","given":"Guido"}],"accessed":{"date-parts":[["2019",8,10]]},"issued":{"date-parts":[["2019",5]]},"citation-key":"tang_molecular_2019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14,189</w:t>
      </w:r>
      <w:r w:rsidRPr="002A7128">
        <w:rPr>
          <w:rFonts w:ascii="Calibri" w:hAnsi="Calibri" w:cs="Calibri"/>
        </w:rPr>
        <w:fldChar w:fldCharType="end"/>
      </w:r>
      <w:r w:rsidRPr="002A7128">
        <w:rPr>
          <w:rFonts w:ascii="Calibri" w:hAnsi="Calibri" w:cs="Calibri"/>
        </w:rPr>
        <w:t>. To identify whether [II]-induced cell death is regulated, we analyzed the cleavage of caspase-3, a known mediator of apoptosis, and GSDME mediated pyroptosis (regulated necrosis)</w:t>
      </w:r>
      <w:r w:rsidRPr="002A7128">
        <w:rPr>
          <w:rFonts w:ascii="Calibri" w:hAnsi="Calibri" w:cs="Calibri"/>
        </w:rPr>
        <w:fldChar w:fldCharType="begin"/>
      </w:r>
      <w:r w:rsidR="00317E7D" w:rsidRPr="002A7128">
        <w:rPr>
          <w:rFonts w:ascii="Calibri" w:hAnsi="Calibri" w:cs="Calibri"/>
        </w:rPr>
        <w:instrText xml:space="preserve"> ADDIN ZOTERO_ITEM CSL_CITATION {"citationID":"aaoh3uiee3","properties":{"formattedCitation":"\\super 147,190\\nosupersub{}","plainCitation":"147,190","noteIndex":0},"citationItems":[{"id":6326,"uris":["http://zotero.org/groups/2667333/items/WHPDQEB5"],"itemData":{"id":6326,"type":"article-journal","abstract":"Many chemotherapy treatments induce apoptosis or pyroptosis through BAK/BAX-dependent mitochondrial pathway. BAK/BAX activation causes the mitochondrial outer membrane permeabilization (MOMP), which induces the activation of pro-apoptotic caspase cascade. GSDME cleavage by the pro-apoptotic caspases determines whether chemotherapy drug treatments induce apoptosis or pyroptosis, however, its regulation mechanisms are not clear. In this study, we showed that TNFα+CHX and navitoclax-induced cancer cell pyroptosis through a BAK/BAX-caspase-3-GSDME signaling pathway. GSDME knockdown inhibited the pyroptosis, suggesting the essential role of GSDME in this process. Interestingly, GSDME was found to be palmitoylated on its C-terminal (GSDME-C) during chemotherapy-induced pyroptosis, while 2-bromopalmitate (2-BP) could inhibit the GSDME-C palmitoylation and chemotherapy-induced pyroptosis. Mutation of palmitoylation sites on GSDME also diminished the pyroptosis induced by chemotherapy drugs. Moreover, 2-BP treatment increased the interaction between GSDME-C and GSDME-N, providing a potential mechanism of this function. Further studies indicated several ZDHHC proteins including ZDHHC-2,7,11,15 could interact with and palmitoylate GSDME. Our findings offered new targets to achieve the transformation between chemotherapy-induced pyroptosis and apoptosis.","container-title":"Cell Death &amp; Disease","DOI":"10.1038/s41419-020-2476-2","ISSN":"2041-4889","issue":"4","journalAbbreviation":"Cell Death Dis","note":"PMID: 32332857\nPMCID: PMC7181755","source":"PubMed Central","title":"Chemotherapy-induced pyroptosis is mediated by BAK/BAX-caspase-3-GSDME pathway and inhibited by 2-bromopalmitate","URL":"https://www.ncbi.nlm.nih.gov/pmc/articles/PMC7181755/","volume":"11","author":[{"family":"Hu","given":"Lei"},{"family":"Chen","given":"Meng"},{"family":"Chen","given":"Xueran"},{"family":"Zhao","given":"Chenggang"},{"family":"Fang","given":"Zhiyou"},{"family":"Wang","given":"Hongzhi"},{"family":"Dai","given":"Haiming"}],"accessed":{"date-parts":[["2021",5,12]]},"issued":{"date-parts":[["2020",4,24]]},"citation-key":"hu_chemotherapy-induced_2020"}},{"id":6941,"uris":["http://zotero.org/groups/2667333/items/66SKTJMV"],"itemData":{"id":6941,"type":"article-journal","container-title":"Proceedings of the National Academy of Sciences","DOI":"10.1073/pnas.0707715105","ISSN":"0027-8424, 1091-6490","issue":"35","journalAbbreviation":"Proceedings of the National Academy of Sciences","language":"en","page":"12815-12819","source":"DOI.org (Crossref)","title":"Executioner caspase-3 and caspase-7 are functionally distinct proteases","URL":"http://www.pnas.org/cgi/doi/10.1073/pnas.0707715105","volume":"105","author":[{"family":"Walsh","given":"J. G."},{"family":"Cullen","given":"S. P."},{"family":"Sheridan","given":"C."},{"family":"Luthi","given":"A. U."},{"family":"Gerner","given":"C."},{"family":"Martin","given":"S. J."}],"accessed":{"date-parts":[["2021",8,3]]},"issued":{"date-parts":[["2008",9,2]]},"citation-key":"walsh_executioner_2008"}}],"schema":"https://github.com/citation-style-language/schema/raw/master/csl-citation.json"}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147,190</w:t>
      </w:r>
      <w:r w:rsidRPr="002A7128">
        <w:rPr>
          <w:rFonts w:ascii="Calibri" w:hAnsi="Calibri" w:cs="Calibri"/>
        </w:rPr>
        <w:fldChar w:fldCharType="end"/>
      </w:r>
      <w:r w:rsidRPr="002A7128">
        <w:rPr>
          <w:rFonts w:ascii="Calibri" w:hAnsi="Calibri" w:cs="Calibri"/>
        </w:rPr>
        <w:t>. We compared the caspase-3 cleavage among different cell death modalities; we used cisplatin - a known apoptosis inducer in the OVCAR-8 cell line</w:t>
      </w:r>
      <w:r w:rsidRPr="002A7128">
        <w:rPr>
          <w:rFonts w:ascii="Calibri" w:hAnsi="Calibri" w:cs="Calibri"/>
        </w:rPr>
        <w:fldChar w:fldCharType="begin"/>
      </w:r>
      <w:r w:rsidR="00A64B61" w:rsidRPr="002A7128">
        <w:rPr>
          <w:rFonts w:ascii="Calibri" w:hAnsi="Calibri" w:cs="Calibri"/>
        </w:rPr>
        <w:instrText xml:space="preserve"> ADDIN ZOTERO_ITEM CSL_CITATION {"citationID":"a1c6esnvm05","properties":{"formattedCitation":"\\super 191\\nosupersub{}","plainCitation":"191","noteIndex":0},"citationItems":[{"id":6987,"uris":["http://zotero.org/groups/2667333/items/9KT5WRN5"],"itemData":{"id":6987,"type":"article-journal","container-title":"International Journal of Cancer","DOI":"10.1002/ijc.2910450306","ISSN":"00207136, 10970215","issue":"3","journalAbbreviation":"Int. J. Cancer","language":"en","page":"416-422","source":"DOI.org (Crossref)","title":"Metallothionein gene expression and resistance to cisplatin in human ovarian cancer","URL":"https://onlinelibrary.wiley.com/doi/10.1002/ijc.2910450306","volume":"45","author":[{"family":"Schilder","given":"R. J."},{"family":"Hall","given":"L."},{"family":"Monks","given":"A."},{"family":"Handel","given":"L. M."},{"family":"Fornace","given":"A. J."},{"family":"Ozols","given":"R. F."},{"family":"Fojo","given":"A. T."},{"family":"Hamilton","given":"T. C."}],"accessed":{"date-parts":[["2021",8,6]]},"issued":{"date-parts":[["1990",3,15]]},"citation-key":"schilder_metallothionein_1990"}}],"schema":"https://github.com/citation-style-language/schema/raw/master/csl-citation.json"}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191</w:t>
      </w:r>
      <w:r w:rsidRPr="002A7128">
        <w:rPr>
          <w:rFonts w:ascii="Calibri" w:hAnsi="Calibri" w:cs="Calibri"/>
        </w:rPr>
        <w:fldChar w:fldCharType="end"/>
      </w:r>
      <w:r w:rsidRPr="002A7128">
        <w:rPr>
          <w:rFonts w:ascii="Calibri" w:hAnsi="Calibri" w:cs="Calibri"/>
        </w:rPr>
        <w:t>. We also used heat treatment to induce multiple cell death modalities, including necrosis, apoptosis, and necroptosis</w:t>
      </w:r>
      <w:r w:rsidRPr="002A7128">
        <w:rPr>
          <w:rFonts w:ascii="Calibri" w:hAnsi="Calibri" w:cs="Calibri"/>
        </w:rPr>
        <w:fldChar w:fldCharType="begin"/>
      </w:r>
      <w:r w:rsidR="00A64B61" w:rsidRPr="002A7128">
        <w:rPr>
          <w:rFonts w:ascii="Calibri" w:hAnsi="Calibri" w:cs="Calibri"/>
        </w:rPr>
        <w:instrText xml:space="preserve"> ADDIN ZOTERO_ITEM CSL_CITATION {"citationID":"aaach3ia2l","properties":{"formattedCitation":"\\super 192\\nosupersub{}","plainCitation":"192","noteIndex":0},"citationItems":[{"id":6931,"uris":["http://zotero.org/groups/2667333/items/MMSACV7W"],"itemData":{"id":6931,"type":"article-journal","container-title":"Scientific Reports","DOI":"10.1038/s41598-018-26978-1","ISSN":"2045-2322","issue":"1","journalAbbreviation":"Sci Rep","language":"en","page":"8720","source":"DOI.org (Crossref)","title":"Temperature-dependent cell death patterns induced by functionalized gold nanoparticle photothermal therapy in melanoma cells","URL":"http://www.nature.com/articles/s41598-018-26978-1","volume":"8","author":[{"family":"Zhang","given":"Yujuan"},{"family":"Zhan","given":"Xuelin"},{"family":"Xiong","given":"Juan"},{"family":"Peng","given":"Shanshan"},{"family":"Huang","given":"Wei"},{"family":"Joshi","given":"Rakesh"},{"family":"Cai","given":"Ying"},{"family":"Liu","given":"Yanling"},{"family":"Li","given":"Rong"},{"family":"Yuan","given":"Keng"},{"family":"Zhou","given":"Nanjin"},{"family":"Min","given":"Weiping"}],"accessed":{"date-parts":[["2021",8,1]]},"issued":{"date-parts":[["2018",12]]},"citation-key":"zhang_temperature-dependent_2018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192</w:t>
      </w:r>
      <w:r w:rsidRPr="002A7128">
        <w:rPr>
          <w:rFonts w:ascii="Calibri" w:hAnsi="Calibri" w:cs="Calibri"/>
        </w:rPr>
        <w:fldChar w:fldCharType="end"/>
      </w:r>
      <w:r w:rsidRPr="002A7128">
        <w:rPr>
          <w:rFonts w:ascii="Calibri" w:hAnsi="Calibri" w:cs="Calibri"/>
        </w:rPr>
        <w:t>. Additionally, we applied a freeze/thaw (F/T) method, a common technique to induce unregulated necrosis</w:t>
      </w:r>
      <w:r w:rsidRPr="002A7128">
        <w:rPr>
          <w:rFonts w:ascii="Calibri" w:hAnsi="Calibri" w:cs="Calibri"/>
        </w:rPr>
        <w:fldChar w:fldCharType="begin"/>
      </w:r>
      <w:r w:rsidR="00A64B61" w:rsidRPr="002A7128">
        <w:rPr>
          <w:rFonts w:ascii="Calibri" w:hAnsi="Calibri" w:cs="Calibri"/>
        </w:rPr>
        <w:instrText xml:space="preserve"> ADDIN ZOTERO_ITEM CSL_CITATION {"citationID":"a2nn93tjdf9","properties":{"formattedCitation":"\\super 193\\nosupersub{}","plainCitation":"193","noteIndex":0},"citationItems":[{"id":6320,"uris":["http://zotero.org/groups/2667333/items/RB3E7L8C"],"itemData":{"id":6320,"type":"article-journal","abstract":"Successful immunogenic apoptosis in experimental cancer therapy depends on the induction of strong host anti-tumor responses. Given that tumors are often resistant to apoptosis, it is important to identify alternative molecular mechanisms that elicit immunogenic cell death. We have developed a genetic model in which direct dimerization of FADD combined with inducible expression of RIPK3 promotes necroptosis. We report that necroptotic cancer cells release damage-associated molecular patterns and promote maturation of dendritic cells, the cross-priming of cytotoxic T cells, and the production of IFN-γ in response to tumor antigen stimulation. Using both FADD-dependent and FADD-independent RIPK3 induction systems, we demonstrate the efficient vaccination potential of immunogenic necroptotic cells. Our study broadens the current concept of immunogenic cell death and opens doors for the development of new strategies in cancer therapy.","container-title":"Cell Reports","DOI":"10.1016/j.celrep.2016.03.037","ISSN":"2211-1247","issue":"2","journalAbbreviation":"Cell Reports","language":"en","page":"274-287","source":"ScienceDirect","title":"Vaccination with Necroptotic Cancer Cells Induces Efficient Anti-tumor Immunity","URL":"https://www.sciencedirect.com/science/article/pii/S2211124716302935","volume":"15","author":[{"family":"Aaes","given":"Tania Løve"},{"family":"Kaczmarek","given":"Agnieszka"},{"family":"Delvaeye","given":"Tinneke"},{"family":"De Craene","given":"Bram"},{"family":"De Koker","given":"Stefaan"},{"family":"Heyndrickx","given":"Liesbeth"},{"family":"Delrue","given":"Iris"},{"family":"Taminau","given":"Joachim"},{"family":"Wiernicki","given":"Bartosz"},{"family":"De Groote","given":"Philippe"},{"family":"Garg","given":"Abhishek D."},{"family":"Leybaert","given":"Luc"},{"family":"Grooten","given":"Johan"},{"family":"Bertrand","given":"Mathieu J. M."},{"family":"Agostinis","given":"Patrizia"},{"family":"Berx","given":"Geert"},{"family":"Declercq","given":"Wim"},{"family":"Vandenabeele","given":"Peter"},{"family":"Krysko","given":"Dmitri V."}],"accessed":{"date-parts":[["2021",5,4]]},"issued":{"date-parts":[["2016",4,12]]},"citation-key":"aaes_vaccination_2016"}}],"schema":"https://github.com/citation-style-language/schema/raw/master/csl-citation.json"}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193</w:t>
      </w:r>
      <w:r w:rsidRPr="002A7128">
        <w:rPr>
          <w:rFonts w:ascii="Calibri" w:hAnsi="Calibri" w:cs="Calibri"/>
        </w:rPr>
        <w:fldChar w:fldCharType="end"/>
      </w:r>
      <w:r w:rsidRPr="002A7128">
        <w:rPr>
          <w:rFonts w:ascii="Calibri" w:hAnsi="Calibri" w:cs="Calibri"/>
        </w:rPr>
        <w:t xml:space="preserve">. </w:t>
      </w:r>
      <w:r w:rsidRPr="002A7128">
        <w:rPr>
          <w:rFonts w:ascii="Calibri" w:hAnsi="Calibri" w:cs="Calibri"/>
          <w:b/>
          <w:bCs/>
        </w:rPr>
        <w:fldChar w:fldCharType="begin"/>
      </w:r>
      <w:r w:rsidRPr="002A7128">
        <w:rPr>
          <w:rFonts w:ascii="Calibri" w:hAnsi="Calibri" w:cs="Calibri"/>
          <w:b/>
          <w:bCs/>
        </w:rPr>
        <w:instrText xml:space="preserve"> REF _Ref103530404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11</w:t>
      </w:r>
      <w:r w:rsidRPr="002A7128">
        <w:rPr>
          <w:rFonts w:ascii="Calibri" w:hAnsi="Calibri" w:cs="Calibri"/>
          <w:b/>
          <w:bCs/>
        </w:rPr>
        <w:fldChar w:fldCharType="end"/>
      </w:r>
      <w:r w:rsidRPr="002A7128">
        <w:rPr>
          <w:rFonts w:ascii="Calibri" w:hAnsi="Calibri" w:cs="Calibri"/>
          <w:b/>
          <w:bCs/>
        </w:rPr>
        <w:t>D</w:t>
      </w:r>
      <w:r w:rsidRPr="002A7128">
        <w:rPr>
          <w:rFonts w:ascii="Calibri" w:hAnsi="Calibri" w:cs="Calibri"/>
        </w:rPr>
        <w:t xml:space="preserve"> shows western blotting of caspase-3 </w:t>
      </w:r>
      <w:r w:rsidRPr="002A7128">
        <w:rPr>
          <w:rFonts w:ascii="Calibri" w:hAnsi="Calibri" w:cs="Calibri"/>
        </w:rPr>
        <w:lastRenderedPageBreak/>
        <w:t>cleavage upon these treatments. Cisplatin showed caspase-3 cleavage, which is expected in apoptotic cell death. Conversely, F/T did not show any caspase-3 cleavage. Observation of cleaved caspase-3 in [II] induced cell death indicates regulated necrosis (e.g., GSDME mediated pyroptosis)</w:t>
      </w:r>
      <w:r w:rsidRPr="002A7128">
        <w:rPr>
          <w:rFonts w:ascii="Calibri" w:hAnsi="Calibri" w:cs="Calibri"/>
        </w:rPr>
        <w:fldChar w:fldCharType="begin"/>
      </w:r>
      <w:r w:rsidR="00A64B61" w:rsidRPr="002A7128">
        <w:rPr>
          <w:rFonts w:ascii="Calibri" w:hAnsi="Calibri" w:cs="Calibri"/>
        </w:rPr>
        <w:instrText xml:space="preserve"> ADDIN ZOTERO_ITEM CSL_CITATION {"citationID":"amo1tn6idd","properties":{"formattedCitation":"\\super 194\\nosupersub{}","plainCitation":"194","noteIndex":0},"citationItems":[{"id":6309,"uris":["http://zotero.org/groups/2667333/items/V8KN3LCR"],"itemData":{"id":6309,"type":"article-journal","abstract":"Currently, pyroptosis has received more and more attention because of its association with innate immunity and disease. The research scope of pyroptosis has expanded with the discovery of the gasdermin family. A great deal of evidence shows that pyroptosis can affect the development of tumors. The relationship between pyroptosis and tumors is diverse in different tissues and genetic backgrounds. In this review, we provide basic knowledge of pyroptosis, explain the relationship between pyroptosis and tumors, and focus on the significance of pyroptosis in tumor treatment. In addition, we further summarize the possibility of pyroptosis as a potential tumor treatment strategy and describe the side effects of radiotherapy and chemotherapy caused by pyroptosis. In brief, pyroptosis is a double-edged sword for tumors. The rational use of this dual effect will help us further explore the formation and development of tumors, and provide ideas for patients to develop new drugs based on pyroptosis.","container-title":"Signal Transduction and Targeted Therapy","DOI":"10.1038/s41392-021-00507-5","ISSN":"2059-3635","issue":"1","language":"en","license":"2021 The Author(s)","note":"number: 1\npublisher: Nature Publishing Group","page":"1-21","source":"www.nature.com","title":"Pyroptosis: mechanisms and diseases","title-short":"Pyroptosis","URL":"https://www.nature.com/articles/s41392-021-00507-5","volume":"6","author":[{"family":"Yu","given":"Pian"},{"family":"Zhang","given":"Xu"},{"family":"Liu","given":"Nian"},{"family":"Tang","given":"Ling"},{"family":"Peng","given":"Cong"},{"family":"Chen","given":"Xiang"}],"accessed":{"date-parts":[["2021",4,30]]},"issued":{"date-parts":[["2021",3,29]]},"citation-key":"yu_pyroptosis_2021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194</w:t>
      </w:r>
      <w:r w:rsidRPr="002A7128">
        <w:rPr>
          <w:rFonts w:ascii="Calibri" w:hAnsi="Calibri" w:cs="Calibri"/>
        </w:rPr>
        <w:fldChar w:fldCharType="end"/>
      </w:r>
      <w:r w:rsidRPr="002A7128">
        <w:rPr>
          <w:rFonts w:ascii="Calibri" w:hAnsi="Calibri" w:cs="Calibri"/>
        </w:rPr>
        <w:t>. Indeed, pyroptosis can be identified via cleavage of caspase-3 and GSDME and a ballooning morphology of the cell membrane</w:t>
      </w:r>
      <w:r w:rsidRPr="002A7128">
        <w:rPr>
          <w:rFonts w:ascii="Calibri" w:hAnsi="Calibri" w:cs="Calibri"/>
        </w:rPr>
        <w:fldChar w:fldCharType="begin"/>
      </w:r>
      <w:r w:rsidR="00317E7D" w:rsidRPr="002A7128">
        <w:rPr>
          <w:rFonts w:ascii="Calibri" w:hAnsi="Calibri" w:cs="Calibri"/>
        </w:rPr>
        <w:instrText xml:space="preserve"> ADDIN ZOTERO_ITEM CSL_CITATION {"citationID":"a2hcuk07o2h","properties":{"formattedCitation":"\\super 42\\nosupersub{}","plainCitation":"42","noteIndex":0},"citationItems":[{"id":5824,"uris":["http://zotero.org/groups/2667333/items/3NAQDUWJ"],"itemData":{"id":5824,"type":"article-journal","abstract":"Pyroptosis, a form of programmed cell death (PCD), has garnered increasing attention as it relates to innate immunity and diseases. However, the involvement of pyroptosis in the mechanism by which lobaplatin acts against colorectal cancer (CRC) is unclear. Our study revealed that treatment with lobaplatin reduced the viability of HT-29 and HCT116 cells in a dose-dependent manner. Morphologically, HT-29 and HCT116 cells treated with lobaplatin exhibited microscopic features of cell swelling and large bubbles emerging from the plasma membrane, and transmission electron microscopy (TEM) revealed multiple pores in the membrane. GSDME, rather than GSDMD, was cleaved in lobaplatin-induced pyroptosis in HT-29 and HCT116 cells due to caspase-3 activation. Knocking out GSDME switched lobaplatin-induced cell death from pyroptosis to apoptosis but did not affect lobaplatin-mediated inhibition of growth and tumour formation of HT-29 and HCT116 cells in vivo and in vitro. Further investigation indicates that lobaplatin induced reactive oxygen species (ROS) elevation and JNK phosphorylation. NAC, a ROS scavenger, completely reversed the pyroptosis of lobaplatin-treated HT-29 and HCT116 and JNK phosphorylation. Activated JNK recruited Bax to mitochondria, and thereby stimulated cytochrome c release to cytosol, followed by caspase-3/-9 cleavage and pyroptosis induction. Therefore, in colon cancer cells, GSDME mediates lobaplatin-induced pyroptosis downstream of the ROS/JNK/Bax-mitochondrial apoptotic pathway and caspase-3/-9 activation. Our study indicated that GSDME-dependent pyroptosis is an unrecognized mechanism by which lobaplatin eradicates neoplastic cells, which may have important implications for the clinical application of anticancer therapeutics.","container-title":"Cell Death &amp; Disease","DOI":"10.1038/s41419-019-1441-4","ISSN":"2041-4889","issue":"3","language":"en","license":"2019 The Author(s)","note":"number: 3\npublisher: Nature Publishing Group","page":"1-20","source":"www.nature.com","title":"Cleavage of GSDME by caspase-3 determines lobaplatin-induced pyroptosis in colon cancer cells","URL":"https://www.nature.com/articles/s41419-019-1441-4","volume":"10","author":[{"family":"Yu","given":"Junhui"},{"family":"Li","given":"Shan"},{"family":"Qi","given":"Jie"},{"family":"Chen","given":"Zilu"},{"family":"Wu","given":"Yunhua"},{"family":"Guo","given":"Jing"},{"family":"Wang","given":"Kai"},{"family":"Sun","given":"Xuejun"},{"family":"Zheng","given":"Jianbao"}],"accessed":{"date-parts":[["2021",2,14]]},"issued":{"date-parts":[["2019",2,25]]},"citation-key":"yu_cleavage_2019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42</w:t>
      </w:r>
      <w:r w:rsidRPr="002A7128">
        <w:rPr>
          <w:rFonts w:ascii="Calibri" w:hAnsi="Calibri" w:cs="Calibri"/>
        </w:rPr>
        <w:fldChar w:fldCharType="end"/>
      </w:r>
      <w:r w:rsidRPr="002A7128">
        <w:rPr>
          <w:rFonts w:ascii="Calibri" w:hAnsi="Calibri" w:cs="Calibri"/>
        </w:rPr>
        <w:t>. As cell membrane damage is already identified, we examined the morphological features of [II] treated cells and observed ballooning of the plasma membrane (</w:t>
      </w:r>
      <w:r w:rsidRPr="002A7128">
        <w:rPr>
          <w:rFonts w:ascii="Calibri" w:hAnsi="Calibri" w:cs="Calibri"/>
          <w:b/>
          <w:bCs/>
        </w:rPr>
        <w:fldChar w:fldCharType="begin"/>
      </w:r>
      <w:r w:rsidRPr="002A7128">
        <w:rPr>
          <w:rFonts w:ascii="Calibri" w:hAnsi="Calibri" w:cs="Calibri"/>
          <w:b/>
          <w:bCs/>
        </w:rPr>
        <w:instrText xml:space="preserve"> REF _Ref103530404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11</w:t>
      </w:r>
      <w:r w:rsidRPr="002A7128">
        <w:rPr>
          <w:rFonts w:ascii="Calibri" w:hAnsi="Calibri" w:cs="Calibri"/>
          <w:b/>
          <w:bCs/>
        </w:rPr>
        <w:fldChar w:fldCharType="end"/>
      </w:r>
      <w:r w:rsidRPr="002A7128">
        <w:rPr>
          <w:rFonts w:ascii="Calibri" w:hAnsi="Calibri" w:cs="Calibri"/>
          <w:b/>
          <w:bCs/>
        </w:rPr>
        <w:t>E</w:t>
      </w:r>
      <w:r w:rsidRPr="002A7128">
        <w:rPr>
          <w:rFonts w:ascii="Calibri" w:hAnsi="Calibri" w:cs="Calibri"/>
        </w:rPr>
        <w:t xml:space="preserve">), yellow arrows). </w:t>
      </w:r>
    </w:p>
    <w:p w14:paraId="28AAA229" w14:textId="33DDAFD0" w:rsidR="004E2D15" w:rsidRPr="002A7128" w:rsidRDefault="004E2D15" w:rsidP="00F675B4">
      <w:pPr>
        <w:spacing w:line="480" w:lineRule="auto"/>
        <w:jc w:val="both"/>
        <w:rPr>
          <w:rFonts w:ascii="Calibri" w:hAnsi="Calibri" w:cs="Calibri"/>
        </w:rPr>
      </w:pPr>
      <w:r w:rsidRPr="002A7128">
        <w:rPr>
          <w:rFonts w:ascii="Calibri" w:hAnsi="Calibri" w:cs="Calibri"/>
        </w:rPr>
        <w:t>At the molecular level, cleavage of caspase-3 activates GSDME cleavage, then the N-termini of the cleaved GSDME oligomerize and induces membrane pore formation</w:t>
      </w:r>
      <w:r w:rsidRPr="002A7128">
        <w:rPr>
          <w:rFonts w:ascii="Calibri" w:hAnsi="Calibri" w:cs="Calibri"/>
        </w:rPr>
        <w:fldChar w:fldCharType="begin"/>
      </w:r>
      <w:r w:rsidR="00317E7D" w:rsidRPr="002A7128">
        <w:rPr>
          <w:rFonts w:ascii="Calibri" w:hAnsi="Calibri" w:cs="Calibri"/>
        </w:rPr>
        <w:instrText xml:space="preserve"> ADDIN ZOTERO_ITEM CSL_CITATION {"citationID":"anpu1man5c","properties":{"formattedCitation":"\\super 162\\nosupersub{}","plainCitation":"162","noteIndex":0},"citationItems":[{"id":3259,"uris":["http://zotero.org/groups/2667333/items/5CWBTUNR"],"itemData":{"id":3259,"type":"article-journal","abstract":"Immune cells use a variety of membrane-disrupting proteins [complement, perforin, perforin-2, granulysin, gasdermins, mixed lineage kinase domain–like pseudokinase (MLKL)] to induce different kinds of death of microbes and host cells, some of which cause inflammation. After activation by proteolytic cleavage or phosphorylation, these proteins oligomerize, bind to membrane lipids, and disrupt membrane integrity. These membrane disruptors play a critical role in both innate and adaptive immunity. Here we review our current knowledge of the functions, specificity, activation, and regulation of membrane-disrupting immune proteins and what is known about the mechanisms behind membrane damage, the structure of the pores they form, how the cells expressing these lethal proteins are protected, and how cells targeted for destruction can sometimes escape death by repairing membrane damage.","container-title":"Annual Review of Immunology","DOI":"10.1146/annurev-immunol-111319-023800","issue":"1","note":"_eprint: https://doi.org/10.1146/annurev-immunol-111319-023800\nPMID: 32004099","page":"455-485","source":"Annual Reviews","title":"Knocking ’em Dead: Pore-Forming Proteins in Immune Defense","title-short":"Knocking ’em Dead","URL":"https://doi.org/10.1146/annurev-immunol-111319-023800","volume":"38","author":[{"family":"Liu","given":"Xing"},{"family":"Lieberman","given":"Judy"}],"accessed":{"date-parts":[["2020",12,31]]},"issued":{"date-parts":[["2020"]]},"citation-key":"liu_knocking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162</w:t>
      </w:r>
      <w:r w:rsidRPr="002A7128">
        <w:rPr>
          <w:rFonts w:ascii="Calibri" w:hAnsi="Calibri" w:cs="Calibri"/>
        </w:rPr>
        <w:fldChar w:fldCharType="end"/>
      </w:r>
      <w:r w:rsidRPr="002A7128">
        <w:rPr>
          <w:rFonts w:ascii="Calibri" w:hAnsi="Calibri" w:cs="Calibri"/>
        </w:rPr>
        <w:t>.</w:t>
      </w:r>
      <w:r w:rsidR="00236CA8" w:rsidRPr="002A7128">
        <w:rPr>
          <w:rFonts w:ascii="Calibri" w:hAnsi="Calibri" w:cs="Calibri"/>
        </w:rPr>
        <w:t xml:space="preserve"> </w:t>
      </w:r>
      <w:r w:rsidRPr="002A7128">
        <w:rPr>
          <w:rFonts w:ascii="Calibri" w:hAnsi="Calibri" w:cs="Calibri"/>
        </w:rPr>
        <w:t>Western blot analysis showed that OVCAR-8 cells express GSDME and treatment with [II] results in its cleavage at 6h (</w:t>
      </w:r>
      <w:r w:rsidR="00236CA8" w:rsidRPr="002A7128">
        <w:rPr>
          <w:rFonts w:ascii="Calibri" w:hAnsi="Calibri" w:cs="Calibri"/>
          <w:b/>
          <w:bCs/>
        </w:rPr>
        <w:fldChar w:fldCharType="begin"/>
      </w:r>
      <w:r w:rsidR="00236CA8" w:rsidRPr="002A7128">
        <w:rPr>
          <w:rFonts w:ascii="Calibri" w:hAnsi="Calibri" w:cs="Calibri"/>
          <w:b/>
          <w:bCs/>
        </w:rPr>
        <w:instrText xml:space="preserve"> REF _Ref103530404  \* MERGEFORMAT </w:instrText>
      </w:r>
      <w:r w:rsidR="00236CA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11</w:t>
      </w:r>
      <w:r w:rsidR="00236CA8" w:rsidRPr="002A7128">
        <w:rPr>
          <w:rFonts w:ascii="Calibri" w:hAnsi="Calibri" w:cs="Calibri"/>
          <w:b/>
          <w:bCs/>
        </w:rPr>
        <w:fldChar w:fldCharType="end"/>
      </w:r>
      <w:r w:rsidR="00236CA8" w:rsidRPr="002A7128">
        <w:rPr>
          <w:rFonts w:ascii="Calibri" w:hAnsi="Calibri" w:cs="Calibri"/>
          <w:b/>
          <w:bCs/>
        </w:rPr>
        <w:t>F</w:t>
      </w:r>
      <w:r w:rsidRPr="002A7128">
        <w:rPr>
          <w:rFonts w:ascii="Calibri" w:hAnsi="Calibri" w:cs="Calibri"/>
        </w:rPr>
        <w:t>). These results show that [II] treated cells have the morphological and molecular features of GSDME-mediated pyroptosis, a regulated ICD.</w:t>
      </w:r>
    </w:p>
    <w:p w14:paraId="351BC39B" w14:textId="532E7FE0" w:rsidR="004E2D15" w:rsidRPr="002A7128" w:rsidRDefault="004E2D15" w:rsidP="00F675B4">
      <w:pPr>
        <w:spacing w:line="480" w:lineRule="auto"/>
        <w:jc w:val="both"/>
        <w:rPr>
          <w:rFonts w:ascii="Calibri" w:hAnsi="Calibri" w:cs="Calibri"/>
        </w:rPr>
      </w:pPr>
      <w:r w:rsidRPr="002A7128">
        <w:rPr>
          <w:rFonts w:ascii="Calibri" w:hAnsi="Calibri" w:cs="Calibri"/>
        </w:rPr>
        <w:t>The majority of caspase activation within mammalian cells is initiated through cytochrome c, a protein normally found in mitochondria</w:t>
      </w:r>
      <w:r w:rsidR="00236CA8" w:rsidRPr="002A7128">
        <w:rPr>
          <w:rFonts w:ascii="Calibri" w:hAnsi="Calibri" w:cs="Calibri"/>
        </w:rPr>
        <w:fldChar w:fldCharType="begin"/>
      </w:r>
      <w:r w:rsidR="00A64B61" w:rsidRPr="002A7128">
        <w:rPr>
          <w:rFonts w:ascii="Calibri" w:hAnsi="Calibri" w:cs="Calibri"/>
        </w:rPr>
        <w:instrText xml:space="preserve"> ADDIN ZOTERO_ITEM CSL_CITATION {"citationID":"a101pd2ntgn","properties":{"formattedCitation":"\\super 195\\nosupersub{}","plainCitation":"195","noteIndex":0},"citationItems":[{"id":8887,"uris":["http://zotero.org/groups/2667333/items/LT4M9IAW"],"itemData":{"id":8887,"type":"article-journal","container-title":"Annual Review of Biochemistry","DOI":"10.1146/annurev.biochem.73.011303.073706","ISSN":"0066-4154, 1545-4509","issue":"1","journalAbbreviation":"Annu. Rev. Biochem.","language":"en","page":"87-106","source":"DOI.org (Crossref)","title":"Cytochrome &lt;b&gt; &lt;i&gt;C&lt;/i&gt; &lt;/b&gt; -Mediated Apoptosis","URL":"http://www.annualreviews.org/doi/10.1146/annurev.biochem.73.011303.073706","volume":"73","author":[{"family":"Jiang","given":"Xuejun"},{"family":"Wang","given":"Xiaodong"}],"accessed":{"date-parts":[["2021",8,24]]},"issued":{"date-parts":[["2004",6]]},"citation-key":"jiang_cytochrome_2004"}}],"schema":"https://github.com/citation-style-language/schema/raw/master/csl-citation.json"} </w:instrText>
      </w:r>
      <w:r w:rsidR="00236CA8" w:rsidRPr="002A7128">
        <w:rPr>
          <w:rFonts w:ascii="Calibri" w:hAnsi="Calibri" w:cs="Calibri"/>
        </w:rPr>
        <w:fldChar w:fldCharType="separate"/>
      </w:r>
      <w:r w:rsidR="00A64B61" w:rsidRPr="002A7128">
        <w:rPr>
          <w:rFonts w:ascii="Calibri" w:hAnsi="Calibri" w:cs="Calibri"/>
          <w:vertAlign w:val="superscript"/>
        </w:rPr>
        <w:t>195</w:t>
      </w:r>
      <w:r w:rsidR="00236CA8" w:rsidRPr="002A7128">
        <w:rPr>
          <w:rFonts w:ascii="Calibri" w:hAnsi="Calibri" w:cs="Calibri"/>
        </w:rPr>
        <w:fldChar w:fldCharType="end"/>
      </w:r>
      <w:r w:rsidRPr="002A7128">
        <w:rPr>
          <w:rFonts w:ascii="Calibri" w:hAnsi="Calibri" w:cs="Calibri"/>
        </w:rPr>
        <w:t>. Released cytochrome c initiates the activation of caspase-3</w:t>
      </w:r>
      <w:r w:rsidR="00236CA8" w:rsidRPr="002A7128">
        <w:rPr>
          <w:rFonts w:ascii="Calibri" w:hAnsi="Calibri" w:cs="Calibri"/>
        </w:rPr>
        <w:fldChar w:fldCharType="begin"/>
      </w:r>
      <w:r w:rsidR="00A64B61" w:rsidRPr="002A7128">
        <w:rPr>
          <w:rFonts w:ascii="Calibri" w:hAnsi="Calibri" w:cs="Calibri"/>
        </w:rPr>
        <w:instrText xml:space="preserve"> ADDIN ZOTERO_ITEM CSL_CITATION {"citationID":"aa68gednt8","properties":{"formattedCitation":"\\super 196\\nosupersub{}","plainCitation":"196","noteIndex":0},"citationItems":[{"id":7140,"uris":["http://zotero.org/groups/2667333/items/VEYJGYCB"],"itemData":{"id":7140,"type":"article-journal","container-title":"Cell Death &amp; Differentiation","DOI":"10.1038/sj.cdd.4401950","ISSN":"1350-9047, 1476-5403","issue":"9","journalAbbreviation":"Cell Death Differ","language":"en","page":"1423-1433","source":"DOI.org (Crossref)","title":"Mechanisms of cytochrome c release from mitochondria","URL":"http://www.nature.com/articles/4401950","volume":"13","author":[{"family":"Garrido","given":"C"},{"family":"Galluzzi","given":"L"},{"family":"Brunet","given":"M"},{"family":"Puig","given":"P E"},{"family":"Didelot","given":"C"},{"family":"Kroemer","given":"G"}],"accessed":{"date-parts":[["2021",8,19]]},"issued":{"date-parts":[["2006",9]]},"citation-key":"garrido_mechanisms_2006"}}],"schema":"https://github.com/citation-style-language/schema/raw/master/csl-citation.json"} </w:instrText>
      </w:r>
      <w:r w:rsidR="00236CA8" w:rsidRPr="002A7128">
        <w:rPr>
          <w:rFonts w:ascii="Calibri" w:hAnsi="Calibri" w:cs="Calibri"/>
        </w:rPr>
        <w:fldChar w:fldCharType="separate"/>
      </w:r>
      <w:r w:rsidR="00A64B61" w:rsidRPr="002A7128">
        <w:rPr>
          <w:rFonts w:ascii="Calibri" w:hAnsi="Calibri" w:cs="Calibri"/>
          <w:vertAlign w:val="superscript"/>
        </w:rPr>
        <w:t>196</w:t>
      </w:r>
      <w:r w:rsidR="00236CA8" w:rsidRPr="002A7128">
        <w:rPr>
          <w:rFonts w:ascii="Calibri" w:hAnsi="Calibri" w:cs="Calibri"/>
        </w:rPr>
        <w:fldChar w:fldCharType="end"/>
      </w:r>
      <w:r w:rsidRPr="002A7128">
        <w:rPr>
          <w:rFonts w:ascii="Calibri" w:hAnsi="Calibri" w:cs="Calibri"/>
        </w:rPr>
        <w:t xml:space="preserve"> and the downstream pathway of cytochrome c release is not dependent on the functions of BAX or BAK proteins</w:t>
      </w:r>
      <w:r w:rsidR="00236CA8" w:rsidRPr="002A7128">
        <w:rPr>
          <w:rFonts w:ascii="Calibri" w:hAnsi="Calibri" w:cs="Calibri"/>
        </w:rPr>
        <w:fldChar w:fldCharType="begin"/>
      </w:r>
      <w:r w:rsidR="00A64B61" w:rsidRPr="002A7128">
        <w:rPr>
          <w:rFonts w:ascii="Calibri" w:hAnsi="Calibri" w:cs="Calibri"/>
        </w:rPr>
        <w:instrText xml:space="preserve"> ADDIN ZOTERO_ITEM CSL_CITATION {"citationID":"ahm4ql0tpc","properties":{"formattedCitation":"\\super 182\\nosupersub{}","plainCitation":"182","noteIndex":0},"citationItems":[{"id":9400,"uris":["http://zotero.org/groups/2667333/items/L4W34AIK"],"itemData":{"id":9400,"type":"article-journal","container-title":"Science","DOI":"10.1126/science.1059108","issue":"5517","note":"publisher: American Association for the Advancement of Science","page":"727-730","source":"science.org (Atypon)","title":"Proapoptotic BAX and BAK: A Requisite Gateway to Mitochondrial Dysfunction and Death","title-short":"Proapoptotic BAX and BAK","URL":"https://www.science.org/doi/10.1126/science.1059108","volume":"292","author":[{"family":"Wei","given":"Michael C."},{"family":"Zong","given":"Wei-Xing"},{"family":"Cheng","given":"Emily H.-Y."},{"family":"Lindsten","given":"Tullia"},{"family":"Panoutsakopoulou","given":"Vily"},{"family":"Ross","given":"Andrea J."},{"family":"Roth","given":"Kevin A."},{"family":"MacGregor","given":"Grant R."},{"family":"Thompson","given":"Craig B."},{"family":"Korsmeyer","given":"Stanley J."}],"accessed":{"date-parts":[["2021",11,3]]},"issued":{"date-parts":[["2001",4,27]]},"citation-key":"wei_proapoptotic_2001"}}],"schema":"https://github.com/citation-style-language/schema/raw/master/csl-citation.json"} </w:instrText>
      </w:r>
      <w:r w:rsidR="00236CA8" w:rsidRPr="002A7128">
        <w:rPr>
          <w:rFonts w:ascii="Calibri" w:hAnsi="Calibri" w:cs="Calibri"/>
        </w:rPr>
        <w:fldChar w:fldCharType="separate"/>
      </w:r>
      <w:r w:rsidR="00A64B61" w:rsidRPr="002A7128">
        <w:rPr>
          <w:rFonts w:ascii="Calibri" w:hAnsi="Calibri" w:cs="Calibri"/>
          <w:vertAlign w:val="superscript"/>
        </w:rPr>
        <w:t>182</w:t>
      </w:r>
      <w:r w:rsidR="00236CA8" w:rsidRPr="002A7128">
        <w:rPr>
          <w:rFonts w:ascii="Calibri" w:hAnsi="Calibri" w:cs="Calibri"/>
        </w:rPr>
        <w:fldChar w:fldCharType="end"/>
      </w:r>
      <w:r w:rsidRPr="002A7128">
        <w:rPr>
          <w:rFonts w:ascii="Calibri" w:hAnsi="Calibri" w:cs="Calibri"/>
        </w:rPr>
        <w:t>. Furthermore, cytoplasmic cytochrome c release has been shown to lead to the induction of GSDME-mediated pyroptosis in cells that express GSDME</w:t>
      </w:r>
      <w:r w:rsidR="00236CA8" w:rsidRPr="002A7128">
        <w:rPr>
          <w:rFonts w:ascii="Calibri" w:hAnsi="Calibri" w:cs="Calibri"/>
        </w:rPr>
        <w:fldChar w:fldCharType="begin"/>
      </w:r>
      <w:r w:rsidR="00317E7D" w:rsidRPr="002A7128">
        <w:rPr>
          <w:rFonts w:ascii="Calibri" w:hAnsi="Calibri" w:cs="Calibri"/>
        </w:rPr>
        <w:instrText xml:space="preserve"> ADDIN ZOTERO_ITEM CSL_CITATION {"citationID":"a2gei7cacsu","properties":{"formattedCitation":"\\super 42\\nosupersub{}","plainCitation":"42","noteIndex":0},"citationItems":[{"id":5824,"uris":["http://zotero.org/groups/2667333/items/3NAQDUWJ"],"itemData":{"id":5824,"type":"article-journal","abstract":"Pyroptosis, a form of programmed cell death (PCD), has garnered increasing attention as it relates to innate immunity and diseases. However, the involvement of pyroptosis in the mechanism by which lobaplatin acts against colorectal cancer (CRC) is unclear. Our study revealed that treatment with lobaplatin reduced the viability of HT-29 and HCT116 cells in a dose-dependent manner. Morphologically, HT-29 and HCT116 cells treated with lobaplatin exhibited microscopic features of cell swelling and large bubbles emerging from the plasma membrane, and transmission electron microscopy (TEM) revealed multiple pores in the membrane. GSDME, rather than GSDMD, was cleaved in lobaplatin-induced pyroptosis in HT-29 and HCT116 cells due to caspase-3 activation. Knocking out GSDME switched lobaplatin-induced cell death from pyroptosis to apoptosis but did not affect lobaplatin-mediated inhibition of growth and tumour formation of HT-29 and HCT116 cells in vivo and in vitro. Further investigation indicates that lobaplatin induced reactive oxygen species (ROS) elevation and JNK phosphorylation. NAC, a ROS scavenger, completely reversed the pyroptosis of lobaplatin-treated HT-29 and HCT116 and JNK phosphorylation. Activated JNK recruited Bax to mitochondria, and thereby stimulated cytochrome c release to cytosol, followed by caspase-3/-9 cleavage and pyroptosis induction. Therefore, in colon cancer cells, GSDME mediates lobaplatin-induced pyroptosis downstream of the ROS/JNK/Bax-mitochondrial apoptotic pathway and caspase-3/-9 activation. Our study indicated that GSDME-dependent pyroptosis is an unrecognized mechanism by which lobaplatin eradicates neoplastic cells, which may have important implications for the clinical application of anticancer therapeutics.","container-title":"Cell Death &amp; Disease","DOI":"10.1038/s41419-019-1441-4","ISSN":"2041-4889","issue":"3","language":"en","license":"2019 The Author(s)","note":"number: 3\npublisher: Nature Publishing Group","page":"1-20","source":"www.nature.com","title":"Cleavage of GSDME by caspase-3 determines lobaplatin-induced pyroptosis in colon cancer cells","URL":"https://www.nature.com/articles/s41419-019-1441-4","volume":"10","author":[{"family":"Yu","given":"Junhui"},{"family":"Li","given":"Shan"},{"family":"Qi","given":"Jie"},{"family":"Chen","given":"Zilu"},{"family":"Wu","given":"Yunhua"},{"family":"Guo","given":"Jing"},{"family":"Wang","given":"Kai"},{"family":"Sun","given":"Xuejun"},{"family":"Zheng","given":"Jianbao"}],"accessed":{"date-parts":[["2021",2,14]]},"issued":{"date-parts":[["2019",2,25]]},"citation-key":"yu_cleavage_2019"}}],"schema":"https://github.com/citation-style-language/schema/raw/master/csl-citation.json"} </w:instrText>
      </w:r>
      <w:r w:rsidR="00236CA8" w:rsidRPr="002A7128">
        <w:rPr>
          <w:rFonts w:ascii="Calibri" w:hAnsi="Calibri" w:cs="Calibri"/>
        </w:rPr>
        <w:fldChar w:fldCharType="separate"/>
      </w:r>
      <w:r w:rsidR="00317E7D" w:rsidRPr="002A7128">
        <w:rPr>
          <w:rFonts w:ascii="Calibri" w:hAnsi="Calibri" w:cs="Calibri"/>
          <w:vertAlign w:val="superscript"/>
        </w:rPr>
        <w:t>42</w:t>
      </w:r>
      <w:r w:rsidR="00236CA8" w:rsidRPr="002A7128">
        <w:rPr>
          <w:rFonts w:ascii="Calibri" w:hAnsi="Calibri" w:cs="Calibri"/>
        </w:rPr>
        <w:fldChar w:fldCharType="end"/>
      </w:r>
      <w:r w:rsidRPr="002A7128">
        <w:rPr>
          <w:rFonts w:ascii="Calibri" w:hAnsi="Calibri" w:cs="Calibri"/>
        </w:rPr>
        <w:t>. To understand the origin of caspase-3 cleavage upon [II] treatment, we stained cytoplasmic cytochrome c to analyze mitochondrial damage as shown before</w:t>
      </w:r>
      <w:r w:rsidR="00236CA8" w:rsidRPr="002A7128">
        <w:rPr>
          <w:rFonts w:ascii="Calibri" w:hAnsi="Calibri" w:cs="Calibri"/>
        </w:rPr>
        <w:fldChar w:fldCharType="begin"/>
      </w:r>
      <w:r w:rsidR="00A64B61" w:rsidRPr="002A7128">
        <w:rPr>
          <w:rFonts w:ascii="Calibri" w:hAnsi="Calibri" w:cs="Calibri"/>
        </w:rPr>
        <w:instrText xml:space="preserve"> ADDIN ZOTERO_ITEM CSL_CITATION {"citationID":"a1mdq3p7cmh","properties":{"formattedCitation":"\\super 197\\nosupersub{}","plainCitation":"197","noteIndex":0},"citationItems":[{"id":6367,"uris":["http://zotero.org/groups/2667333/items/QB5F66K2"],"itemData":{"id":6367,"type":"article-journal","abstract":"Speedy screen for tumor therapies\nAlthough cell death screens using patient biopsies could be used to identify effective, personalized treatments, it takes several days to obtain results, meaning that the cells ultimately guiding treatment decisions may become molecularly different than those in the patient. Bhola et al. developed a high-throughput method (called HT-DBP) that identifies, within 24 hours, drugs that initiate cell death programs in tumor cells from freshly isolated patient biopsies. HT-DBP identified single agents and combinations that shrunk breast and colon tumors in mice but that would not have seemed as promising when screened after the usual multiday period of culture outgrowth. The findings may enable a fast and broadly applicable tumor screening technique to guide effective treatment decisions for patients.\nDespite decades of effort, the sensitivity of patient tumors to individual drugs is often not predictable on the basis of molecular markers alone. Therefore, unbiased, high-throughput approaches to match patient tumors to effective drugs, without requiring a priori molecular hypotheses, are critically needed. Here, we improved upon a method that we previously reported and developed called high-throughput dynamic BH3 profiling (HT-DBP). HT-DBP is a microscopy-based, single-cell resolution assay that enables chemical screens of hundreds to thousands of candidate drugs on freshly isolated tumor cells. The method identifies chemical inducers of mitochondrial apoptotic signaling, a mechanism of cell death. HT-DBP requires only 24 hours of ex vivo culture, which enables a more immediate study of fresh primary tumor cells and minimizes adaptive changes that occur with prolonged ex vivo culture. Effective compounds identified by HT-DBP induced tumor regression in genetically engineered and patient-derived xenograft (PDX) models of breast cancer. We additionally found that chemical vulnerabilities changed as cancer cells expanded ex vivo. Furthermore, using PDX models of colon cancer and resected tumors from colon cancer patients, our data demonstrated that HT-DBP could be used to generate personalized pharmacotypes. Thus, HT-DBP appears to be an ex vivo functional method with sufficient scale to simultaneously function as a companion diagnostic, therapeutic personalization, and discovery tool.\nEffective treatments might be identified by rapidly profiling drug sensitivities in patient biopsies from solid tumors.\nEffective treatments might be identified by rapidly profiling drug sensitivities in patient biopsies from solid tumors.","container-title":"Science Signaling","DOI":"10.1126/scisignal.aay1451","ISSN":"1945-0877, 1937-9145","issue":"636","journalAbbreviation":"Sci. Signal.","language":"en","license":"Copyright © 2020 The Authors, some rights reserved; exclusive licensee American Association for the Advancement of Science. No claim to original U.S. Government Works. http://www.sciencemag.org/about/science-licenses-journal-article-reuseThis is an article distributed under the terms of the Science Journals Default License.","note":"publisher: American Association for the Advancement of Science\nsection: Research Article\nPMID: 32546544","source":"stke.sciencemag.org","title":"High-throughput dynamic BH3 profiling may quickly and accurately predict effective therapies in solid tumors","URL":"https://stke.sciencemag.org/content/13/636/eaay1451","volume":"13","author":[{"family":"Bhola","given":"Patrick D."},{"family":"Ahmed","given":"Eman"},{"family":"Guerriero","given":"Jennifer L."},{"family":"Sicinska","given":"Ewa"},{"family":"Su","given":"Emily"},{"family":"Lavrova","given":"Elizaveta"},{"family":"Ni","given":"Jing"},{"family":"Chipashvili","given":"Otari"},{"family":"Hagan","given":"Timothy"},{"family":"Pioso","given":"Marissa S."},{"family":"McQueeney","given":"Kelley"},{"family":"Ng","given":"Kimmie"},{"family":"Aguirre","given":"Andrew J."},{"family":"Cleary","given":"James M."},{"family":"Cocozziello","given":"David"},{"family":"Sotayo","given":"Alaba"},{"family":"Ryan","given":"Jeremy"},{"family":"Zhao","given":"Jean J."},{"family":"Letai","given":"Anthony"}],"accessed":{"date-parts":[["2021",5,18]]},"issued":{"date-parts":[["2020",6,16]]},"citation-key":"bhola_high-throughput_2020"}}],"schema":"https://github.com/citation-style-language/schema/raw/master/csl-citation.json"} </w:instrText>
      </w:r>
      <w:r w:rsidR="00236CA8" w:rsidRPr="002A7128">
        <w:rPr>
          <w:rFonts w:ascii="Calibri" w:hAnsi="Calibri" w:cs="Calibri"/>
        </w:rPr>
        <w:fldChar w:fldCharType="separate"/>
      </w:r>
      <w:r w:rsidR="00A64B61" w:rsidRPr="002A7128">
        <w:rPr>
          <w:rFonts w:ascii="Calibri" w:hAnsi="Calibri" w:cs="Calibri"/>
          <w:vertAlign w:val="superscript"/>
        </w:rPr>
        <w:t>197</w:t>
      </w:r>
      <w:r w:rsidR="00236CA8" w:rsidRPr="002A7128">
        <w:rPr>
          <w:rFonts w:ascii="Calibri" w:hAnsi="Calibri" w:cs="Calibri"/>
        </w:rPr>
        <w:fldChar w:fldCharType="end"/>
      </w:r>
      <w:r w:rsidRPr="002A7128">
        <w:rPr>
          <w:rFonts w:ascii="Calibri" w:hAnsi="Calibri" w:cs="Calibri"/>
        </w:rPr>
        <w:t xml:space="preserve">. </w:t>
      </w:r>
    </w:p>
    <w:p w14:paraId="7E67DF50" w14:textId="4DC7B323" w:rsidR="004E2D15" w:rsidRPr="002A7128" w:rsidRDefault="004E2D15" w:rsidP="00F675B4">
      <w:pPr>
        <w:spacing w:line="480" w:lineRule="auto"/>
        <w:jc w:val="both"/>
        <w:rPr>
          <w:rFonts w:ascii="Calibri" w:hAnsi="Calibri" w:cs="Calibri"/>
        </w:rPr>
      </w:pPr>
      <w:r w:rsidRPr="002A7128">
        <w:rPr>
          <w:rFonts w:ascii="Calibri" w:hAnsi="Calibri" w:cs="Calibri"/>
        </w:rPr>
        <w:t xml:space="preserve">Time-dependent imaging showed that cytochrome c levels increased over time in the cytoplasm of OVCAR-8 cells </w:t>
      </w:r>
      <w:r w:rsidR="00236CA8" w:rsidRPr="002A7128">
        <w:rPr>
          <w:rFonts w:ascii="Calibri" w:hAnsi="Calibri" w:cs="Calibri"/>
        </w:rPr>
        <w:t>(</w:t>
      </w:r>
      <w:r w:rsidR="00236CA8" w:rsidRPr="002A7128">
        <w:rPr>
          <w:rFonts w:ascii="Calibri" w:hAnsi="Calibri" w:cs="Calibri"/>
          <w:b/>
          <w:bCs/>
        </w:rPr>
        <w:fldChar w:fldCharType="begin"/>
      </w:r>
      <w:r w:rsidR="00236CA8" w:rsidRPr="002A7128">
        <w:rPr>
          <w:rFonts w:ascii="Calibri" w:hAnsi="Calibri" w:cs="Calibri"/>
          <w:b/>
          <w:bCs/>
        </w:rPr>
        <w:instrText xml:space="preserve"> REF _Ref103530404  \* MERGEFORMAT </w:instrText>
      </w:r>
      <w:r w:rsidR="00236CA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11</w:t>
      </w:r>
      <w:r w:rsidR="00236CA8" w:rsidRPr="002A7128">
        <w:rPr>
          <w:rFonts w:ascii="Calibri" w:hAnsi="Calibri" w:cs="Calibri"/>
          <w:b/>
          <w:bCs/>
        </w:rPr>
        <w:fldChar w:fldCharType="end"/>
      </w:r>
      <w:r w:rsidR="00236CA8" w:rsidRPr="002A7128">
        <w:rPr>
          <w:rFonts w:ascii="Calibri" w:hAnsi="Calibri" w:cs="Calibri"/>
          <w:b/>
          <w:bCs/>
        </w:rPr>
        <w:t>G</w:t>
      </w:r>
      <w:r w:rsidR="00236CA8" w:rsidRPr="002A7128">
        <w:rPr>
          <w:rFonts w:ascii="Calibri" w:hAnsi="Calibri" w:cs="Calibri"/>
        </w:rPr>
        <w:t xml:space="preserve">), </w:t>
      </w:r>
      <w:r w:rsidRPr="002A7128">
        <w:rPr>
          <w:rFonts w:ascii="Calibri" w:hAnsi="Calibri" w:cs="Calibri"/>
        </w:rPr>
        <w:t xml:space="preserve">specifically at 4h, explaining the abundance of cleaved caspase-3 at 6h </w:t>
      </w:r>
      <w:r w:rsidR="00236CA8" w:rsidRPr="002A7128">
        <w:rPr>
          <w:rFonts w:ascii="Calibri" w:hAnsi="Calibri" w:cs="Calibri"/>
        </w:rPr>
        <w:t>(</w:t>
      </w:r>
      <w:r w:rsidR="00236CA8" w:rsidRPr="002A7128">
        <w:rPr>
          <w:rFonts w:ascii="Calibri" w:hAnsi="Calibri" w:cs="Calibri"/>
          <w:b/>
          <w:bCs/>
        </w:rPr>
        <w:fldChar w:fldCharType="begin"/>
      </w:r>
      <w:r w:rsidR="00236CA8" w:rsidRPr="002A7128">
        <w:rPr>
          <w:rFonts w:ascii="Calibri" w:hAnsi="Calibri" w:cs="Calibri"/>
          <w:b/>
          <w:bCs/>
        </w:rPr>
        <w:instrText xml:space="preserve"> REF _Ref103530404  \* MERGEFORMAT </w:instrText>
      </w:r>
      <w:r w:rsidR="00236CA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11</w:t>
      </w:r>
      <w:r w:rsidR="00236CA8" w:rsidRPr="002A7128">
        <w:rPr>
          <w:rFonts w:ascii="Calibri" w:hAnsi="Calibri" w:cs="Calibri"/>
          <w:b/>
          <w:bCs/>
        </w:rPr>
        <w:fldChar w:fldCharType="end"/>
      </w:r>
      <w:r w:rsidR="00236CA8" w:rsidRPr="002A7128">
        <w:rPr>
          <w:rFonts w:ascii="Calibri" w:hAnsi="Calibri" w:cs="Calibri"/>
          <w:b/>
          <w:bCs/>
        </w:rPr>
        <w:t>D</w:t>
      </w:r>
      <w:r w:rsidR="00236CA8" w:rsidRPr="002A7128">
        <w:rPr>
          <w:rFonts w:ascii="Calibri" w:hAnsi="Calibri" w:cs="Calibri"/>
        </w:rPr>
        <w:t xml:space="preserve">). </w:t>
      </w:r>
      <w:r w:rsidRPr="002A7128">
        <w:rPr>
          <w:rFonts w:ascii="Calibri" w:hAnsi="Calibri" w:cs="Calibri"/>
        </w:rPr>
        <w:t xml:space="preserve">These results show the general mechanism of PAIIR; [II] peptide directly </w:t>
      </w:r>
      <w:r w:rsidRPr="002A7128">
        <w:rPr>
          <w:rFonts w:ascii="Calibri" w:hAnsi="Calibri" w:cs="Calibri"/>
        </w:rPr>
        <w:lastRenderedPageBreak/>
        <w:t>damages the cell membrane, as the LDH release was observed in the first 3h of the incubation along with the ATP release (</w:t>
      </w:r>
      <w:r w:rsidR="00236CA8" w:rsidRPr="002A7128">
        <w:rPr>
          <w:rFonts w:ascii="Calibri" w:hAnsi="Calibri" w:cs="Calibri"/>
          <w:b/>
          <w:bCs/>
        </w:rPr>
        <w:fldChar w:fldCharType="begin"/>
      </w:r>
      <w:r w:rsidR="00236CA8" w:rsidRPr="002A7128">
        <w:rPr>
          <w:rFonts w:ascii="Calibri" w:hAnsi="Calibri" w:cs="Calibri"/>
          <w:b/>
          <w:bCs/>
        </w:rPr>
        <w:instrText xml:space="preserve"> REF _Ref103530404  \* MERGEFORMAT </w:instrText>
      </w:r>
      <w:r w:rsidR="00236CA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11</w:t>
      </w:r>
      <w:r w:rsidR="00236CA8" w:rsidRPr="002A7128">
        <w:rPr>
          <w:rFonts w:ascii="Calibri" w:hAnsi="Calibri" w:cs="Calibri"/>
          <w:b/>
          <w:bCs/>
        </w:rPr>
        <w:fldChar w:fldCharType="end"/>
      </w:r>
      <w:r w:rsidR="00236CA8" w:rsidRPr="002A7128">
        <w:rPr>
          <w:rFonts w:ascii="Calibri" w:hAnsi="Calibri" w:cs="Calibri"/>
          <w:b/>
          <w:bCs/>
        </w:rPr>
        <w:t>A and B</w:t>
      </w:r>
      <w:r w:rsidRPr="002A7128">
        <w:rPr>
          <w:rFonts w:ascii="Calibri" w:hAnsi="Calibri" w:cs="Calibri"/>
        </w:rPr>
        <w:t>), yet the caspase 3 cleavage was abundant after 3h (</w:t>
      </w:r>
      <w:r w:rsidR="00236CA8" w:rsidRPr="002A7128">
        <w:rPr>
          <w:rFonts w:ascii="Calibri" w:hAnsi="Calibri" w:cs="Calibri"/>
          <w:b/>
          <w:bCs/>
        </w:rPr>
        <w:fldChar w:fldCharType="begin"/>
      </w:r>
      <w:r w:rsidR="00236CA8" w:rsidRPr="002A7128">
        <w:rPr>
          <w:rFonts w:ascii="Calibri" w:hAnsi="Calibri" w:cs="Calibri"/>
          <w:b/>
          <w:bCs/>
        </w:rPr>
        <w:instrText xml:space="preserve"> REF _Ref103530404  \* MERGEFORMAT </w:instrText>
      </w:r>
      <w:r w:rsidR="00236CA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11</w:t>
      </w:r>
      <w:r w:rsidR="00236CA8" w:rsidRPr="002A7128">
        <w:rPr>
          <w:rFonts w:ascii="Calibri" w:hAnsi="Calibri" w:cs="Calibri"/>
          <w:b/>
          <w:bCs/>
        </w:rPr>
        <w:fldChar w:fldCharType="end"/>
      </w:r>
      <w:r w:rsidR="00236CA8" w:rsidRPr="002A7128">
        <w:rPr>
          <w:rFonts w:ascii="Calibri" w:hAnsi="Calibri" w:cs="Calibri"/>
          <w:b/>
          <w:bCs/>
        </w:rPr>
        <w:t>D</w:t>
      </w:r>
      <w:r w:rsidRPr="002A7128">
        <w:rPr>
          <w:rFonts w:ascii="Calibri" w:hAnsi="Calibri" w:cs="Calibri"/>
        </w:rPr>
        <w:t xml:space="preserve">). [II] peptide induces plasma and mitochondrial membrane damage, leading to cytochrome c release into the cytoplasm; this release activates caspase-3 cleavage, and initiates GSDME-mediated pyroptosis. </w:t>
      </w:r>
    </w:p>
    <w:p w14:paraId="0BE1C8A7" w14:textId="45CF50C1" w:rsidR="00697A62" w:rsidRPr="002A7128" w:rsidRDefault="004E2D15" w:rsidP="00F675B4">
      <w:pPr>
        <w:spacing w:line="480" w:lineRule="auto"/>
        <w:jc w:val="both"/>
        <w:rPr>
          <w:rFonts w:ascii="Calibri" w:hAnsi="Calibri" w:cs="Calibri"/>
        </w:rPr>
      </w:pPr>
      <w:r w:rsidRPr="002A7128">
        <w:rPr>
          <w:rFonts w:ascii="Calibri" w:hAnsi="Calibri" w:cs="Calibri"/>
        </w:rPr>
        <w:t>ICD and DAMP release is known to enhance the phagocytosis of APCs</w:t>
      </w:r>
      <w:r w:rsidR="00236CA8" w:rsidRPr="002A7128">
        <w:rPr>
          <w:rFonts w:ascii="Calibri" w:hAnsi="Calibri" w:cs="Calibri"/>
        </w:rPr>
        <w:fldChar w:fldCharType="begin"/>
      </w:r>
      <w:r w:rsidR="00A64B61" w:rsidRPr="002A7128">
        <w:rPr>
          <w:rFonts w:ascii="Calibri" w:hAnsi="Calibri" w:cs="Calibri"/>
        </w:rPr>
        <w:instrText xml:space="preserve"> ADDIN ZOTERO_ITEM CSL_CITATION {"citationID":"a2o4m7tehp0","properties":{"formattedCitation":"\\super 193\\nosupersub{}","plainCitation":"193","noteIndex":0},"citationItems":[{"id":6320,"uris":["http://zotero.org/groups/2667333/items/RB3E7L8C"],"itemData":{"id":6320,"type":"article-journal","abstract":"Successful immunogenic apoptosis in experimental cancer therapy depends on the induction of strong host anti-tumor responses. Given that tumors are often resistant to apoptosis, it is important to identify alternative molecular mechanisms that elicit immunogenic cell death. We have developed a genetic model in which direct dimerization of FADD combined with inducible expression of RIPK3 promotes necroptosis. We report that necroptotic cancer cells release damage-associated molecular patterns and promote maturation of dendritic cells, the cross-priming of cytotoxic T cells, and the production of IFN-γ in response to tumor antigen stimulation. Using both FADD-dependent and FADD-independent RIPK3 induction systems, we demonstrate the efficient vaccination potential of immunogenic necroptotic cells. Our study broadens the current concept of immunogenic cell death and opens doors for the development of new strategies in cancer therapy.","container-title":"Cell Reports","DOI":"10.1016/j.celrep.2016.03.037","ISSN":"2211-1247","issue":"2","journalAbbreviation":"Cell Reports","language":"en","page":"274-287","source":"ScienceDirect","title":"Vaccination with Necroptotic Cancer Cells Induces Efficient Anti-tumor Immunity","URL":"https://www.sciencedirect.com/science/article/pii/S2211124716302935","volume":"15","author":[{"family":"Aaes","given":"Tania Løve"},{"family":"Kaczmarek","given":"Agnieszka"},{"family":"Delvaeye","given":"Tinneke"},{"family":"De Craene","given":"Bram"},{"family":"De Koker","given":"Stefaan"},{"family":"Heyndrickx","given":"Liesbeth"},{"family":"Delrue","given":"Iris"},{"family":"Taminau","given":"Joachim"},{"family":"Wiernicki","given":"Bartosz"},{"family":"De Groote","given":"Philippe"},{"family":"Garg","given":"Abhishek D."},{"family":"Leybaert","given":"Luc"},{"family":"Grooten","given":"Johan"},{"family":"Bertrand","given":"Mathieu J. M."},{"family":"Agostinis","given":"Patrizia"},{"family":"Berx","given":"Geert"},{"family":"Declercq","given":"Wim"},{"family":"Vandenabeele","given":"Peter"},{"family":"Krysko","given":"Dmitri V."}],"accessed":{"date-parts":[["2021",5,4]]},"issued":{"date-parts":[["2016",4,12]]},"citation-key":"aaes_vaccination_2016"}}],"schema":"https://github.com/citation-style-language/schema/raw/master/csl-citation.json"} </w:instrText>
      </w:r>
      <w:r w:rsidR="00236CA8" w:rsidRPr="002A7128">
        <w:rPr>
          <w:rFonts w:ascii="Calibri" w:hAnsi="Calibri" w:cs="Calibri"/>
        </w:rPr>
        <w:fldChar w:fldCharType="separate"/>
      </w:r>
      <w:r w:rsidR="00A64B61" w:rsidRPr="002A7128">
        <w:rPr>
          <w:rFonts w:ascii="Calibri" w:hAnsi="Calibri" w:cs="Calibri"/>
          <w:vertAlign w:val="superscript"/>
        </w:rPr>
        <w:t>193</w:t>
      </w:r>
      <w:r w:rsidR="00236CA8" w:rsidRPr="002A7128">
        <w:rPr>
          <w:rFonts w:ascii="Calibri" w:hAnsi="Calibri" w:cs="Calibri"/>
        </w:rPr>
        <w:fldChar w:fldCharType="end"/>
      </w:r>
      <w:r w:rsidRPr="002A7128">
        <w:rPr>
          <w:rFonts w:ascii="Calibri" w:hAnsi="Calibri" w:cs="Calibri"/>
        </w:rPr>
        <w:t>. We checked whether [II] treated cells are phagocytosed by macrophages. THP-1 differentiated macrophages are commonly utilized for in vitro phagocytosis experiments</w:t>
      </w:r>
      <w:r w:rsidR="00236CA8" w:rsidRPr="002A7128">
        <w:rPr>
          <w:rFonts w:ascii="Calibri" w:hAnsi="Calibri" w:cs="Calibri"/>
        </w:rPr>
        <w:fldChar w:fldCharType="begin"/>
      </w:r>
      <w:r w:rsidR="00A64B61" w:rsidRPr="002A7128">
        <w:rPr>
          <w:rFonts w:ascii="Calibri" w:hAnsi="Calibri" w:cs="Calibri"/>
        </w:rPr>
        <w:instrText xml:space="preserve"> ADDIN ZOTERO_ITEM CSL_CITATION {"citationID":"a1h8p3p9bso","properties":{"formattedCitation":"\\super 198\\nosupersub{}","plainCitation":"198","noteIndex":0},"citationItems":[{"id":3270,"uris":["http://zotero.org/groups/2667333/items/CIECEUT2"],"itemData":{"id":3270,"type":"article-journal","abstract":"The ability of dendritic cells to coordinate innate and adaptive immune responses makes them essential targets for vaccination strategies. Presentation of specific antigens by dendritic cells is required for the activation of the immune system against many pathogens and tumors, and nanoscale materials can be functionalized for active targeting of dendritic cells. In this work, we integrated an immunogenic, carbohydrate melanoma-associated antigen-mimetic GM3-lactone molecule into mannosylated peptide amphiphile nanofibers to target dendritic cells through DC-SIGN receptor. Based on morphological and functional analyses, when dendritic cells were treated with peptide nanofiber carriers, they showed significant increase in antigen internalization and a corresponding increase in the surface expression of the activation and maturation markers CD86, CD83 and HLA-DR, in addition to exhibiting a general morphology consistent with dendritic cell maturation. These results indicate that mannosylated peptide amphiphile nanofiber carriers are promising candidates to target dendritic cells for antigen delivery.","container-title":"ACS Applied Materials &amp; Interfaces","DOI":"10.1021/acsami.7b04094","ISSN":"1944-8244","issue":"19","journalAbbreviation":"ACS Appl. Mater. Interfaces","note":"publisher: American Chemical Society","page":"16035-16042","source":"ACS Publications","title":"Antigenic GM3 Lactone Mimetic Molecule Integrated Mannosylated Glycopeptide Nanofibers for the Activation and Maturation of Dendritic Cells","URL":"https://doi.org/10.1021/acsami.7b04094","volume":"9","author":[{"family":"Gunay","given":"Gokhan"},{"family":"Sardan Ekiz","given":"Melis"},{"family":"Ferhati","given":"Xhenti"},{"family":"Richichi","given":"Barbara"},{"family":"Nativi","given":"Cristina"},{"family":"Tekinay","given":"Ayse B."},{"family":"Guler","given":"Mustafa O."}],"accessed":{"date-parts":[["2020",12,30]]},"issued":{"date-parts":[["2017",5,17]]},"citation-key":"gunay_antigenic_2017"}}],"schema":"https://github.com/citation-style-language/schema/raw/master/csl-citation.json"} </w:instrText>
      </w:r>
      <w:r w:rsidR="00236CA8" w:rsidRPr="002A7128">
        <w:rPr>
          <w:rFonts w:ascii="Calibri" w:hAnsi="Calibri" w:cs="Calibri"/>
        </w:rPr>
        <w:fldChar w:fldCharType="separate"/>
      </w:r>
      <w:r w:rsidR="00A64B61" w:rsidRPr="002A7128">
        <w:rPr>
          <w:rFonts w:ascii="Calibri" w:hAnsi="Calibri" w:cs="Calibri"/>
          <w:vertAlign w:val="superscript"/>
        </w:rPr>
        <w:t>198</w:t>
      </w:r>
      <w:r w:rsidR="00236CA8" w:rsidRPr="002A7128">
        <w:rPr>
          <w:rFonts w:ascii="Calibri" w:hAnsi="Calibri" w:cs="Calibri"/>
        </w:rPr>
        <w:fldChar w:fldCharType="end"/>
      </w:r>
      <w:r w:rsidR="00236CA8" w:rsidRPr="002A7128">
        <w:rPr>
          <w:rFonts w:ascii="Calibri" w:hAnsi="Calibri" w:cs="Calibri"/>
        </w:rPr>
        <w:t>.</w:t>
      </w:r>
      <w:r w:rsidRPr="002A7128">
        <w:rPr>
          <w:rFonts w:ascii="Calibri" w:hAnsi="Calibri" w:cs="Calibri"/>
        </w:rPr>
        <w:t xml:space="preserve"> We treated red-labeled OVCAR-8 cells for 6h with [II] and co-cultured them with green-labeled THP-1 macrophages for 2h. We observed phagocytosis of [II] treated cells by the macrophages, yet control cells were </w:t>
      </w:r>
      <w:r w:rsidR="006F36BA" w:rsidRPr="002A7128">
        <w:rPr>
          <w:rFonts w:ascii="Calibri" w:hAnsi="Calibri" w:cs="Calibri"/>
        </w:rPr>
        <w:t>not phagocytosed</w:t>
      </w:r>
      <w:r w:rsidR="001A5498" w:rsidRPr="002A7128">
        <w:rPr>
          <w:rFonts w:ascii="Calibri" w:hAnsi="Calibri" w:cs="Calibri"/>
        </w:rPr>
        <w:t xml:space="preserve"> (</w:t>
      </w:r>
      <w:r w:rsidR="001A5498" w:rsidRPr="002A7128">
        <w:rPr>
          <w:rFonts w:ascii="Calibri" w:hAnsi="Calibri" w:cs="Calibri"/>
          <w:b/>
          <w:bCs/>
        </w:rPr>
        <w:fldChar w:fldCharType="begin"/>
      </w:r>
      <w:r w:rsidR="001A5498" w:rsidRPr="002A7128">
        <w:rPr>
          <w:rFonts w:ascii="Calibri" w:hAnsi="Calibri" w:cs="Calibri"/>
          <w:b/>
          <w:bCs/>
        </w:rPr>
        <w:instrText xml:space="preserve"> REF _Ref103530404  \* MERGEFORMAT </w:instrText>
      </w:r>
      <w:r w:rsidR="001A549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11</w:t>
      </w:r>
      <w:r w:rsidR="001A5498" w:rsidRPr="002A7128">
        <w:rPr>
          <w:rFonts w:ascii="Calibri" w:hAnsi="Calibri" w:cs="Calibri"/>
          <w:b/>
          <w:bCs/>
        </w:rPr>
        <w:fldChar w:fldCharType="end"/>
      </w:r>
      <w:r w:rsidR="001A5498" w:rsidRPr="002A7128">
        <w:rPr>
          <w:rFonts w:ascii="Calibri" w:hAnsi="Calibri" w:cs="Calibri"/>
          <w:b/>
          <w:bCs/>
        </w:rPr>
        <w:t>I</w:t>
      </w:r>
      <w:r w:rsidR="001A5498" w:rsidRPr="002A7128">
        <w:rPr>
          <w:rFonts w:ascii="Calibri" w:hAnsi="Calibri" w:cs="Calibri"/>
        </w:rPr>
        <w:t>)</w:t>
      </w:r>
      <w:r w:rsidR="00697A62" w:rsidRPr="002A7128">
        <w:rPr>
          <w:rFonts w:ascii="Calibri" w:hAnsi="Calibri" w:cs="Calibri"/>
        </w:rPr>
        <w:t>.</w:t>
      </w:r>
    </w:p>
    <w:p w14:paraId="17D7DFBC" w14:textId="794711A4" w:rsidR="002C19BE" w:rsidRPr="002A7128" w:rsidRDefault="00697A62">
      <w:pPr>
        <w:pStyle w:val="Heading2"/>
        <w:numPr>
          <w:ilvl w:val="2"/>
          <w:numId w:val="7"/>
        </w:numPr>
        <w:spacing w:line="480" w:lineRule="auto"/>
        <w:rPr>
          <w:rFonts w:ascii="Calibri" w:hAnsi="Calibri" w:cs="Calibri"/>
        </w:rPr>
      </w:pPr>
      <w:bookmarkStart w:id="64" w:name="_Toc120794141"/>
      <w:r w:rsidRPr="002A7128">
        <w:rPr>
          <w:rFonts w:ascii="Calibri" w:hAnsi="Calibri" w:cs="Calibri"/>
        </w:rPr>
        <w:t>Peptide Assembly Induced ICD in Different Cell Types</w:t>
      </w:r>
      <w:bookmarkEnd w:id="64"/>
    </w:p>
    <w:p w14:paraId="32C72D4A" w14:textId="06C7B4D4" w:rsidR="002C19BE" w:rsidRPr="002A7128" w:rsidRDefault="002C19BE" w:rsidP="00F675B4">
      <w:pPr>
        <w:spacing w:line="480" w:lineRule="auto"/>
        <w:jc w:val="both"/>
        <w:rPr>
          <w:rFonts w:ascii="Calibri" w:hAnsi="Calibri" w:cs="Calibri"/>
        </w:rPr>
      </w:pPr>
      <w:r w:rsidRPr="002A7128">
        <w:rPr>
          <w:rFonts w:ascii="Calibri" w:hAnsi="Calibri" w:cs="Calibri"/>
        </w:rPr>
        <w:t xml:space="preserve">Induction of </w:t>
      </w:r>
      <w:proofErr w:type="spellStart"/>
      <w:r w:rsidRPr="002A7128">
        <w:rPr>
          <w:rFonts w:ascii="Calibri" w:hAnsi="Calibri" w:cs="Calibri"/>
        </w:rPr>
        <w:t>pyroptosis</w:t>
      </w:r>
      <w:proofErr w:type="spellEnd"/>
      <w:r w:rsidRPr="002A7128">
        <w:rPr>
          <w:rFonts w:ascii="Calibri" w:hAnsi="Calibri" w:cs="Calibri"/>
        </w:rPr>
        <w:t xml:space="preserve"> through </w:t>
      </w:r>
      <w:proofErr w:type="spellStart"/>
      <w:r w:rsidRPr="002A7128">
        <w:rPr>
          <w:rFonts w:ascii="Calibri" w:hAnsi="Calibri" w:cs="Calibri"/>
        </w:rPr>
        <w:t>raptinal</w:t>
      </w:r>
      <w:proofErr w:type="spellEnd"/>
      <w:r w:rsidRPr="002A7128">
        <w:rPr>
          <w:rFonts w:ascii="Calibri" w:hAnsi="Calibri" w:cs="Calibri"/>
        </w:rPr>
        <w:t xml:space="preserve"> (small drug) was shown to convert to apoptosis in the absence of GSDME, which is immunologically silent</w:t>
      </w:r>
      <w:r w:rsidRPr="002A7128">
        <w:rPr>
          <w:rFonts w:ascii="Calibri" w:hAnsi="Calibri" w:cs="Calibri"/>
        </w:rPr>
        <w:fldChar w:fldCharType="begin"/>
      </w:r>
      <w:r w:rsidR="00A64B61" w:rsidRPr="002A7128">
        <w:rPr>
          <w:rFonts w:ascii="Calibri" w:hAnsi="Calibri" w:cs="Calibri"/>
        </w:rPr>
        <w:instrText xml:space="preserve"> ADDIN ZOTERO_ITEM CSL_CITATION {"citationID":"anodfa3d7b","properties":{"formattedCitation":"\\super 79\\nosupersub{}","plainCitation":"79","noteIndex":0},"citationItems":[{"id":5600,"uris":["http://zotero.org/groups/2667333/items/QLBIH53T"],"itemData":{"id":5600,"type":"article-journal","abstract":"Cleavage of the gasdermin proteins to produce pore-forming amino-terminal fragments causes inflammatory cell death (pyroptosis)1. Gasdermin E (GSDME, also known as DFNA5)—mutated in familial ageing-related hearing loss2—can be cleaved by caspase 3, thereby converting noninflammatory apoptosis to pyroptosis in GSDME-expressing cells3–5. GSDME expression is suppressed in many cancers, and reduced GSDME levels are associated with decreased survival as a result of breast cancer2,6, suggesting that GSDME might be a tumour suppressor. Here we show that 20 of 22 tested cancer-associated GSDME mutations reduce GSDME function. In mice, knocking out Gsdme in GSDME-expressing tumours enhances, whereas ectopic expression in Gsdme-repressed tumours inhibits, tumour growth. This tumour suppression is mediated by killer cytotoxic lymphocytes: it is abrogated in perforin-deficient mice or mice depleted of killer lymphocytes. GSDME expression enhances the phagocytosis of tumour cells by tumour-associated macrophages, as well as the number and functions of tumour-infiltrating natural-killer and CD8+ T lymphocytes. Killer-cell granzyme B also activates caspase-independent pyroptosis in target cells by directly cleaving GSDME at the same site as caspase 3. Uncleavable or pore-defective GSDME proteins are not tumour suppressive. Thus, tumour GSDME acts as a tumour suppressor by activating pyroptosis, enhancing anti-tumour immunity.","container-title":"Nature","DOI":"10.1038/s41586-020-2071-9","ISSN":"1476-4687","issue":"7799","language":"en","license":"2020 The Author(s), under exclusive licence to Springer Nature Limited","note":"number: 7799\npublisher: Nature Publishing Group\ntex.ids= zhang_gasdermin_2020-1","page":"415-420","source":"www.nature.com","title":"Gasdermin E suppresses tumour growth by activating anti-tumour immunity","URL":"https://www.nature.com/articles/s41586-020-2071-9","volume":"579","author":[{"family":"Zhang","given":"Zhibin"},{"family":"Zhang","given":"Ying"},{"family":"Xia","given":"Shiyu"},{"family":"Kong","given":"Qing"},{"family":"Li","given":"Shunying"},{"family":"Liu","given":"Xing"},{"family":"Junqueira","given":"Caroline"},{"family":"Meza-Sosa","given":"Karla F."},{"family":"Mok","given":"Temy Mo Yin"},{"family":"Ansara","given":"James"},{"family":"Sengupta","given":"Satyaki"},{"family":"Yao","given":"Yandan"},{"family":"Wu","given":"Hao"},{"family":"Lieberman","given":"Judy"}],"accessed":{"date-parts":[["2021",1,14]]},"issued":{"date-parts":[["2020",3]]},"citation-key":"zhang_gasdermin_2020-1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79</w:t>
      </w:r>
      <w:r w:rsidRPr="002A7128">
        <w:rPr>
          <w:rFonts w:ascii="Calibri" w:hAnsi="Calibri" w:cs="Calibri"/>
        </w:rPr>
        <w:fldChar w:fldCharType="end"/>
      </w:r>
      <w:r w:rsidRPr="002A7128">
        <w:rPr>
          <w:rFonts w:ascii="Calibri" w:hAnsi="Calibri" w:cs="Calibri"/>
        </w:rPr>
        <w:t>. To identify whether [II] induced ICD requires GSDME expression, we tested various cell lines with different GSDME expression profiles; B16F10 and Panc02 cells lines showed no GSDME expression, while 3T3 fibroblasts had low expression levels compared to OVCAR-8 (</w:t>
      </w:r>
      <w:r w:rsidR="009C2A7D" w:rsidRPr="002A7128">
        <w:rPr>
          <w:rFonts w:ascii="Calibri" w:hAnsi="Calibri" w:cs="Calibri"/>
          <w:b/>
          <w:bCs/>
        </w:rPr>
        <w:fldChar w:fldCharType="begin"/>
      </w:r>
      <w:r w:rsidR="009C2A7D" w:rsidRPr="002A7128">
        <w:rPr>
          <w:rFonts w:ascii="Calibri" w:hAnsi="Calibri" w:cs="Calibri"/>
          <w:b/>
          <w:bCs/>
        </w:rPr>
        <w:instrText xml:space="preserve"> REF _Ref103531954  \* MERGEFORMAT </w:instrText>
      </w:r>
      <w:r w:rsidR="009C2A7D"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12</w:t>
      </w:r>
      <w:r w:rsidR="009C2A7D" w:rsidRPr="002A7128">
        <w:rPr>
          <w:rFonts w:ascii="Calibri" w:hAnsi="Calibri" w:cs="Calibri"/>
          <w:b/>
          <w:bCs/>
        </w:rPr>
        <w:fldChar w:fldCharType="end"/>
      </w:r>
      <w:r w:rsidR="009C2A7D" w:rsidRPr="002A7128">
        <w:rPr>
          <w:rFonts w:ascii="Calibri" w:hAnsi="Calibri" w:cs="Calibri"/>
          <w:b/>
          <w:bCs/>
        </w:rPr>
        <w:t>A</w:t>
      </w:r>
      <w:r w:rsidRPr="002A7128">
        <w:rPr>
          <w:rFonts w:ascii="Calibri" w:hAnsi="Calibri" w:cs="Calibri"/>
        </w:rPr>
        <w:t>). Incubation of 0.5 mM [II] showed a similar cell membrane rupture effect with these cell lines, as indicated by PI uptake (</w:t>
      </w:r>
      <w:r w:rsidR="009C2A7D" w:rsidRPr="002A7128">
        <w:rPr>
          <w:rFonts w:ascii="Calibri" w:hAnsi="Calibri" w:cs="Calibri"/>
          <w:b/>
          <w:bCs/>
        </w:rPr>
        <w:fldChar w:fldCharType="begin"/>
      </w:r>
      <w:r w:rsidR="009C2A7D" w:rsidRPr="002A7128">
        <w:rPr>
          <w:rFonts w:ascii="Calibri" w:hAnsi="Calibri" w:cs="Calibri"/>
          <w:b/>
          <w:bCs/>
        </w:rPr>
        <w:instrText xml:space="preserve"> REF _Ref103531954  \* MERGEFORMAT </w:instrText>
      </w:r>
      <w:r w:rsidR="009C2A7D"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12</w:t>
      </w:r>
      <w:r w:rsidR="009C2A7D" w:rsidRPr="002A7128">
        <w:rPr>
          <w:rFonts w:ascii="Calibri" w:hAnsi="Calibri" w:cs="Calibri"/>
          <w:b/>
          <w:bCs/>
        </w:rPr>
        <w:fldChar w:fldCharType="end"/>
      </w:r>
      <w:r w:rsidR="009C2A7D" w:rsidRPr="002A7128">
        <w:rPr>
          <w:rFonts w:ascii="Calibri" w:hAnsi="Calibri" w:cs="Calibri"/>
          <w:b/>
          <w:bCs/>
        </w:rPr>
        <w:t>B</w:t>
      </w:r>
      <w:r w:rsidRPr="002A7128">
        <w:rPr>
          <w:rFonts w:ascii="Calibri" w:hAnsi="Calibri" w:cs="Calibri"/>
        </w:rPr>
        <w:t>). [II] initiated the extracellular release of DAMPs; HMGB-1 and HSP90 in 6h (</w:t>
      </w:r>
      <w:r w:rsidR="009C2A7D" w:rsidRPr="002A7128">
        <w:rPr>
          <w:rFonts w:ascii="Calibri" w:hAnsi="Calibri" w:cs="Calibri"/>
          <w:b/>
          <w:bCs/>
        </w:rPr>
        <w:fldChar w:fldCharType="begin"/>
      </w:r>
      <w:r w:rsidR="009C2A7D" w:rsidRPr="002A7128">
        <w:rPr>
          <w:rFonts w:ascii="Calibri" w:hAnsi="Calibri" w:cs="Calibri"/>
          <w:b/>
          <w:bCs/>
        </w:rPr>
        <w:instrText xml:space="preserve"> REF _Ref103531954  \* MERGEFORMAT </w:instrText>
      </w:r>
      <w:r w:rsidR="009C2A7D"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12</w:t>
      </w:r>
      <w:r w:rsidR="009C2A7D" w:rsidRPr="002A7128">
        <w:rPr>
          <w:rFonts w:ascii="Calibri" w:hAnsi="Calibri" w:cs="Calibri"/>
          <w:b/>
          <w:bCs/>
        </w:rPr>
        <w:fldChar w:fldCharType="end"/>
      </w:r>
      <w:r w:rsidR="009C2A7D" w:rsidRPr="002A7128">
        <w:rPr>
          <w:rFonts w:ascii="Calibri" w:hAnsi="Calibri" w:cs="Calibri"/>
          <w:b/>
          <w:bCs/>
        </w:rPr>
        <w:t>C</w:t>
      </w:r>
      <w:r w:rsidRPr="002A7128">
        <w:rPr>
          <w:rFonts w:ascii="Calibri" w:hAnsi="Calibri" w:cs="Calibri"/>
        </w:rPr>
        <w:t>). Bubbling cell membrane structures were not observed in the cells that lacked GSDME (</w:t>
      </w:r>
      <w:r w:rsidR="009C2A7D" w:rsidRPr="002A7128">
        <w:rPr>
          <w:rFonts w:ascii="Calibri" w:hAnsi="Calibri" w:cs="Calibri"/>
          <w:b/>
          <w:bCs/>
        </w:rPr>
        <w:fldChar w:fldCharType="begin"/>
      </w:r>
      <w:r w:rsidR="009C2A7D" w:rsidRPr="002A7128">
        <w:rPr>
          <w:rFonts w:ascii="Calibri" w:hAnsi="Calibri" w:cs="Calibri"/>
          <w:b/>
          <w:bCs/>
        </w:rPr>
        <w:instrText xml:space="preserve"> REF _Ref103531954  \* MERGEFORMAT </w:instrText>
      </w:r>
      <w:r w:rsidR="009C2A7D"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12</w:t>
      </w:r>
      <w:r w:rsidR="009C2A7D" w:rsidRPr="002A7128">
        <w:rPr>
          <w:rFonts w:ascii="Calibri" w:hAnsi="Calibri" w:cs="Calibri"/>
          <w:b/>
          <w:bCs/>
        </w:rPr>
        <w:fldChar w:fldCharType="end"/>
      </w:r>
      <w:r w:rsidR="009C2A7D" w:rsidRPr="002A7128">
        <w:rPr>
          <w:rFonts w:ascii="Calibri" w:hAnsi="Calibri" w:cs="Calibri"/>
          <w:b/>
          <w:bCs/>
        </w:rPr>
        <w:t>A</w:t>
      </w:r>
      <w:r w:rsidRPr="002A7128">
        <w:rPr>
          <w:rFonts w:ascii="Calibri" w:hAnsi="Calibri" w:cs="Calibri"/>
        </w:rPr>
        <w:t xml:space="preserve">), suggesting that </w:t>
      </w:r>
      <w:proofErr w:type="spellStart"/>
      <w:r w:rsidRPr="002A7128">
        <w:rPr>
          <w:rFonts w:ascii="Calibri" w:hAnsi="Calibri" w:cs="Calibri"/>
        </w:rPr>
        <w:t>pyroptosis</w:t>
      </w:r>
      <w:proofErr w:type="spellEnd"/>
      <w:r w:rsidRPr="002A7128">
        <w:rPr>
          <w:rFonts w:ascii="Calibri" w:hAnsi="Calibri" w:cs="Calibri"/>
        </w:rPr>
        <w:t xml:space="preserve"> did not occur. These results show that [II] induced ICD is not dependent on GSDME, although it also has a GSDME-regulated secondary mechanism. </w:t>
      </w:r>
      <w:r w:rsidRPr="002A7128">
        <w:rPr>
          <w:rFonts w:ascii="Calibri" w:hAnsi="Calibri" w:cs="Calibri"/>
        </w:rPr>
        <w:lastRenderedPageBreak/>
        <w:t>Expression of GSDME was linked to anti-tumor immunity and tumor suppression</w:t>
      </w:r>
      <w:r w:rsidRPr="002A7128">
        <w:rPr>
          <w:rFonts w:ascii="Calibri" w:hAnsi="Calibri" w:cs="Calibri"/>
        </w:rPr>
        <w:fldChar w:fldCharType="begin"/>
      </w:r>
      <w:r w:rsidR="00A64B61" w:rsidRPr="002A7128">
        <w:rPr>
          <w:rFonts w:ascii="Calibri" w:hAnsi="Calibri" w:cs="Calibri"/>
        </w:rPr>
        <w:instrText xml:space="preserve"> ADDIN ZOTERO_ITEM CSL_CITATION {"citationID":"au0aogi2hu","properties":{"formattedCitation":"\\super 79\\nosupersub{}","plainCitation":"79","noteIndex":0},"citationItems":[{"id":5600,"uris":["http://zotero.org/groups/2667333/items/QLBIH53T"],"itemData":{"id":5600,"type":"article-journal","abstract":"Cleavage of the gasdermin proteins to produce pore-forming amino-terminal fragments causes inflammatory cell death (pyroptosis)1. Gasdermin E (GSDME, also known as DFNA5)—mutated in familial ageing-related hearing loss2—can be cleaved by caspase 3, thereby converting noninflammatory apoptosis to pyroptosis in GSDME-expressing cells3–5. GSDME expression is suppressed in many cancers, and reduced GSDME levels are associated with decreased survival as a result of breast cancer2,6, suggesting that GSDME might be a tumour suppressor. Here we show that 20 of 22 tested cancer-associated GSDME mutations reduce GSDME function. In mice, knocking out Gsdme in GSDME-expressing tumours enhances, whereas ectopic expression in Gsdme-repressed tumours inhibits, tumour growth. This tumour suppression is mediated by killer cytotoxic lymphocytes: it is abrogated in perforin-deficient mice or mice depleted of killer lymphocytes. GSDME expression enhances the phagocytosis of tumour cells by tumour-associated macrophages, as well as the number and functions of tumour-infiltrating natural-killer and CD8+ T lymphocytes. Killer-cell granzyme B also activates caspase-independent pyroptosis in target cells by directly cleaving GSDME at the same site as caspase 3. Uncleavable or pore-defective GSDME proteins are not tumour suppressive. Thus, tumour GSDME acts as a tumour suppressor by activating pyroptosis, enhancing anti-tumour immunity.","container-title":"Nature","DOI":"10.1038/s41586-020-2071-9","ISSN":"1476-4687","issue":"7799","language":"en","license":"2020 The Author(s), under exclusive licence to Springer Nature Limited","note":"number: 7799\npublisher: Nature Publishing Group\ntex.ids= zhang_gasdermin_2020-1","page":"415-420","source":"www.nature.com","title":"Gasdermin E suppresses tumour growth by activating anti-tumour immunity","URL":"https://www.nature.com/articles/s41586-020-2071-9","volume":"579","author":[{"family":"Zhang","given":"Zhibin"},{"family":"Zhang","given":"Ying"},{"family":"Xia","given":"Shiyu"},{"family":"Kong","given":"Qing"},{"family":"Li","given":"Shunying"},{"family":"Liu","given":"Xing"},{"family":"Junqueira","given":"Caroline"},{"family":"Meza-Sosa","given":"Karla F."},{"family":"Mok","given":"Temy Mo Yin"},{"family":"Ansara","given":"James"},{"family":"Sengupta","given":"Satyaki"},{"family":"Yao","given":"Yandan"},{"family":"Wu","given":"Hao"},{"family":"Lieberman","given":"Judy"}],"accessed":{"date-parts":[["2021",1,14]]},"issued":{"date-parts":[["2020",3]]},"citation-key":"zhang_gasdermin_2020-1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79</w:t>
      </w:r>
      <w:r w:rsidRPr="002A7128">
        <w:rPr>
          <w:rFonts w:ascii="Calibri" w:hAnsi="Calibri" w:cs="Calibri"/>
        </w:rPr>
        <w:fldChar w:fldCharType="end"/>
      </w:r>
      <w:r w:rsidRPr="002A7128">
        <w:rPr>
          <w:rFonts w:ascii="Calibri" w:hAnsi="Calibri" w:cs="Calibri"/>
        </w:rPr>
        <w:t>. However, GSDME is expressed at low levels in most cancer types</w:t>
      </w:r>
      <w:r w:rsidRPr="002A7128">
        <w:rPr>
          <w:rFonts w:ascii="Calibri" w:hAnsi="Calibri" w:cs="Calibri"/>
        </w:rPr>
        <w:fldChar w:fldCharType="begin"/>
      </w:r>
      <w:r w:rsidR="00A64B61" w:rsidRPr="002A7128">
        <w:rPr>
          <w:rFonts w:ascii="Calibri" w:hAnsi="Calibri" w:cs="Calibri"/>
        </w:rPr>
        <w:instrText xml:space="preserve"> ADDIN ZOTERO_ITEM CSL_CITATION {"citationID":"a27ud761ben","properties":{"formattedCitation":"\\super 80\\nosupersub{}","plainCitation":"80","noteIndex":0},"citationItems":[{"id":7073,"uris":["http://zotero.org/groups/2667333/items/MJQJZ6UJ"],"itemData":{"id":7073,"type":"article-journal","abstract":"Objectives:\n              The DFNA5 gene was identified in 1998 as a gene that causes an autosomal dominant form of hearing impairment. Five different DFNA5 mutations have been found; each results in skipping of exon 8 at the messenger RNA level. This finding indicates that DFNA5-associated hearing loss is attributable to a highly specific gain-of-function mutation. Interestingly, later reports revealed that DFNA5 also plays a role in tumor biology.\n            \n            \n              Methods:\n              Recent data have shed more light on the biological function of DFNA5. Through a literature search, the current knowledge of this gene is reviewed.\n            \n            \n              Results:\n              DFNA5 is the first gene for monogenic deafness that is known to involve apoptosis as a disease mechanism — A mechanism that was shown to be involved in frequent types of hearing loss caused by age, noise, or drugs. In line with its apoptosis-inducing properties, DFNA5 is a tumor suppressor gene with an important role in major types of tumors.\n            \n            \n              Conclusions:\n              DFNA5 is a tumor suppressor gene that is involved in apoptosis pathways and as such performs a basic role in cell survival. In view of the known role of apoptosis in several forms of hearing loss, DFNA5 may be a player in the underlying disease mechanisms.","container-title":"Annals of Otology, Rhinology &amp; Laryngology","DOI":"10.1177/000348941212100310","ISSN":"0003-4894, 1943-572X","issue":"3","journalAbbreviation":"Ann Otol Rhinol Laryngol","language":"en","page":"197-207","source":"DOI.org (Crossref)","title":"DFNA5, a Gene Involved in Hearing Loss and Cancer: A Review","title-short":"DFNA5, a Gene Involved in Hearing Loss and Cancer","URL":"http://journals.sagepub.com/doi/10.1177/000348941212100310","volume":"121","author":[{"family":"Op de Beeck","given":"Ken"},{"family":"Van Laer","given":"Lut"},{"family":"Van Camp","given":"Guy"}],"accessed":{"date-parts":[["2021",8,11]]},"issued":{"date-parts":[["2012",3]]},"citation-key":"op_de_beeck_dfna5_2012"}}],"schema":"https://github.com/citation-style-language/schema/raw/master/csl-citation.json"}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80</w:t>
      </w:r>
      <w:r w:rsidRPr="002A7128">
        <w:rPr>
          <w:rFonts w:ascii="Calibri" w:hAnsi="Calibri" w:cs="Calibri"/>
        </w:rPr>
        <w:fldChar w:fldCharType="end"/>
      </w:r>
      <w:r w:rsidRPr="002A7128">
        <w:rPr>
          <w:rFonts w:ascii="Calibri" w:hAnsi="Calibri" w:cs="Calibri"/>
        </w:rPr>
        <w:t xml:space="preserve"> due to epigenetic silencing through methylation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{"citationID":"agucmt1p4g","properties":{"formattedCitation":"\\super 81\\nosupersub{}","plainCitation":"81","noteIndex":0},"citationItems":[{"id":7074,"uris":["http://zotero.org/groups/2667333/items/XF5IT5NP"],"itemData":{"id":7074,"type":"article-journal","container-title":"Cancer Science","DOI":"10.1111/j.1349-7006.2006.00351.x","ISSN":"1347-9032, 1349-7006","issue":"1","journalAbbreviation":"Cancer Science","language":"en","note":"tex.ids= akino_identification_2007-1","page":"88-95","source":"DOI.org (Crossref)","title":"Identification of DFNA5 as a target of epigenetic inactivation in gastric cancer","URL":"https://onlinelibrary.wiley.com/doi/10.1111/j.1349-7006.2006.00351.x","volume":"98","author":[{"family":"Akino","given":"Kimishige"},{"family":"Toyota","given":"Minoru"},{"family":"Suzuki","given":"Hiromu"},{"family":"Imai","given":"Takashi"},{"family":"Maruyama","given":"Reo"},{"family":"Kusano","given":"Masanobu"},{"family":"Nishikawa","given":"Noriko"},{"family":"Watanabe","given":"Yoshiyuki"},{"family":"Sasaki","given":"Yasushi"},{"family":"Abe","given":"Tamaki"},{"family":"Yamamoto","given":"Eiichiro"},{"family":"Tarasawa","given":"Isao"},{"family":"Sonoda","given":"Tomoko"},{"family":"Mori","given":"Mitsuru"},{"family":"Imai","given":"Kohzoh"},{"family":"Shinomura","given":"Yasuhisa"},{"family":"Tokino","given":"Takashi"}],"accessed":{"date-parts":[["2021",8,11]]},"issued":{"date-parts":[["2007",1]]},"citation-key":"akino_identification_2007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81</w:t>
      </w:r>
      <w:r w:rsidRPr="002A7128">
        <w:rPr>
          <w:rFonts w:ascii="Calibri" w:hAnsi="Calibri" w:cs="Calibri"/>
        </w:rPr>
        <w:fldChar w:fldCharType="end"/>
      </w:r>
      <w:r w:rsidRPr="002A7128">
        <w:rPr>
          <w:rFonts w:ascii="Calibri" w:hAnsi="Calibri" w:cs="Calibri"/>
        </w:rPr>
        <w:t>.</w:t>
      </w:r>
    </w:p>
    <w:p w14:paraId="660180CD" w14:textId="4AFEE368" w:rsidR="002C19BE" w:rsidRPr="002A7128" w:rsidRDefault="002C19BE" w:rsidP="00F675B4">
      <w:pPr>
        <w:spacing w:line="480" w:lineRule="auto"/>
        <w:jc w:val="both"/>
        <w:rPr>
          <w:rFonts w:ascii="Calibri" w:hAnsi="Calibri" w:cs="Calibri"/>
        </w:rPr>
      </w:pPr>
      <w:r w:rsidRPr="002A7128">
        <w:rPr>
          <w:rFonts w:ascii="Calibri" w:hAnsi="Calibri" w:cs="Calibri"/>
        </w:rPr>
        <w:t>One of the cell types we analyzed was fibroblasts, an abundant cell type in the subcutaneous layer</w:t>
      </w:r>
      <w:r w:rsidRPr="002A7128">
        <w:rPr>
          <w:rFonts w:ascii="Calibri" w:hAnsi="Calibri" w:cs="Calibri"/>
        </w:rPr>
        <w:fldChar w:fldCharType="begin"/>
      </w:r>
      <w:r w:rsidR="00A64B61" w:rsidRPr="002A7128">
        <w:rPr>
          <w:rFonts w:ascii="Calibri" w:hAnsi="Calibri" w:cs="Calibri"/>
        </w:rPr>
        <w:instrText xml:space="preserve"> ADDIN ZOTERO_ITEM CSL_CITATION {"citationID":"a2hjunvlpsp","properties":{"formattedCitation":"\\super 199\\nosupersub{}","plainCitation":"199","noteIndex":0},"citationItems":[{"id":9058,"uris":["http://zotero.org/groups/2667333/items/Z6KEIBDL"],"itemData":{"id":9058,"type":"article-journal","container-title":"Journal of Cellular Physiology","DOI":"10.1002/jcp.20623","ISSN":"0021-9541, 1097-4652","issue":"3","journalAbbreviation":"J. Cell. Physiol.","language":"en","page":"767-774","source":"DOI.org (Crossref)","title":"Subcutaneous tissue fibroblast cytoskeletal remodeling induced by acupuncture: Evidence for a mechanotransduction-based mechanism","title-short":"Subcutaneous tissue fibroblast cytoskeletal remodeling induced by acupuncture","URL":"https://onlinelibrary.wiley.com/doi/10.1002/jcp.20623","volume":"207","author":[{"family":"Langevin","given":"Helene M."},{"family":"Bouffard","given":"Nicole A."},{"family":"Badger","given":"Gary J."},{"family":"Churchill","given":"David L."},{"family":"Howe","given":"Alan K."}],"accessed":{"date-parts":[["2021",9,12]]},"issued":{"date-parts":[["2006",6]]},"citation-key":"langevin_subcutaneous_2006"}}],"schema":"https://github.com/citation-style-language/schema/raw/master/csl-citation.json"}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199</w:t>
      </w:r>
      <w:r w:rsidRPr="002A7128">
        <w:rPr>
          <w:rFonts w:ascii="Calibri" w:hAnsi="Calibri" w:cs="Calibri"/>
        </w:rPr>
        <w:fldChar w:fldCharType="end"/>
      </w:r>
      <w:r w:rsidRPr="002A7128">
        <w:rPr>
          <w:rFonts w:ascii="Calibri" w:hAnsi="Calibri" w:cs="Calibri"/>
        </w:rPr>
        <w:t>. After subcutaneous vaccination, the stimulation of DAMP release from fibroblasts would act as natural adjuvants. Therefore, we quantified the [II] induced ICD of 3T3 fibroblasts with time-dependent cell death and LDH release (</w:t>
      </w:r>
      <w:r w:rsidR="00356D94" w:rsidRPr="002A7128">
        <w:rPr>
          <w:rFonts w:ascii="Calibri" w:hAnsi="Calibri" w:cs="Calibri"/>
          <w:b/>
          <w:bCs/>
        </w:rPr>
        <w:fldChar w:fldCharType="begin"/>
      </w:r>
      <w:r w:rsidR="00356D94" w:rsidRPr="002A7128">
        <w:rPr>
          <w:rFonts w:ascii="Calibri" w:hAnsi="Calibri" w:cs="Calibri"/>
          <w:b/>
          <w:bCs/>
        </w:rPr>
        <w:instrText xml:space="preserve"> REF _Ref103531954  \* MERGEFORMAT </w:instrText>
      </w:r>
      <w:r w:rsidR="00356D94"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12</w:t>
      </w:r>
      <w:r w:rsidR="00356D94" w:rsidRPr="002A7128">
        <w:rPr>
          <w:rFonts w:ascii="Calibri" w:hAnsi="Calibri" w:cs="Calibri"/>
          <w:b/>
          <w:bCs/>
        </w:rPr>
        <w:fldChar w:fldCharType="end"/>
      </w:r>
      <w:r w:rsidR="00356D94" w:rsidRPr="002A7128">
        <w:rPr>
          <w:rFonts w:ascii="Calibri" w:hAnsi="Calibri" w:cs="Calibri"/>
          <w:b/>
          <w:bCs/>
        </w:rPr>
        <w:t>D, E and F</w:t>
      </w:r>
      <w:r w:rsidRPr="002A7128">
        <w:rPr>
          <w:rFonts w:ascii="Calibri" w:hAnsi="Calibri" w:cs="Calibri"/>
        </w:rPr>
        <w:t>), and the effect of [II] on fibroblasts was similar to that on OVCAR8.</w:t>
      </w:r>
    </w:p>
    <w:p w14:paraId="179149BC" w14:textId="77777777" w:rsidR="009C2A7D" w:rsidRPr="002A7128" w:rsidRDefault="009C2A7D" w:rsidP="00F675B4">
      <w:pPr>
        <w:keepNext/>
        <w:spacing w:line="480" w:lineRule="auto"/>
        <w:jc w:val="both"/>
        <w:rPr>
          <w:rFonts w:ascii="Calibri" w:hAnsi="Calibri" w:cs="Calibri"/>
        </w:rPr>
      </w:pPr>
      <w:r w:rsidRPr="002A7128">
        <w:rPr>
          <w:rFonts w:ascii="Calibri" w:hAnsi="Calibri" w:cs="Calibri"/>
          <w:noProof/>
        </w:rPr>
        <w:drawing>
          <wp:inline distT="0" distB="0" distL="0" distR="0" wp14:anchorId="5B9AE59F" wp14:editId="72DAF8F6">
            <wp:extent cx="5943600" cy="4090035"/>
            <wp:effectExtent l="0" t="0" r="0" b="0"/>
            <wp:docPr id="22" name="Picture 2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applicati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090035"/>
                    </a:xfrm>
                    <a:prstGeom prst="rect">
                      <a:avLst/>
                    </a:prstGeom>
                  </pic:spPr>
                </pic:pic>
              </a:graphicData>
            </a:graphic>
          </wp:inline>
        </w:drawing>
      </w:r>
    </w:p>
    <w:p w14:paraId="62B73082" w14:textId="20166905" w:rsidR="002C19BE" w:rsidRPr="002A7128" w:rsidRDefault="009C2A7D" w:rsidP="00250FBA">
      <w:pPr>
        <w:pStyle w:val="Caption"/>
        <w:spacing w:line="480" w:lineRule="auto"/>
        <w:jc w:val="both"/>
        <w:rPr>
          <w:rFonts w:ascii="Calibri" w:hAnsi="Calibri" w:cs="Calibri"/>
          <w:i w:val="0"/>
          <w:iCs w:val="0"/>
          <w:color w:val="000000" w:themeColor="text1"/>
          <w:sz w:val="24"/>
          <w:szCs w:val="24"/>
        </w:rPr>
      </w:pPr>
      <w:bookmarkStart w:id="65" w:name="_Ref103531954"/>
      <w:bookmarkStart w:id="66" w:name="_Toc120789430"/>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12</w:t>
      </w:r>
      <w:r w:rsidRPr="002A7128">
        <w:rPr>
          <w:rFonts w:ascii="Calibri" w:hAnsi="Calibri" w:cs="Calibri"/>
          <w:b/>
          <w:bCs/>
          <w:i w:val="0"/>
          <w:iCs w:val="0"/>
          <w:color w:val="000000" w:themeColor="text1"/>
          <w:sz w:val="24"/>
          <w:szCs w:val="24"/>
        </w:rPr>
        <w:fldChar w:fldCharType="end"/>
      </w:r>
      <w:bookmarkEnd w:id="65"/>
      <w:r w:rsidRPr="002A7128">
        <w:rPr>
          <w:rFonts w:ascii="Calibri" w:hAnsi="Calibri" w:cs="Calibri"/>
          <w:b/>
          <w:bCs/>
          <w:i w:val="0"/>
          <w:iCs w:val="0"/>
          <w:color w:val="000000" w:themeColor="text1"/>
          <w:sz w:val="24"/>
          <w:szCs w:val="24"/>
        </w:rPr>
        <w:t xml:space="preserve"> [II] induced membrane rupture and DAMP release is not cell </w:t>
      </w:r>
      <w:r w:rsidR="00FC7B61" w:rsidRPr="002A7128">
        <w:rPr>
          <w:rFonts w:ascii="Calibri" w:hAnsi="Calibri" w:cs="Calibri"/>
          <w:b/>
          <w:bCs/>
          <w:i w:val="0"/>
          <w:iCs w:val="0"/>
          <w:color w:val="000000" w:themeColor="text1"/>
          <w:sz w:val="24"/>
          <w:szCs w:val="24"/>
        </w:rPr>
        <w:t>type specific</w:t>
      </w:r>
      <w:r w:rsidRPr="002A7128">
        <w:rPr>
          <w:rFonts w:ascii="Calibri" w:hAnsi="Calibri" w:cs="Calibri"/>
          <w:b/>
          <w:bCs/>
          <w:i w:val="0"/>
          <w:iCs w:val="0"/>
          <w:color w:val="000000" w:themeColor="text1"/>
          <w:sz w:val="24"/>
          <w:szCs w:val="24"/>
        </w:rPr>
        <w:t>.</w:t>
      </w:r>
      <w:r w:rsidRPr="002A7128">
        <w:rPr>
          <w:rFonts w:ascii="Calibri" w:hAnsi="Calibri" w:cs="Calibri"/>
          <w:i w:val="0"/>
          <w:iCs w:val="0"/>
          <w:color w:val="000000" w:themeColor="text1"/>
          <w:sz w:val="24"/>
          <w:szCs w:val="24"/>
        </w:rPr>
        <w:t xml:space="preserve"> (A) GSDME analysis of OVCAR-8, B16F10, Panc02 and 3T3 cells. (B) PI uptake at 6h of [II] treatment on cells. (C) HMGB-1 and HSP90 release to the supernatant (SN) at 6h. (D) Time dependent viability </w:t>
      </w:r>
      <w:r w:rsidRPr="002A7128">
        <w:rPr>
          <w:rFonts w:ascii="Calibri" w:hAnsi="Calibri" w:cs="Calibri"/>
          <w:i w:val="0"/>
          <w:iCs w:val="0"/>
          <w:color w:val="000000" w:themeColor="text1"/>
          <w:sz w:val="24"/>
          <w:szCs w:val="24"/>
        </w:rPr>
        <w:lastRenderedPageBreak/>
        <w:t>measurement. (E) Time-dependent LDH release. (F) Phase-contrast images of [II] treated fibroblasts at 1, 3 and 6h. Data are representative of at least three experiments. Statistical analysis was done by one-way ANOVA test, data shown are mean ± SD, ****p&lt;0.0001, ***p&lt;0.001.</w:t>
      </w:r>
      <w:bookmarkEnd w:id="66"/>
    </w:p>
    <w:p w14:paraId="7BAFB03C" w14:textId="3D59C325" w:rsidR="002A45FA" w:rsidRPr="002A7128" w:rsidRDefault="002C19BE" w:rsidP="00F675B4">
      <w:pPr>
        <w:spacing w:line="480" w:lineRule="auto"/>
        <w:jc w:val="both"/>
        <w:rPr>
          <w:rFonts w:ascii="Calibri" w:hAnsi="Calibri" w:cs="Calibri"/>
        </w:rPr>
      </w:pPr>
      <w:r w:rsidRPr="002A7128">
        <w:rPr>
          <w:rFonts w:ascii="Calibri" w:hAnsi="Calibri" w:cs="Calibri"/>
        </w:rPr>
        <w:t>Observation of ICD in various cell lines makes PAIIR an excellent adjuvant candidate. Although the mechanisms of clinically available adjuvants have not been entirely elucidated, the local cell death induction is a known part of their mechanism</w:t>
      </w:r>
      <w:r w:rsidRPr="002A7128">
        <w:rPr>
          <w:rFonts w:ascii="Calibri" w:hAnsi="Calibri" w:cs="Calibri"/>
        </w:rPr>
        <w:fldChar w:fldCharType="begin"/>
      </w:r>
      <w:r w:rsidR="00317E7D" w:rsidRPr="002A7128">
        <w:rPr>
          <w:rFonts w:ascii="Calibri" w:hAnsi="Calibri" w:cs="Calibri"/>
        </w:rPr>
        <w:instrText xml:space="preserve"> ADDIN ZOTERO_ITEM CSL_CITATION {"citationID":"a198qce3oam","properties":{"formattedCitation":"\\super 149\\nosupersub{}","plainCitation":"149","noteIndex":0},"citationItems":[{"id":2565,"uris":["http://zotero.org/groups/2667333/items/UVXUQZSN"],"itemData":{"id":2565,"type":"article-journal","abstract":"Recently, it was reported that 2-hydroxypropyl-beta-cyclodextrin (HP-beta-CyD), a common pharmaceutical additive, can act as a vaccine adjuvant to enhance protective type-2 immunogenicity to co-administered seasonal influenza split vaccine by inducing host-derived damage-associated molecular patterns (DAMPs). However, like most other DAMP-inducing adjuvants such as aluminum hydroxide (Alum), HP-beta-CyD may not be sufficient for the induction of protective type-1 (cellular) immune responses, thereby leaving room for improvement. Here, we demonstrate that a combination of HP-beta-CyD with a humanized TLR9 agonist, K3 CpG-ODN, a potent pathogen-associated molecular pattern (PAMP), enhanced the protective efficacy of the co-administered influenza split vaccine by inducing antigen-specific type-2 and type-1 immune responses, respectively. Moreover, substantial antigen-specific IgE induction by HP-beta-CyD, which can cause an allergic response to immunized antigen was completely suppressed by the addition of K3 CpG-ODN. Furthermore, HP-beta-CyD- and K3 CpG-ODN-adjuvanted influenza split vaccination protected the mice against lethal challenge with high doses of heterologous influenza virus, which could not be protected against by single adjuvant vaccines. Further experiments using gene deficient mice revealed the unique immunological mechanism of action in vivo, where type-2 and type-1 immune responses enhanced by the combined adjuvants were dependent on TBK1 and TLR9, respectively, indicating their parallel signaling pathways. Finally, the analysis of immune responses in the draining lymph node suggested that HP-beta-CyD promotes the uptake of K3 CpG-ODN by plasmacytoid dendritic cells and B cells, which may contributes to the activation of these cells and enhanced production of IgG2c. Taken together, the results above may offer potential clinical applications for the combination of DAMP-inducing adjuvant and PAMP adjuvant to improve vaccine immunogenicity and efficacy by enhancing both type-2 and type-1 immune responses in a parallel manner.","container-title":"Frontiers in Immunology","DOI":"10.3389/fimmu.2018.02619","ISSN":"1664-3224","journalAbbreviation":"Front. Immunol.","language":"English","note":"ZSCC: NoCitationData[s0] \npublisher: Frontiers\ntex.ids= hayashi_damp-inducing_2018-1","source":"Frontiers","title":"DAMP-Inducing Adjuvant and PAMP Adjuvants Parallelly Enhance Protective Type-2 and Type-1 Immune Responses to Influenza Split Vaccination","URL":"https://www.frontiersin.org/articles/10.3389/fimmu.2018.02619/full#B31","volume":"9","author":[{"family":"Hayashi","given":"Tomoya"},{"family":"Momota","given":"Masatoshi"},{"family":"Kuroda","given":"Etsushi"},{"family":"Kusakabe","given":"Takato"},{"family":"Kobari","given":"Shingo"},{"family":"Makisaka","given":"Kotaro"},{"family":"Ohno","given":"Yoshitaka"},{"family":"Suzuki","given":"Yusuke"},{"family":"Nakagawa","given":"Fumika"},{"family":"Lee","given":"Michelle S. J."},{"family":"Coban","given":"Cevayir"},{"family":"Onodera","given":"Risako"},{"family":"Higashi","given":"Taishi"},{"family":"Motoyama","given":"Keiichi"},{"family":"Ishii","given":"Ken J."},{"family":"Arima","given":"Hidetoshi"}],"accessed":{"date-parts":[["2020",7,30]]},"issued":{"date-parts":[["2018"]]},"citation-key":"hayashi_damp-inducing_2018"}}],"schema":"https://github.com/citation-style-language/schema/raw/master/csl-citation.json"}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149</w:t>
      </w:r>
      <w:r w:rsidRPr="002A7128">
        <w:rPr>
          <w:rFonts w:ascii="Calibri" w:hAnsi="Calibri" w:cs="Calibri"/>
        </w:rPr>
        <w:fldChar w:fldCharType="end"/>
      </w:r>
      <w:r w:rsidRPr="002A7128">
        <w:rPr>
          <w:rFonts w:ascii="Calibri" w:hAnsi="Calibri" w:cs="Calibri"/>
        </w:rPr>
        <w:t>. DAMP release from local healthy cells has been shown to be the mechanism of action for commonly utilized adjuvants. MF59 stimulates ATP release from muscle cells</w:t>
      </w:r>
      <w:r w:rsidRPr="002A7128">
        <w:rPr>
          <w:rFonts w:ascii="Calibri" w:hAnsi="Calibri" w:cs="Calibri"/>
        </w:rPr>
        <w:fldChar w:fldCharType="begin"/>
      </w:r>
      <w:r w:rsidR="00317E7D" w:rsidRPr="002A7128">
        <w:rPr>
          <w:rFonts w:ascii="Calibri" w:hAnsi="Calibri" w:cs="Calibri"/>
        </w:rPr>
        <w:instrText xml:space="preserve"> ADDIN ZOTERO_ITEM CSL_CITATION {"citationID":"a2hpuusjr7h","properties":{"formattedCitation":"\\super 71\\nosupersub{}","plainCitation":"71","noteIndex":0},"citationItems":[{"id":6731,"uris":["http://zotero.org/groups/2667333/items/8SKMAZE9"],"itemData":{"id":6731,"type":"article-journal","abstract":"Vaccines are the most effective agents to control infections. In addition to the pathogen antigens, vaccines contain adjuvants that are used to enhance protective immune responses. However, the molecular mechanism of action of most adjuvants is ill-known, and a better understanding of adjuvanticity is needed to develop improved adjuvants based on molecular targets that further enhance vaccine efficacy. This is particularly important for tuberculosis, malaria, AIDS, and other diseases for which protective vaccines do not exist. Release of endogenous danger signals has been linked to adjuvanticity; however, the role of extracellular ATP during vaccination has never been explored. Here, we tested whether ATP release is involved in the immune boosting effect of four common adjuvants: aluminum hydroxide, calcium phosphate, incomplete Freund’s adjuvant, and the oil-in-water emulsion MF59. We found that intramuscular injection is always associated with a weak transient release of ATP, which was greatly enhanced by the presence of MF59 but not by all other adjuvants tested. Local injection of apyrase, an ATP-hydrolyzing enzyme, inhibited cell recruitment in the muscle induced by MF59 but not by alum or incomplete Freund’s adjuvant. In addition, apyrase strongly inhibited influenza-specific T-cell responses and hemagglutination inhibition titers in response to an MF59-adjuvanted trivalent influenza vaccine. These data demonstrate that a transient ATP release is required for innate and adaptive immune responses induced by MF59 and link extracellular ATP with an enhanced response to vaccination.","container-title":"Proceedings of the National Academy of Sciences","DOI":"10.1073/pnas.1319784110","ISSN":"0027-8424, 1091-6490","issue":"52","journalAbbreviation":"PNAS","language":"en","license":"©  . Freely available online through the PNAS open access option.","note":"publisher: National Academy of Sciences\nsection: Biological Sciences\nPMID: 24324152","page":"21095-21100","source":"www.pnas.org","title":"The adjuvant MF59 induces ATP release from muscle that potentiates response to vaccination","URL":"https://www.pnas.org/content/110/52/21095","volume":"110","author":[{"family":"Vono","given":"Maria"},{"family":"Taccone","given":"Marianna"},{"family":"Caccin","given":"Paola"},{"family":"Gallotta","given":"Marilena"},{"family":"Donvito","given":"Giovanna"},{"family":"Falzoni","given":"Simonetta"},{"family":"Palmieri","given":"Emiliano"},{"family":"Pallaoro","given":"Michele"},{"family":"Rappuoli","given":"Rino"},{"family":"Virgilio","given":"Francesco Di"},{"family":"Gregorio","given":"Ennio De"},{"family":"Montecucco","given":"Cesare"},{"family":"Seubert","given":"Anja"}],"accessed":{"date-parts":[["2021",6,15]]},"issued":{"date-parts":[["2013",12,24]]},"citation-key":"vono_adjuvant_2013"}}],"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71</w:t>
      </w:r>
      <w:r w:rsidRPr="002A7128">
        <w:rPr>
          <w:rFonts w:ascii="Calibri" w:hAnsi="Calibri" w:cs="Calibri"/>
        </w:rPr>
        <w:fldChar w:fldCharType="end"/>
      </w:r>
      <w:r w:rsidRPr="002A7128">
        <w:rPr>
          <w:rFonts w:ascii="Calibri" w:hAnsi="Calibri" w:cs="Calibri"/>
        </w:rPr>
        <w:t xml:space="preserve"> while Alum has been shown to stimulate IL-33 from alveolar epithelial cells</w:t>
      </w:r>
      <w:r w:rsidRPr="002A7128">
        <w:rPr>
          <w:rFonts w:ascii="Calibri" w:hAnsi="Calibri" w:cs="Calibri"/>
        </w:rPr>
        <w:fldChar w:fldCharType="begin"/>
      </w:r>
      <w:r w:rsidR="00317E7D" w:rsidRPr="002A7128">
        <w:rPr>
          <w:rFonts w:ascii="Calibri" w:hAnsi="Calibri" w:cs="Calibri"/>
        </w:rPr>
        <w:instrText xml:space="preserve"> ADDIN ZOTERO_ITEM CSL_CITATION {"citationID":"a7kqfdd7a4","properties":{"formattedCitation":"\\super 64\\nosupersub{}","plainCitation":"64","noteIndex":0},"citationItems":[{"id":10002,"uris":["http://zotero.org/groups/2667333/items/DRV4Z9X9"],"itemData":{"id":10002,"type":"article-journal","abstract":"Aluminum hydroxide salts (alum) have been added to inactivated vaccines as safe and effective adjuvants to increase the effectiveness of vaccination. However, the exact cell types and immunological factors that initiate mucosal immune responses to alum adjuvants are unclear. In this study, the mechanism of action of alum adjuvant in nasal vaccination was investigated. Alum has been shown to act as a powerful and unique adjuvant when added to a nasal influenza split vaccine in mice. Alum is cytotoxic in the alveoli and stimulates the release of damage-associated molecular patterns, such as dsDNA, interleukin (IL)-1α, and IL-33. We found that Ag-specific IgA antibody (Ab) production was markedly reduced in IL-33-deficient mice. However, no decrease was observed in Ag-specific IgA Ab production with DNase I treatment, and no decrease was observed in IL-1α/β or IL-6 production in IL-33-deficient mice. From the experimental results of primary cultured cells and immunofluorescence staining, although IL-1α was secreted by alveolar macrophage necroptosis, IL-33 release was observed in alveolar epithelial cell necroptosis but not in alveolar macrophages. Alum- or IL-33-dependent Ag uptake enhancement and elevation of OX40L expression were not observed. By stimulating the release of IL-33, alum induced Th2 immunity via IL-5 and IL-13 production in group 2 innate lymphoid cells (ILC2s) and increased MHC class II expression in antigen-presenting cells (APCs) in the lung. Our results suggest that IL-33 secretion by epithelial cell necroptosis initiates APC- and ILC2-mediated T cell activation, which is important for the enhancement of Ag-specific IgA Ab production by alum.","container-title":"PLOS Pathogens","DOI":"10.1371/journal.ppat.1009890","ISSN":"1553-7374","issue":"8","journalAbbreviation":"PLoS Pathog","language":"en","page":"e1009890","source":"DOI.org (Crossref)","title":"Nasal alum-adjuvanted vaccine promotes IL-33 release from alveolar epithelial cells that elicits IgA production via type 2 immune responses","URL":"https://dx.plos.org/10.1371/journal.ppat.1009890","volume":"17","author":[{"family":"Sasaki","given":"Eita"},{"family":"Asanuma","given":"Hideki"},{"family":"Momose","given":"Haruka"},{"family":"Furuhata","given":"Keiko"},{"family":"Mizukami","given":"Takuo"},{"family":"Hamaguchi","given":"Isao"}],"editor":[{"family":"Heise","given":"Mark T."}],"accessed":{"date-parts":[["2022",2,12]]},"issued":{"date-parts":[["2021",8,30]]},"citation-key":"sasaki_nasal_2021"}}],"schema":"https://github.com/citation-style-language/schema/raw/master/csl-citation.json"}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64</w:t>
      </w:r>
      <w:r w:rsidRPr="002A7128">
        <w:rPr>
          <w:rFonts w:ascii="Calibri" w:hAnsi="Calibri" w:cs="Calibri"/>
        </w:rPr>
        <w:fldChar w:fldCharType="end"/>
      </w:r>
      <w:r w:rsidRPr="002A7128">
        <w:rPr>
          <w:rFonts w:ascii="Calibri" w:hAnsi="Calibri" w:cs="Calibri"/>
        </w:rPr>
        <w:t xml:space="preserve">. </w:t>
      </w:r>
    </w:p>
    <w:p w14:paraId="73E0579D" w14:textId="3C2AC2B6" w:rsidR="00356D94" w:rsidRPr="002A7128" w:rsidRDefault="00356D94">
      <w:pPr>
        <w:pStyle w:val="Heading2"/>
        <w:numPr>
          <w:ilvl w:val="2"/>
          <w:numId w:val="7"/>
        </w:numPr>
        <w:spacing w:line="480" w:lineRule="auto"/>
        <w:rPr>
          <w:rFonts w:ascii="Calibri" w:hAnsi="Calibri" w:cs="Calibri"/>
        </w:rPr>
      </w:pPr>
      <w:bookmarkStart w:id="67" w:name="_Toc120794142"/>
      <w:r w:rsidRPr="002A7128">
        <w:rPr>
          <w:rFonts w:ascii="Calibri" w:hAnsi="Calibri" w:cs="Calibri"/>
        </w:rPr>
        <w:t>[II] Induced Immune Response Enhances the Specific Antibody Formation Against Influenza Antigens</w:t>
      </w:r>
      <w:bookmarkEnd w:id="67"/>
    </w:p>
    <w:p w14:paraId="1F96D3BB" w14:textId="0608397C" w:rsidR="00356D94" w:rsidRPr="002A7128" w:rsidRDefault="00356D94" w:rsidP="00F675B4">
      <w:pPr>
        <w:spacing w:line="480" w:lineRule="auto"/>
        <w:jc w:val="both"/>
        <w:rPr>
          <w:rFonts w:ascii="Calibri" w:hAnsi="Calibri" w:cs="Calibri"/>
        </w:rPr>
      </w:pPr>
      <w:r w:rsidRPr="002A7128">
        <w:rPr>
          <w:rFonts w:ascii="Calibri" w:hAnsi="Calibri" w:cs="Calibri"/>
        </w:rPr>
        <w:t>We tested the hypothesis that the DAMP release caused by [II], in the presence of HA antigen, can enhance the antibody responses to influenza HA (</w:t>
      </w:r>
      <w:r w:rsidRPr="002A7128">
        <w:rPr>
          <w:rFonts w:ascii="Calibri" w:hAnsi="Calibri" w:cs="Calibri"/>
          <w:b/>
          <w:bCs/>
        </w:rPr>
        <w:fldChar w:fldCharType="begin"/>
      </w:r>
      <w:r w:rsidRPr="002A7128">
        <w:rPr>
          <w:rFonts w:ascii="Calibri" w:hAnsi="Calibri" w:cs="Calibri"/>
          <w:b/>
          <w:bCs/>
        </w:rPr>
        <w:instrText xml:space="preserve"> REF _Ref103532376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13</w:t>
      </w:r>
      <w:r w:rsidRPr="002A7128">
        <w:rPr>
          <w:rFonts w:ascii="Calibri" w:hAnsi="Calibri" w:cs="Calibri"/>
          <w:b/>
          <w:bCs/>
        </w:rPr>
        <w:fldChar w:fldCharType="end"/>
      </w:r>
      <w:r w:rsidRPr="002A7128">
        <w:rPr>
          <w:rFonts w:ascii="Calibri" w:hAnsi="Calibri" w:cs="Calibri"/>
          <w:b/>
          <w:bCs/>
        </w:rPr>
        <w:t>A</w:t>
      </w:r>
      <w:r w:rsidRPr="002A7128">
        <w:rPr>
          <w:rFonts w:ascii="Calibri" w:hAnsi="Calibri" w:cs="Calibri"/>
        </w:rPr>
        <w:t xml:space="preserve">). </w:t>
      </w:r>
      <w:proofErr w:type="spellStart"/>
      <w:r w:rsidRPr="002A7128">
        <w:rPr>
          <w:rFonts w:ascii="Calibri" w:hAnsi="Calibri" w:cs="Calibri"/>
        </w:rPr>
        <w:t>Balb</w:t>
      </w:r>
      <w:proofErr w:type="spellEnd"/>
      <w:r w:rsidRPr="002A7128">
        <w:rPr>
          <w:rFonts w:ascii="Calibri" w:hAnsi="Calibri" w:cs="Calibri"/>
        </w:rPr>
        <w:t>/c mice were immunized with PBS vehicle, recombinant HA, [II], or HA + [II]. After 60 days, mice received booster vaccines identical to the initial vaccine dose. Mice were bled at two-time time points after the primary immunization (days 14 and 28) and once after the booster vaccine (day 75). HA-specific IgG1 could not be detected following administration of PBS vehicle or [II] alone (</w:t>
      </w:r>
      <w:r w:rsidRPr="002A7128">
        <w:rPr>
          <w:rFonts w:ascii="Calibri" w:hAnsi="Calibri" w:cs="Calibri"/>
          <w:b/>
          <w:bCs/>
        </w:rPr>
        <w:fldChar w:fldCharType="begin"/>
      </w:r>
      <w:r w:rsidRPr="002A7128">
        <w:rPr>
          <w:rFonts w:ascii="Calibri" w:hAnsi="Calibri" w:cs="Calibri"/>
          <w:b/>
          <w:bCs/>
        </w:rPr>
        <w:instrText xml:space="preserve"> REF _Ref103532376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13</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xml:space="preserve">). HA-specific IgG1 was detected and increased with time since the primary immunization and was increased over </w:t>
      </w:r>
      <w:proofErr w:type="gramStart"/>
      <w:r w:rsidRPr="002A7128">
        <w:rPr>
          <w:rFonts w:ascii="Calibri" w:hAnsi="Calibri" w:cs="Calibri"/>
        </w:rPr>
        <w:t>10 fold</w:t>
      </w:r>
      <w:proofErr w:type="gramEnd"/>
      <w:r w:rsidRPr="002A7128">
        <w:rPr>
          <w:rFonts w:ascii="Calibri" w:hAnsi="Calibri" w:cs="Calibri"/>
        </w:rPr>
        <w:t xml:space="preserve"> by the booster vaccine. At each of these time points, the addition of [II] in the formulation caused a </w:t>
      </w:r>
      <w:proofErr w:type="gramStart"/>
      <w:r w:rsidRPr="002A7128">
        <w:rPr>
          <w:rFonts w:ascii="Calibri" w:hAnsi="Calibri" w:cs="Calibri"/>
        </w:rPr>
        <w:t>2-4 fold</w:t>
      </w:r>
      <w:proofErr w:type="gramEnd"/>
      <w:r w:rsidRPr="002A7128">
        <w:rPr>
          <w:rFonts w:ascii="Calibri" w:hAnsi="Calibri" w:cs="Calibri"/>
        </w:rPr>
        <w:t xml:space="preserve"> and significant increase in HA-specific IgG1 titers. A similar pattern was observed for the less abundant IgG2a subclass, where [II] HA exerted a strong and </w:t>
      </w:r>
      <w:r w:rsidRPr="002A7128">
        <w:rPr>
          <w:rFonts w:ascii="Calibri" w:hAnsi="Calibri" w:cs="Calibri"/>
        </w:rPr>
        <w:lastRenderedPageBreak/>
        <w:t>significant adjuvant effect on the HA-specific IgG2a titer (</w:t>
      </w:r>
      <w:r w:rsidRPr="002A7128">
        <w:rPr>
          <w:rFonts w:ascii="Calibri" w:hAnsi="Calibri" w:cs="Calibri"/>
          <w:b/>
          <w:bCs/>
        </w:rPr>
        <w:fldChar w:fldCharType="begin"/>
      </w:r>
      <w:r w:rsidRPr="002A7128">
        <w:rPr>
          <w:rFonts w:ascii="Calibri" w:hAnsi="Calibri" w:cs="Calibri"/>
          <w:b/>
          <w:bCs/>
        </w:rPr>
        <w:instrText xml:space="preserve"> REF _Ref103532376  \* MERGEFORMAT </w:instrText>
      </w:r>
      <w:r w:rsidRPr="002A7128">
        <w:rPr>
          <w:rFonts w:ascii="Calibri" w:hAnsi="Calibri" w:cs="Calibri"/>
          <w:b/>
          <w:bCs/>
        </w:rPr>
        <w:fldChar w:fldCharType="separate"/>
      </w:r>
      <w:r w:rsidR="00317E7D" w:rsidRPr="002A7128">
        <w:rPr>
          <w:rFonts w:ascii="Calibri" w:hAnsi="Calibri" w:cs="Calibri"/>
          <w:b/>
          <w:bCs/>
          <w:color w:val="000000" w:themeColor="text1"/>
        </w:rPr>
        <w:t xml:space="preserve">Figure </w:t>
      </w:r>
      <w:r w:rsidR="00317E7D" w:rsidRPr="002A7128">
        <w:rPr>
          <w:rFonts w:ascii="Calibri" w:hAnsi="Calibri" w:cs="Calibri"/>
          <w:b/>
          <w:bCs/>
          <w:noProof/>
          <w:color w:val="000000" w:themeColor="text1"/>
        </w:rPr>
        <w:t>13</w:t>
      </w:r>
      <w:r w:rsidRPr="002A7128">
        <w:rPr>
          <w:rFonts w:ascii="Calibri" w:hAnsi="Calibri" w:cs="Calibri"/>
          <w:b/>
          <w:bCs/>
        </w:rPr>
        <w:fldChar w:fldCharType="end"/>
      </w:r>
      <w:r w:rsidRPr="002A7128">
        <w:rPr>
          <w:rFonts w:ascii="Calibri" w:hAnsi="Calibri" w:cs="Calibri"/>
          <w:b/>
          <w:bCs/>
        </w:rPr>
        <w:t>C</w:t>
      </w:r>
      <w:r w:rsidRPr="002A7128">
        <w:rPr>
          <w:rFonts w:ascii="Calibri" w:hAnsi="Calibri" w:cs="Calibri"/>
        </w:rPr>
        <w:t xml:space="preserve">). Although the overall IgG response remained IgG1-dominated, by day 28, [II] had increased HA-specific IgG2a titers </w:t>
      </w:r>
      <w:proofErr w:type="gramStart"/>
      <w:r w:rsidRPr="002A7128">
        <w:rPr>
          <w:rFonts w:ascii="Calibri" w:hAnsi="Calibri" w:cs="Calibri"/>
        </w:rPr>
        <w:t>7.3 fold</w:t>
      </w:r>
      <w:proofErr w:type="gramEnd"/>
      <w:r w:rsidRPr="002A7128">
        <w:rPr>
          <w:rFonts w:ascii="Calibri" w:hAnsi="Calibri" w:cs="Calibri"/>
        </w:rPr>
        <w:t xml:space="preserve"> and 12.4 fold by day 75. Consistent with the observation that [II] alone did not induce HA-specific IgG1 or IgG2a responses, ELISA plates were also coated with [II] (</w:t>
      </w:r>
      <w:r w:rsidRPr="002A7128">
        <w:rPr>
          <w:rFonts w:ascii="Calibri" w:hAnsi="Calibri" w:cs="Calibri"/>
          <w:b/>
          <w:bCs/>
        </w:rPr>
        <w:fldChar w:fldCharType="begin"/>
      </w:r>
      <w:r w:rsidRPr="002A7128">
        <w:rPr>
          <w:rFonts w:ascii="Calibri" w:hAnsi="Calibri" w:cs="Calibri"/>
          <w:b/>
          <w:bCs/>
        </w:rPr>
        <w:instrText xml:space="preserve"> REF _Ref103532376  \* MERGEFORMAT </w:instrText>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13</w:t>
      </w:r>
      <w:r w:rsidRPr="002A7128">
        <w:rPr>
          <w:rFonts w:ascii="Calibri" w:hAnsi="Calibri" w:cs="Calibri"/>
          <w:b/>
          <w:bCs/>
        </w:rPr>
        <w:fldChar w:fldCharType="end"/>
      </w:r>
      <w:r w:rsidRPr="002A7128">
        <w:rPr>
          <w:rFonts w:ascii="Calibri" w:hAnsi="Calibri" w:cs="Calibri"/>
          <w:b/>
          <w:bCs/>
        </w:rPr>
        <w:t>D</w:t>
      </w:r>
      <w:r w:rsidRPr="002A7128">
        <w:rPr>
          <w:rFonts w:ascii="Calibri" w:hAnsi="Calibri" w:cs="Calibri"/>
        </w:rPr>
        <w:t xml:space="preserve">). Moreover, injection of [II] did not induce any noticeable pain in the mice throughout the vaccination. </w:t>
      </w:r>
    </w:p>
    <w:p w14:paraId="2FAB4181" w14:textId="77777777" w:rsidR="00356D94" w:rsidRPr="002A7128" w:rsidRDefault="00356D94"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0F4372E8" wp14:editId="03EC6A03">
            <wp:extent cx="5200791" cy="6748248"/>
            <wp:effectExtent l="0" t="0" r="6350" b="0"/>
            <wp:docPr id="23" name="Picture 23"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video game&#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05333" cy="6754142"/>
                    </a:xfrm>
                    <a:prstGeom prst="rect">
                      <a:avLst/>
                    </a:prstGeom>
                  </pic:spPr>
                </pic:pic>
              </a:graphicData>
            </a:graphic>
          </wp:inline>
        </w:drawing>
      </w:r>
    </w:p>
    <w:p w14:paraId="05C11C52" w14:textId="50AA55C6" w:rsidR="00356D94" w:rsidRPr="002A7128" w:rsidRDefault="00356D94" w:rsidP="002A45FA">
      <w:pPr>
        <w:pStyle w:val="Caption"/>
        <w:spacing w:line="480" w:lineRule="auto"/>
        <w:jc w:val="both"/>
        <w:rPr>
          <w:rFonts w:ascii="Calibri" w:hAnsi="Calibri" w:cs="Calibri"/>
          <w:i w:val="0"/>
          <w:iCs w:val="0"/>
          <w:color w:val="000000" w:themeColor="text1"/>
          <w:sz w:val="24"/>
          <w:szCs w:val="24"/>
        </w:rPr>
      </w:pPr>
      <w:bookmarkStart w:id="68" w:name="_Ref103532376"/>
      <w:bookmarkStart w:id="69" w:name="_Toc120789431"/>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13</w:t>
      </w:r>
      <w:r w:rsidRPr="002A7128">
        <w:rPr>
          <w:rFonts w:ascii="Calibri" w:hAnsi="Calibri" w:cs="Calibri"/>
          <w:b/>
          <w:bCs/>
          <w:i w:val="0"/>
          <w:iCs w:val="0"/>
          <w:color w:val="000000" w:themeColor="text1"/>
          <w:sz w:val="24"/>
          <w:szCs w:val="24"/>
        </w:rPr>
        <w:fldChar w:fldCharType="end"/>
      </w:r>
      <w:bookmarkEnd w:id="68"/>
      <w:r w:rsidRPr="002A7128">
        <w:rPr>
          <w:rFonts w:ascii="Calibri" w:hAnsi="Calibri" w:cs="Calibri"/>
          <w:b/>
          <w:bCs/>
          <w:i w:val="0"/>
          <w:iCs w:val="0"/>
          <w:color w:val="000000" w:themeColor="text1"/>
          <w:sz w:val="24"/>
          <w:szCs w:val="24"/>
        </w:rPr>
        <w:t xml:space="preserve"> PAIIR induces influenza-antigen specific antibody formation.</w:t>
      </w:r>
      <w:r w:rsidRPr="002A7128">
        <w:rPr>
          <w:rFonts w:ascii="Calibri" w:hAnsi="Calibri" w:cs="Calibri"/>
          <w:i w:val="0"/>
          <w:iCs w:val="0"/>
          <w:color w:val="000000" w:themeColor="text1"/>
          <w:sz w:val="24"/>
          <w:szCs w:val="24"/>
        </w:rPr>
        <w:t xml:space="preserve"> (A) Timeline and the plan of the vaccination study: BALB/c mice were vaccinated at D0 followed by a booster at D60, serum was collected at D14, 28 and 75. (B) Antigen-specific serum IgG1 titers at D14, 28 and 75. (C) </w:t>
      </w:r>
      <w:r w:rsidRPr="002A7128">
        <w:rPr>
          <w:rFonts w:ascii="Calibri" w:hAnsi="Calibri" w:cs="Calibri"/>
          <w:i w:val="0"/>
          <w:iCs w:val="0"/>
          <w:color w:val="000000" w:themeColor="text1"/>
          <w:sz w:val="24"/>
          <w:szCs w:val="24"/>
        </w:rPr>
        <w:lastRenderedPageBreak/>
        <w:t>Serum IgG2a titers at D14, 28 and 75. (D) Serum IgG1 and IgG2a titers against [II] peptide at D14, D28 and D75. Statistical analysis was done by one-way analysis of variance (ANOVA) with Tukey’s multiple-comparison test, data shown are mean ± SD ****p&lt;0.0001, **p&lt;0.01, *p&lt;0.1 n=6 mice.</w:t>
      </w:r>
      <w:bookmarkEnd w:id="69"/>
    </w:p>
    <w:p w14:paraId="1D30B889" w14:textId="725D1C14" w:rsidR="00356D94" w:rsidRPr="002A7128" w:rsidRDefault="00356D94" w:rsidP="00F675B4">
      <w:pPr>
        <w:spacing w:line="480" w:lineRule="auto"/>
        <w:jc w:val="both"/>
        <w:rPr>
          <w:rFonts w:ascii="Calibri" w:hAnsi="Calibri" w:cs="Calibri"/>
        </w:rPr>
      </w:pPr>
      <w:r w:rsidRPr="002A7128">
        <w:rPr>
          <w:rFonts w:ascii="Calibri" w:hAnsi="Calibri" w:cs="Calibri"/>
        </w:rPr>
        <w:t>The skin where the [II] injection was performed subcutaneously did not show any external signs of inflammation (</w:t>
      </w:r>
      <w:r w:rsidR="00586E95" w:rsidRPr="002A7128">
        <w:rPr>
          <w:rFonts w:ascii="Calibri" w:hAnsi="Calibri" w:cs="Calibri"/>
          <w:b/>
          <w:bCs/>
        </w:rPr>
        <w:fldChar w:fldCharType="begin"/>
      </w:r>
      <w:r w:rsidR="00586E95" w:rsidRPr="002A7128">
        <w:rPr>
          <w:rFonts w:ascii="Calibri" w:hAnsi="Calibri" w:cs="Calibri"/>
          <w:b/>
          <w:bCs/>
        </w:rPr>
        <w:instrText xml:space="preserve"> REF _Ref103532533  \* MERGEFORMAT </w:instrText>
      </w:r>
      <w:r w:rsidR="00586E95"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14</w:t>
      </w:r>
      <w:r w:rsidR="00586E95" w:rsidRPr="002A7128">
        <w:rPr>
          <w:rFonts w:ascii="Calibri" w:hAnsi="Calibri" w:cs="Calibri"/>
          <w:b/>
          <w:bCs/>
        </w:rPr>
        <w:fldChar w:fldCharType="end"/>
      </w:r>
      <w:r w:rsidRPr="002A7128">
        <w:rPr>
          <w:rFonts w:ascii="Calibri" w:hAnsi="Calibri" w:cs="Calibri"/>
        </w:rPr>
        <w:t>). Notably, [II]-specific IgG1 and IgG2a could not be detected. These results, therefore, demonstrate that [II]-induced ICD and DAMP-release in the body can create an adjuvant effect when injected with HA. In the previous studies, IgG2a formation in mice was shown to generate higher cross-protection (heterosubtypic) against lethal challenge with different influenza virus strains</w:t>
      </w:r>
      <w:r w:rsidRPr="002A7128">
        <w:rPr>
          <w:rFonts w:ascii="Calibri" w:hAnsi="Calibri" w:cs="Calibri"/>
        </w:rPr>
        <w:fldChar w:fldCharType="begin"/>
      </w:r>
      <w:r w:rsidR="00317E7D" w:rsidRPr="002A7128">
        <w:rPr>
          <w:rFonts w:ascii="Calibri" w:hAnsi="Calibri" w:cs="Calibri"/>
        </w:rPr>
        <w:instrText xml:space="preserve"> ADDIN ZOTERO_ITEM CSL_CITATION {"citationID":"a7n1dbi0f2","properties":{"formattedCitation":"\\super 157,200,201\\nosupersub{}","plainCitation":"157,200,201","noteIndex":0},"citationItems":[{"id":9685,"uris":["http://zotero.org/groups/2667333/items/S8FG3TP4"],"itemData":{"id":9685,"type":"article-journal","abstract":"T follicular helper (TFH) cells are important for the formation of germinal centers and antibody responses. Kubo and colleagues show that TH1 cells can induce a protective antibody response in the complete absence of TFH cells and germinal centers.","container-title":"Nature Immunology","DOI":"10.1038/ni.3563","ISSN":"1529-2916","issue":"12","journalAbbreviation":"Nat Immunol","language":"en","license":"2016 Nature Publishing Group, a division of Macmillan Publishers Limited. All Rights Reserved.","note":"Bandiera_abtest: a\nCg_type: Nature Research Journals\nnumber: 12\nPrimary_atype: Research\npublisher: Nature Publishing Group\nSubject_term: Antibodies;Germinal centres\nSubject_term_id: antibodies;germinal-centres","page":"1447-1458","source":"www.nature.com","title":"Protective neutralizing influenza antibody response in the absence of T follicular helper cells","URL":"https://www.nature.com/articles/ni.3563","volume":"17","author":[{"family":"Miyauchi","given":"Kosuke"},{"family":"Sugimoto-Ishige","given":"Akiko"},{"family":"Harada","given":"Yasuyo"},{"family":"Adachi","given":"Yu"},{"family":"Usami","given":"Yoshiko"},{"family":"Kaji","given":"Tomohiro"},{"family":"Inoue","given":"Kentaro"},{"family":"Hasegawa","given":"Hideki"},{"family":"Watanabe","given":"Takashi"},{"family":"Hijikata","given":"Atsushi"},{"family":"Fukuyama","given":"Satoshi"},{"family":"Maemura","given":"Tadashi"},{"family":"Okada-Hatakeyama","given":"Mariko"},{"family":"Ohara","given":"Osamu"},{"family":"Kawaoka","given":"Yoshihiro"},{"family":"Takahashi","given":"Yoshimasa"},{"family":"Takemori","given":"Toshitada"},{"family":"Kubo","given":"Masato"}],"accessed":{"date-parts":[["2021",12,5]]},"issued":{"date-parts":[["2016",12]]},"citation-key":"miyauchi_protective_2016"}},{"id":9047,"uris":["http://zotero.org/groups/2667333/items/925UQ6N4"],"itemData":{"id":9047,"type":"article-journal","abstract":"ABSTRACT\n            Vaccination represents the most effective form of protection against influenza infection. While neutralizing antibodies are typically measured as a correlate of vaccine-induced protective immunity against influenza, nonneutralizing antibodies may contribute to protection or amelioration of disease. The goal of this study was to dissect the individual contributions of the immunoglobulin G1 (IgG1) and IgG2a antibody isotypes to vaccine-induced immunity against influenza virus. To accomplish this, we utilized an influenza vaccine regimen that selectively enhanced IgG1 or IgG2a antibodies by using either DNA or viral replicon particle (VRP) vectors expressing influenza virus hemagglutinin (HA) (HA-DNA or HA-VRP, respectively). After HA-DNA vaccination, neutralizing antibodies were detected by both in vitro (microneutralization) and in vivo (lung viral titer) methods and were associated with increased IgG1 expression by enzyme-linked immunosorbent assay (ELISA). Vaccination with HA-VRP did not strongly stimulate either neutralizing or IgG1 antibodies but did induce IgG2a antibodies. Expression of IgG2a antibodies in this context correlated with clearance of virus and increased protection against lethal influenza challenge. Increased induction of both antibody isotypes as measured by ELISA was a better correlate for vaccine efficacy than neutralization alone. This study details separate but important roles for both IgG1 and IgG2a expression in vaccination against influenza and argues for the development of vaccine regimens that stimulate and measure expression of both antibody isotypes.","container-title":"Clinical and Vaccine Immunology","DOI":"10.1128/CVI.00156-06","ISSN":"1556-6811, 1556-679X","issue":"9","journalAbbreviation":"Clin Vaccine Immunol","language":"en","page":"981-990","source":"DOI.org (Crossref)","title":"Distinct Contributions of Vaccine-Induced Immunoglobulin G1 (IgG1) and IgG2a Antibodies to Protective Immunity against Influenza","URL":"https://journals.asm.org/doi/10.1128/CVI.00156-06","volume":"13","author":[{"family":"Huber","given":"Victor C."},{"family":"McKeon","given":"Raelene M."},{"family":"Brackin","given":"Martha N."},{"family":"Miller","given":"Laura A."},{"family":"Keating","given":"Rachael"},{"family":"Brown","given":"Scott A."},{"family":"Makarova","given":"Natalia"},{"family":"Perez","given":"Daniel R."},{"family":"MacDonald","given":"Gene H."},{"family":"McCullers","given":"Jonathan A."}],"accessed":{"date-parts":[["2021",9,7]]},"issued":{"date-parts":[["2006",9]]},"citation-key":"huber_distinct_2006"}},{"id":9677,"uris":["http://zotero.org/groups/2667333/items/XETTMD36"],"itemData":{"id":9677,"type":"article-journal","container-title":"Journal of Virology","DOI":"10.1128/JVI.00323-20","issue":"12","note":"publisher: American Society for Microbiology\ntex.ids= shibuya_murine_2020","page":"e00323-20","source":"journals.asm.org (Atypon)","title":"Murine Cross-Reactive Nonneutralizing Polyclonal IgG1 Antibodies Induced by Influenza Vaccine Inhibit the Cross-Protective Effect of IgG2 against Heterologous Virus in Mice","URL":"https://journals.asm.org/doi/10.1128/JVI.00323-20","volume":"94","author":[{"family":"Shibuya","given":"Meito"},{"family":"Aoshi","given":"Taiki"},{"family":"Kuroda","given":"Etsushi"},{"family":"Yoshioka","given":"Yasuo"}],"accessed":{"date-parts":[["2021",12,5]]},"issued":{"date-parts":[["2020"]]},"citation-key":"shibuya_murine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157,200,201</w:t>
      </w:r>
      <w:r w:rsidRPr="002A7128">
        <w:rPr>
          <w:rFonts w:ascii="Calibri" w:hAnsi="Calibri" w:cs="Calibri"/>
        </w:rPr>
        <w:fldChar w:fldCharType="end"/>
      </w:r>
      <w:r w:rsidRPr="002A7128">
        <w:rPr>
          <w:rFonts w:ascii="Calibri" w:hAnsi="Calibri" w:cs="Calibri"/>
        </w:rPr>
        <w:t>. Given the need for a universal influenza vaccine, any adjuvant that can boost the IgG2a response could contribute to achieving that goal. A challenge study using different influenza strains, including the heterosubtypic cross-protection and comparison of the clinical adjuvants are the next steps for PAIIR to explore its protective properties.</w:t>
      </w:r>
    </w:p>
    <w:p w14:paraId="3E35AD32" w14:textId="77777777" w:rsidR="00586E95" w:rsidRPr="002A7128" w:rsidRDefault="00586E95" w:rsidP="00F675B4">
      <w:pPr>
        <w:keepNext/>
        <w:spacing w:line="480" w:lineRule="auto"/>
        <w:jc w:val="both"/>
        <w:rPr>
          <w:rFonts w:ascii="Calibri" w:hAnsi="Calibri" w:cs="Calibri"/>
        </w:rPr>
      </w:pPr>
      <w:r w:rsidRPr="002A7128">
        <w:rPr>
          <w:rFonts w:ascii="Calibri" w:hAnsi="Calibri" w:cs="Calibri"/>
          <w:noProof/>
        </w:rPr>
        <w:drawing>
          <wp:inline distT="0" distB="0" distL="0" distR="0" wp14:anchorId="665D81CD" wp14:editId="18E11A7F">
            <wp:extent cx="4927600" cy="1841500"/>
            <wp:effectExtent l="0" t="0" r="0" b="0"/>
            <wp:docPr id="24" name="Picture 24" descr="A picture containing text,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several&#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27600" cy="1841500"/>
                    </a:xfrm>
                    <a:prstGeom prst="rect">
                      <a:avLst/>
                    </a:prstGeom>
                  </pic:spPr>
                </pic:pic>
              </a:graphicData>
            </a:graphic>
          </wp:inline>
        </w:drawing>
      </w:r>
    </w:p>
    <w:p w14:paraId="67069871" w14:textId="1E46B1DD" w:rsidR="00356D94" w:rsidRPr="002A7128" w:rsidRDefault="00586E95" w:rsidP="002A45FA">
      <w:pPr>
        <w:pStyle w:val="Caption"/>
        <w:spacing w:line="480" w:lineRule="auto"/>
        <w:jc w:val="both"/>
        <w:rPr>
          <w:rFonts w:ascii="Calibri" w:hAnsi="Calibri" w:cs="Calibri"/>
          <w:i w:val="0"/>
          <w:iCs w:val="0"/>
          <w:color w:val="000000" w:themeColor="text1"/>
          <w:sz w:val="24"/>
          <w:szCs w:val="24"/>
        </w:rPr>
      </w:pPr>
      <w:bookmarkStart w:id="70" w:name="_Ref103532533"/>
      <w:bookmarkStart w:id="71" w:name="_Toc120789432"/>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14</w:t>
      </w:r>
      <w:r w:rsidRPr="002A7128">
        <w:rPr>
          <w:rFonts w:ascii="Calibri" w:hAnsi="Calibri" w:cs="Calibri"/>
          <w:b/>
          <w:bCs/>
          <w:i w:val="0"/>
          <w:iCs w:val="0"/>
          <w:color w:val="000000" w:themeColor="text1"/>
          <w:sz w:val="24"/>
          <w:szCs w:val="24"/>
        </w:rPr>
        <w:fldChar w:fldCharType="end"/>
      </w:r>
      <w:bookmarkEnd w:id="70"/>
      <w:r w:rsidRPr="002A7128">
        <w:rPr>
          <w:rFonts w:ascii="Calibri" w:hAnsi="Calibri" w:cs="Calibri"/>
          <w:b/>
          <w:bCs/>
          <w:i w:val="0"/>
          <w:iCs w:val="0"/>
          <w:color w:val="000000" w:themeColor="text1"/>
          <w:sz w:val="24"/>
          <w:szCs w:val="24"/>
        </w:rPr>
        <w:t xml:space="preserve"> Effect of [II] peptide injection on skin.</w:t>
      </w:r>
      <w:r w:rsidRPr="002A7128">
        <w:rPr>
          <w:rFonts w:ascii="Calibri" w:hAnsi="Calibri" w:cs="Calibri"/>
          <w:i w:val="0"/>
          <w:iCs w:val="0"/>
          <w:color w:val="000000" w:themeColor="text1"/>
          <w:sz w:val="24"/>
          <w:szCs w:val="24"/>
        </w:rPr>
        <w:t xml:space="preserve"> [II] peptide and PBS control were </w:t>
      </w:r>
      <w:r w:rsidR="002042C3" w:rsidRPr="002A7128">
        <w:rPr>
          <w:rFonts w:ascii="Calibri" w:hAnsi="Calibri" w:cs="Calibri"/>
          <w:i w:val="0"/>
          <w:iCs w:val="0"/>
          <w:color w:val="000000" w:themeColor="text1"/>
          <w:sz w:val="24"/>
          <w:szCs w:val="24"/>
        </w:rPr>
        <w:t>injected,</w:t>
      </w:r>
      <w:r w:rsidRPr="002A7128">
        <w:rPr>
          <w:rFonts w:ascii="Calibri" w:hAnsi="Calibri" w:cs="Calibri"/>
          <w:i w:val="0"/>
          <w:iCs w:val="0"/>
          <w:color w:val="000000" w:themeColor="text1"/>
          <w:sz w:val="24"/>
          <w:szCs w:val="24"/>
        </w:rPr>
        <w:t xml:space="preserve"> and skin was monitored immediately after injection followed by 6 and 24h.</w:t>
      </w:r>
      <w:bookmarkEnd w:id="71"/>
    </w:p>
    <w:p w14:paraId="30651562" w14:textId="37A043C6" w:rsidR="00586E95" w:rsidRPr="002A7128" w:rsidRDefault="00586E95" w:rsidP="00F675B4">
      <w:pPr>
        <w:spacing w:line="480" w:lineRule="auto"/>
        <w:jc w:val="both"/>
        <w:rPr>
          <w:rFonts w:ascii="Calibri" w:hAnsi="Calibri" w:cs="Calibri"/>
        </w:rPr>
      </w:pPr>
      <w:r w:rsidRPr="002A7128">
        <w:rPr>
          <w:rFonts w:ascii="Calibri" w:hAnsi="Calibri" w:cs="Calibri"/>
        </w:rPr>
        <w:lastRenderedPageBreak/>
        <w:t>The lack of a [II]-specific IgG response is informative. Professional APCs express the Major Histocompatibility Complex (MHC) class II. Loading of MHC molecules with self and foreign antigen-derived peptides governs immunological tolerance and the immune response to pathogens, respectively. The peptide-binding  groove of MHC-II accommodates peptides of 13-25 amino acids</w:t>
      </w:r>
      <w:r w:rsidRPr="002A7128">
        <w:rPr>
          <w:rFonts w:ascii="Calibri" w:hAnsi="Calibri" w:cs="Calibri"/>
        </w:rPr>
        <w:fldChar w:fldCharType="begin"/>
      </w:r>
      <w:r w:rsidR="00A64B61" w:rsidRPr="002A7128">
        <w:rPr>
          <w:rFonts w:ascii="Calibri" w:hAnsi="Calibri" w:cs="Calibri"/>
        </w:rPr>
        <w:instrText xml:space="preserve"> ADDIN ZOTERO_ITEM CSL_CITATION {"citationID":"a2aca59s0lv","properties":{"formattedCitation":"\\super 202\\nosupersub{}","plainCitation":"202","noteIndex":0},"citationItems":[{"id":9076,"uris":["http://zotero.org/groups/2667333/items/46TUB4M9"],"itemData":{"id":9076,"type":"article-journal","abstract":"Antigen presentation by major histocompatibility complex (MHC) proteins is essential for adaptive immunity. Prior to presentation, peptides need to be generated from proteins that are either produced by the cell's own translational machinery or that are funneled into the endo-lysosomal vesicular system. The prolonged interaction between a T cell receptor and specific pMHC complexes, after an extensive search process in secondary lymphatic organs, eventually triggers T cells to proliferate and to mount a specific cellular immune response. Once processed, the peptide repertoire presented by MHC proteins largely depends on structural features of the binding groove of each particular MHC allelic variant. Additionally, two peptide editors-tapasin for class I and HLA-DM for class II-contribute to the shaping of the presented peptidome by favoring the binding of high-affinity antigens. Although there is a vast amount of biochemical and structural information, the mechanism of the catalyzed peptide exchange for MHC class I and class II proteins still remains controversial, and it is not well understood why certain MHC allelic variants are more susceptible to peptide editing than others. Recent studies predict a high impact of protein intermediate states on MHC allele-specific peptide presentation, which implies a profound influence of MHC dynamics on the phenomenon of immunodominance and the development of autoimmune diseases. Here, we review the recent literature that describe MHC class I and II dynamics from a theoretical and experimental point of view and we highlight the similarities between MHC class I and class II dynamics despite the distinct functions they fulfill in adaptive immunity.","container-title":"Frontiers in Immunology","DOI":"10.3389/fimmu.2017.00292","ISSN":"1664-3224","journalAbbreviation":"Front Immunol","language":"eng","note":"PMID: 28367149\nPMCID: PMC5355494","page":"292","source":"PubMed","title":"Major Histocompatibility Complex (MHC) Class I and MHC Class II Proteins: Conformational Plasticity in Antigen Presentation","title-short":"Major Histocompatibility Complex (MHC) Class I and MHC Class II Proteins","volume":"8","author":[{"family":"Wieczorek","given":"Marek"},{"family":"Abualrous","given":"Esam T."},{"family":"Sticht","given":"Jana"},{"family":"Álvaro-Benito","given":"Miguel"},{"family":"Stolzenberg","given":"Sebastian"},{"family":"Noé","given":"Frank"},{"family":"Freund","given":"Christian"}],"issued":{"date-parts":[["2017"]]},"citation-key":"wieczorek_major_2017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202</w:t>
      </w:r>
      <w:r w:rsidRPr="002A7128">
        <w:rPr>
          <w:rFonts w:ascii="Calibri" w:hAnsi="Calibri" w:cs="Calibri"/>
        </w:rPr>
        <w:fldChar w:fldCharType="end"/>
      </w:r>
      <w:r w:rsidRPr="002A7128">
        <w:rPr>
          <w:rFonts w:ascii="Calibri" w:hAnsi="Calibri" w:cs="Calibri"/>
        </w:rPr>
        <w:t xml:space="preserve">. The B cell antigen receptor (BCR) recognizes linear and conformational epitopes consisting of peptide sequences or other macromolecules. Because [II] is a peptide-based adjuvant, the possibility of MHC-II presentation or recognition by the BCR was considered. Our results showing no antibody response against [II] itself indicate that it is unlikely that the </w:t>
      </w:r>
      <w:proofErr w:type="spellStart"/>
      <w:r w:rsidRPr="002A7128">
        <w:rPr>
          <w:rFonts w:ascii="Calibri" w:hAnsi="Calibri" w:cs="Calibri"/>
        </w:rPr>
        <w:t>hexameric</w:t>
      </w:r>
      <w:proofErr w:type="spellEnd"/>
      <w:r w:rsidRPr="002A7128">
        <w:rPr>
          <w:rFonts w:ascii="Calibri" w:hAnsi="Calibri" w:cs="Calibri"/>
        </w:rPr>
        <w:t xml:space="preserve"> [II] peptide can bind MHC-II or be recognized by the BCR.</w:t>
      </w:r>
    </w:p>
    <w:p w14:paraId="62281F9D" w14:textId="3E97B008" w:rsidR="00586E95" w:rsidRPr="002A7128" w:rsidRDefault="00586E95">
      <w:pPr>
        <w:pStyle w:val="Heading2"/>
        <w:numPr>
          <w:ilvl w:val="1"/>
          <w:numId w:val="7"/>
        </w:numPr>
        <w:spacing w:line="480" w:lineRule="auto"/>
        <w:rPr>
          <w:rFonts w:ascii="Calibri" w:hAnsi="Calibri" w:cs="Calibri"/>
        </w:rPr>
      </w:pPr>
      <w:bookmarkStart w:id="72" w:name="_Toc120794143"/>
      <w:r w:rsidRPr="002A7128">
        <w:rPr>
          <w:rFonts w:ascii="Calibri" w:hAnsi="Calibri" w:cs="Calibri"/>
        </w:rPr>
        <w:t>Conclusions</w:t>
      </w:r>
      <w:bookmarkEnd w:id="72"/>
    </w:p>
    <w:p w14:paraId="5DA9A5C9" w14:textId="7B6B2419" w:rsidR="00586E95" w:rsidRPr="002A7128" w:rsidRDefault="00586E95" w:rsidP="00F675B4">
      <w:pPr>
        <w:spacing w:line="480" w:lineRule="auto"/>
        <w:jc w:val="both"/>
        <w:rPr>
          <w:rFonts w:ascii="Calibri" w:hAnsi="Calibri" w:cs="Calibri"/>
        </w:rPr>
      </w:pPr>
      <w:r w:rsidRPr="002A7128">
        <w:rPr>
          <w:rFonts w:ascii="Calibri" w:hAnsi="Calibri" w:cs="Calibri"/>
        </w:rPr>
        <w:t>Interest in peptide-based materials has flourished in health, energy, materials science, and national security</w:t>
      </w:r>
      <w:r w:rsidRPr="002A7128">
        <w:rPr>
          <w:rFonts w:ascii="Calibri" w:hAnsi="Calibri" w:cs="Calibri"/>
        </w:rPr>
        <w:fldChar w:fldCharType="begin"/>
      </w:r>
      <w:r w:rsidR="00A64B61" w:rsidRPr="002A7128">
        <w:rPr>
          <w:rFonts w:ascii="Calibri" w:hAnsi="Calibri" w:cs="Calibri"/>
        </w:rPr>
        <w:instrText xml:space="preserve"> ADDIN ZOTERO_ITEM CSL_CITATION {"citationID":"aqnackjnrs","properties":{"formattedCitation":"\\super 169\\nosupersub{}","plainCitation":"169","noteIndex":0},"citationItems":[{"id":3318,"uris":["http://zotero.org/groups/2667333/items/AE4BFMA4"],"itemData":{"id":3318,"type":"chapter","abstract":"Peptides play an essential role in biotechnological applications as therapeutic and diagnostic agents due to their tunable activity for desired function. So far, a variety of peptide therapeutics and their peptide-based carriers have been engineered for drug delivery applications. However, in order to design and develop such systems for tissue-specific applications, the cellular microenvironment must be properly considered. Peptide-based materials have vast potential applications, particularly for cancer-related systems. Thus, in this chapter, we first focus on different design strategies and considerations for drug-release mechanisms in peptide-based materials. Then, we explain how tumor microenvironments may be distinguished from healthy tissue, including discussion of tumor-specific drug delivery strategies. Finally, the growing significance of peptide chemotherapeutics will be emphasized in terms of design concerns and current applications.","container-title":"Peptide-based Biomaterials","ISBN":"978-1-78801-729-9","note":"DOI: 10.1039/9781839161148-00291","page":"291-334","publisher":"The Royal Society of Chemistry","title":"CHAPTER 9 Drug Delivery Applications of Peptide Materials","URL":"https://doi.org/10.1039/9781839161148-00291","author":[{"family":"Hamsici","given":"Seren"},{"family":"Gunay","given":"Gokhan"},{"family":"Kirit","given":"Hande"},{"family":"Kamatar","given":"Advika"},{"family":"Loving","given":"Kendrick"},{"family":"Acar","given":"Handan"}],"issued":{"date-parts":[["2021"]]},"citation-key":"hamsici_chapter_2021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169</w:t>
      </w:r>
      <w:r w:rsidRPr="002A7128">
        <w:rPr>
          <w:rFonts w:ascii="Calibri" w:hAnsi="Calibri" w:cs="Calibri"/>
        </w:rPr>
        <w:fldChar w:fldCharType="end"/>
      </w:r>
      <w:r w:rsidRPr="002A7128">
        <w:rPr>
          <w:rFonts w:ascii="Calibri" w:hAnsi="Calibri" w:cs="Calibri"/>
        </w:rPr>
        <w:t xml:space="preserve">. By advancing the discovery of peptide domains with unique intermolecular interactions, the design of peptides with desired properties in appropriate conditions can be achievable. Inspired by the mechanism of natural membrane rupturing proteins that aggregate and induce ICD, in this study, we designed a new peptide-based tool, [II], via the </w:t>
      </w:r>
      <w:proofErr w:type="spellStart"/>
      <w:r w:rsidRPr="002A7128">
        <w:rPr>
          <w:rFonts w:ascii="Calibri" w:hAnsi="Calibri" w:cs="Calibri"/>
        </w:rPr>
        <w:t>CoOP</w:t>
      </w:r>
      <w:proofErr w:type="spellEnd"/>
      <w:r w:rsidRPr="002A7128">
        <w:rPr>
          <w:rFonts w:ascii="Calibri" w:hAnsi="Calibri" w:cs="Calibri"/>
        </w:rPr>
        <w:t xml:space="preserve"> strategy. </w:t>
      </w:r>
    </w:p>
    <w:p w14:paraId="08F76654" w14:textId="5C490656" w:rsidR="00586E95" w:rsidRPr="002A7128" w:rsidRDefault="00586E95" w:rsidP="00F675B4">
      <w:pPr>
        <w:spacing w:line="480" w:lineRule="auto"/>
        <w:jc w:val="both"/>
        <w:rPr>
          <w:rFonts w:ascii="Calibri" w:hAnsi="Calibri" w:cs="Calibri"/>
        </w:rPr>
      </w:pPr>
      <w:r w:rsidRPr="002A7128">
        <w:rPr>
          <w:rFonts w:ascii="Calibri" w:hAnsi="Calibri" w:cs="Calibri"/>
        </w:rPr>
        <w:t>Understanding and controlling ICD is an essential tool that plays a paramount role in advancing cancer immunotherapy and vaccine development. We demonstrated the controlled ICD mechanism of [II] in vitro with various cell lines and observed broadened IgG profiles: IgG1 and IgG2a in mice vaccinated with the [II] and influenza HA subunit. Peptide-aggregate induced immune rupture (PAIIR) via [II] pairs ("</w:t>
      </w:r>
      <w:proofErr w:type="gramStart"/>
      <w:r w:rsidRPr="002A7128">
        <w:rPr>
          <w:rFonts w:ascii="Calibri" w:hAnsi="Calibri" w:cs="Calibri"/>
        </w:rPr>
        <w:t>pa[</w:t>
      </w:r>
      <w:proofErr w:type="gramEnd"/>
      <w:r w:rsidRPr="002A7128">
        <w:rPr>
          <w:rFonts w:ascii="Calibri" w:hAnsi="Calibri" w:cs="Calibri"/>
        </w:rPr>
        <w:t>II]r") has tremendous potential to advance healthcare and basic science applications based on immune system modulation.</w:t>
      </w:r>
    </w:p>
    <w:p w14:paraId="76E9554E" w14:textId="545F61B4" w:rsidR="00FC272D" w:rsidRPr="002A7128" w:rsidRDefault="001C0ADC">
      <w:pPr>
        <w:pStyle w:val="Heading2"/>
        <w:numPr>
          <w:ilvl w:val="1"/>
          <w:numId w:val="7"/>
        </w:numPr>
        <w:spacing w:line="480" w:lineRule="auto"/>
        <w:rPr>
          <w:rFonts w:ascii="Calibri" w:hAnsi="Calibri" w:cs="Calibri"/>
        </w:rPr>
      </w:pPr>
      <w:bookmarkStart w:id="73" w:name="_Toc120794144"/>
      <w:r w:rsidRPr="002A7128">
        <w:rPr>
          <w:rFonts w:ascii="Calibri" w:hAnsi="Calibri" w:cs="Calibri"/>
        </w:rPr>
        <w:lastRenderedPageBreak/>
        <w:t>Experimental Section</w:t>
      </w:r>
      <w:bookmarkEnd w:id="73"/>
    </w:p>
    <w:p w14:paraId="5BA27045" w14:textId="35E273BE" w:rsidR="00FC272D" w:rsidRPr="002A7128" w:rsidRDefault="00FC272D">
      <w:pPr>
        <w:pStyle w:val="Heading2"/>
        <w:numPr>
          <w:ilvl w:val="2"/>
          <w:numId w:val="7"/>
        </w:numPr>
        <w:spacing w:line="480" w:lineRule="auto"/>
        <w:rPr>
          <w:rFonts w:ascii="Calibri" w:hAnsi="Calibri" w:cs="Calibri"/>
        </w:rPr>
      </w:pPr>
      <w:bookmarkStart w:id="74" w:name="_Toc120794145"/>
      <w:r w:rsidRPr="002A7128">
        <w:rPr>
          <w:rFonts w:ascii="Calibri" w:hAnsi="Calibri" w:cs="Calibri"/>
        </w:rPr>
        <w:t>Statistical Analysis</w:t>
      </w:r>
      <w:bookmarkEnd w:id="74"/>
    </w:p>
    <w:p w14:paraId="5063E8A7" w14:textId="1A54DAE6" w:rsidR="002A45FA" w:rsidRPr="002A7128" w:rsidRDefault="00FC272D" w:rsidP="00250FBA">
      <w:pPr>
        <w:spacing w:line="480" w:lineRule="auto"/>
        <w:jc w:val="both"/>
        <w:rPr>
          <w:rFonts w:ascii="Calibri" w:hAnsi="Calibri" w:cs="Calibri"/>
        </w:rPr>
      </w:pPr>
      <w:r w:rsidRPr="002A7128">
        <w:rPr>
          <w:rFonts w:ascii="Calibri" w:hAnsi="Calibri" w:cs="Calibri"/>
        </w:rPr>
        <w:t xml:space="preserve">Pre-processing of data did not include outlier exclusion. Data were analyzed by using GraphPad Prism Version 9.3.1. Figure preparation was done by using Adobe Illustrator 2021. </w:t>
      </w:r>
      <w:r w:rsidRPr="002A7128">
        <w:rPr>
          <w:rFonts w:ascii="Calibri" w:hAnsi="Calibri" w:cs="Calibri"/>
        </w:rPr>
        <w:fldChar w:fldCharType="begin"/>
      </w:r>
      <w:r w:rsidRPr="002A7128">
        <w:rPr>
          <w:rFonts w:ascii="Calibri" w:hAnsi="Calibri" w:cs="Calibri"/>
        </w:rPr>
        <w:instrText xml:space="preserve"> REF _Ref103528290 </w:instrText>
      </w:r>
      <w:r w:rsidR="00BD50B3" w:rsidRPr="002A7128">
        <w:rPr>
          <w:rFonts w:ascii="Calibri" w:hAnsi="Calibri" w:cs="Calibri"/>
        </w:rPr>
        <w:instrText xml:space="preserve"> \* MERGEFORMAT </w:instrText>
      </w:r>
      <w:r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7</w:t>
      </w:r>
      <w:r w:rsidRPr="002A7128">
        <w:rPr>
          <w:rFonts w:ascii="Calibri" w:hAnsi="Calibri" w:cs="Calibri"/>
        </w:rPr>
        <w:fldChar w:fldCharType="end"/>
      </w:r>
      <w:r w:rsidRPr="002A7128">
        <w:rPr>
          <w:rFonts w:ascii="Calibri" w:hAnsi="Calibri" w:cs="Calibri"/>
        </w:rPr>
        <w:t xml:space="preserve">D and E, </w:t>
      </w:r>
      <w:r w:rsidRPr="002A7128">
        <w:rPr>
          <w:rFonts w:ascii="Calibri" w:hAnsi="Calibri" w:cs="Calibri"/>
        </w:rPr>
        <w:fldChar w:fldCharType="begin"/>
      </w:r>
      <w:r w:rsidRPr="002A7128">
        <w:rPr>
          <w:rFonts w:ascii="Calibri" w:hAnsi="Calibri" w:cs="Calibri"/>
        </w:rPr>
        <w:instrText xml:space="preserve"> REF _Ref103529427 </w:instrText>
      </w:r>
      <w:r w:rsidR="00BD50B3" w:rsidRPr="002A7128">
        <w:rPr>
          <w:rFonts w:ascii="Calibri" w:hAnsi="Calibri" w:cs="Calibri"/>
        </w:rPr>
        <w:instrText xml:space="preserve"> \* MERGEFORMAT </w:instrText>
      </w:r>
      <w:r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8</w:t>
      </w:r>
      <w:r w:rsidRPr="002A7128">
        <w:rPr>
          <w:rFonts w:ascii="Calibri" w:hAnsi="Calibri" w:cs="Calibri"/>
        </w:rPr>
        <w:fldChar w:fldCharType="end"/>
      </w:r>
      <w:r w:rsidRPr="002A7128">
        <w:rPr>
          <w:rFonts w:ascii="Calibri" w:hAnsi="Calibri" w:cs="Calibri"/>
        </w:rPr>
        <w:t>B and H and</w:t>
      </w:r>
      <w:r w:rsidR="00BD50B3" w:rsidRPr="002A7128">
        <w:rPr>
          <w:rFonts w:ascii="Calibri" w:hAnsi="Calibri" w:cs="Calibri"/>
        </w:rPr>
        <w:t xml:space="preserve"> </w:t>
      </w:r>
      <w:r w:rsidR="00BD50B3" w:rsidRPr="002A7128">
        <w:rPr>
          <w:rFonts w:ascii="Calibri" w:hAnsi="Calibri" w:cs="Calibri"/>
        </w:rPr>
        <w:fldChar w:fldCharType="begin"/>
      </w:r>
      <w:r w:rsidR="00BD50B3" w:rsidRPr="002A7128">
        <w:rPr>
          <w:rFonts w:ascii="Calibri" w:hAnsi="Calibri" w:cs="Calibri"/>
        </w:rPr>
        <w:instrText xml:space="preserve"> REF _Ref103531954  \* MERGEFORMAT </w:instrText>
      </w:r>
      <w:r w:rsidR="00BD50B3" w:rsidRPr="002A7128">
        <w:rPr>
          <w:rFonts w:ascii="Calibri" w:hAnsi="Calibri" w:cs="Calibri"/>
        </w:rPr>
        <w:fldChar w:fldCharType="separate"/>
      </w:r>
      <w:r w:rsidR="00317E7D" w:rsidRPr="002A7128">
        <w:rPr>
          <w:rFonts w:ascii="Calibri" w:hAnsi="Calibri" w:cs="Calibri"/>
          <w:b/>
          <w:bCs/>
          <w:color w:val="000000" w:themeColor="text1"/>
        </w:rPr>
        <w:t xml:space="preserve">Figure </w:t>
      </w:r>
      <w:r w:rsidR="00317E7D" w:rsidRPr="002A7128">
        <w:rPr>
          <w:rFonts w:ascii="Calibri" w:hAnsi="Calibri" w:cs="Calibri"/>
          <w:b/>
          <w:bCs/>
          <w:noProof/>
          <w:color w:val="000000" w:themeColor="text1"/>
        </w:rPr>
        <w:t>12</w:t>
      </w:r>
      <w:r w:rsidR="00BD50B3" w:rsidRPr="002A7128">
        <w:rPr>
          <w:rFonts w:ascii="Calibri" w:hAnsi="Calibri" w:cs="Calibri"/>
        </w:rPr>
        <w:fldChar w:fldCharType="end"/>
      </w:r>
      <w:r w:rsidR="00BD50B3" w:rsidRPr="002A7128">
        <w:rPr>
          <w:rFonts w:ascii="Calibri" w:hAnsi="Calibri" w:cs="Calibri"/>
        </w:rPr>
        <w:t>D</w:t>
      </w:r>
      <w:r w:rsidRPr="002A7128">
        <w:rPr>
          <w:rFonts w:ascii="Calibri" w:hAnsi="Calibri" w:cs="Calibri"/>
        </w:rPr>
        <w:t xml:space="preserve"> were normalized to the mean of untreated control. </w:t>
      </w:r>
      <w:r w:rsidR="00BD50B3" w:rsidRPr="002A7128">
        <w:rPr>
          <w:rFonts w:ascii="Calibri" w:hAnsi="Calibri" w:cs="Calibri"/>
        </w:rPr>
        <w:fldChar w:fldCharType="begin"/>
      </w:r>
      <w:r w:rsidR="00BD50B3" w:rsidRPr="002A7128">
        <w:rPr>
          <w:rFonts w:ascii="Calibri" w:hAnsi="Calibri" w:cs="Calibri"/>
        </w:rPr>
        <w:instrText xml:space="preserve"> REF _Ref103530404  \* MERGEFORMAT </w:instrText>
      </w:r>
      <w:r w:rsidR="00BD50B3"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11</w:t>
      </w:r>
      <w:r w:rsidR="00BD50B3" w:rsidRPr="002A7128">
        <w:rPr>
          <w:rFonts w:ascii="Calibri" w:hAnsi="Calibri" w:cs="Calibri"/>
        </w:rPr>
        <w:fldChar w:fldCharType="end"/>
      </w:r>
      <w:r w:rsidR="00BD50B3" w:rsidRPr="002A7128">
        <w:rPr>
          <w:rFonts w:ascii="Calibri" w:hAnsi="Calibri" w:cs="Calibri"/>
        </w:rPr>
        <w:t xml:space="preserve">A and </w:t>
      </w:r>
      <w:r w:rsidR="00BD50B3" w:rsidRPr="002A7128">
        <w:rPr>
          <w:rFonts w:ascii="Calibri" w:hAnsi="Calibri" w:cs="Calibri"/>
        </w:rPr>
        <w:fldChar w:fldCharType="begin"/>
      </w:r>
      <w:r w:rsidR="00BD50B3" w:rsidRPr="002A7128">
        <w:rPr>
          <w:rFonts w:ascii="Calibri" w:hAnsi="Calibri" w:cs="Calibri"/>
        </w:rPr>
        <w:instrText xml:space="preserve"> REF _Ref103531954  \* MERGEFORMAT </w:instrText>
      </w:r>
      <w:r w:rsidR="00BD50B3"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12</w:t>
      </w:r>
      <w:r w:rsidR="00BD50B3" w:rsidRPr="002A7128">
        <w:rPr>
          <w:rFonts w:ascii="Calibri" w:hAnsi="Calibri" w:cs="Calibri"/>
        </w:rPr>
        <w:fldChar w:fldCharType="end"/>
      </w:r>
      <w:r w:rsidR="00BD50B3" w:rsidRPr="002A7128">
        <w:rPr>
          <w:rFonts w:ascii="Calibri" w:hAnsi="Calibri" w:cs="Calibri"/>
        </w:rPr>
        <w:t xml:space="preserve">E </w:t>
      </w:r>
      <w:r w:rsidRPr="002A7128">
        <w:rPr>
          <w:rFonts w:ascii="Calibri" w:hAnsi="Calibri" w:cs="Calibri"/>
        </w:rPr>
        <w:t>were normalized to the mean of Triton-X treated condition for LDH release (Maximum LDH release).  At least three biological replicates were performed for in vitro studies, and n=6 per group was performed for the vaccination study. All data are presented as mean ± standard deviation (SD).  Statistical analysis was done by one-way analysis of variance (ANOVA) with Tukey’s multiple-comparison test. **** p&lt;0.0001, *** p&lt;0.001, ** p&lt;0.01, * p&lt;0.1.</w:t>
      </w:r>
    </w:p>
    <w:p w14:paraId="75EB3A91" w14:textId="1A3993BA" w:rsidR="00FC272D" w:rsidRPr="002A7128" w:rsidRDefault="00FC272D">
      <w:pPr>
        <w:pStyle w:val="Heading2"/>
        <w:numPr>
          <w:ilvl w:val="2"/>
          <w:numId w:val="7"/>
        </w:numPr>
        <w:spacing w:line="480" w:lineRule="auto"/>
        <w:rPr>
          <w:rFonts w:ascii="Calibri" w:hAnsi="Calibri" w:cs="Calibri"/>
        </w:rPr>
      </w:pPr>
      <w:bookmarkStart w:id="75" w:name="_Toc120794146"/>
      <w:r w:rsidRPr="002A7128">
        <w:rPr>
          <w:rFonts w:ascii="Calibri" w:hAnsi="Calibri" w:cs="Calibri"/>
        </w:rPr>
        <w:t>Materials</w:t>
      </w:r>
      <w:bookmarkEnd w:id="75"/>
    </w:p>
    <w:p w14:paraId="0F7179B0" w14:textId="445E6679" w:rsidR="002A45FA" w:rsidRPr="002A7128" w:rsidRDefault="00FC272D" w:rsidP="00250FBA">
      <w:pPr>
        <w:spacing w:line="480" w:lineRule="auto"/>
        <w:jc w:val="both"/>
        <w:rPr>
          <w:rFonts w:ascii="Calibri" w:hAnsi="Calibri" w:cs="Calibri"/>
        </w:rPr>
      </w:pPr>
      <w:r w:rsidRPr="002A7128">
        <w:rPr>
          <w:rFonts w:ascii="Calibri" w:hAnsi="Calibri" w:cs="Calibri"/>
        </w:rPr>
        <w:t>9-fluorenylmethoxycarbonyl (Fmoc) protected amino acids, [4-[</w:t>
      </w:r>
      <w:r w:rsidR="00BD50B3" w:rsidRPr="002A7128">
        <w:rPr>
          <w:rFonts w:ascii="Calibri" w:hAnsi="Calibri" w:cs="Calibri"/>
        </w:rPr>
        <w:t>a</w:t>
      </w:r>
      <w:r w:rsidRPr="002A7128">
        <w:rPr>
          <w:rFonts w:ascii="Calibri" w:hAnsi="Calibri" w:cs="Calibri"/>
        </w:rPr>
        <w:t xml:space="preserve">-(2’,4’-dimethoxyphenyl) Fmoc </w:t>
      </w:r>
      <w:proofErr w:type="spellStart"/>
      <w:r w:rsidRPr="002A7128">
        <w:rPr>
          <w:rFonts w:ascii="Calibri" w:hAnsi="Calibri" w:cs="Calibri"/>
        </w:rPr>
        <w:t>aminomethyl</w:t>
      </w:r>
      <w:proofErr w:type="spellEnd"/>
      <w:r w:rsidRPr="002A7128">
        <w:rPr>
          <w:rFonts w:ascii="Calibri" w:hAnsi="Calibri" w:cs="Calibri"/>
        </w:rPr>
        <w:t xml:space="preserve">] phenoxy] </w:t>
      </w:r>
      <w:proofErr w:type="spellStart"/>
      <w:r w:rsidRPr="002A7128">
        <w:rPr>
          <w:rFonts w:ascii="Calibri" w:hAnsi="Calibri" w:cs="Calibri"/>
        </w:rPr>
        <w:t>acetamidonorleucyl</w:t>
      </w:r>
      <w:proofErr w:type="spellEnd"/>
      <w:r w:rsidRPr="002A7128">
        <w:rPr>
          <w:rFonts w:ascii="Calibri" w:hAnsi="Calibri" w:cs="Calibri"/>
        </w:rPr>
        <w:t xml:space="preserve">-MBHA resin (Rink amide MBHA resin), </w:t>
      </w:r>
      <w:proofErr w:type="spellStart"/>
      <w:r w:rsidRPr="002A7128">
        <w:rPr>
          <w:rFonts w:ascii="Calibri" w:hAnsi="Calibri" w:cs="Calibri"/>
        </w:rPr>
        <w:t>Oxyma</w:t>
      </w:r>
      <w:proofErr w:type="spellEnd"/>
      <w:r w:rsidRPr="002A7128">
        <w:rPr>
          <w:rFonts w:ascii="Calibri" w:hAnsi="Calibri" w:cs="Calibri"/>
        </w:rPr>
        <w:t xml:space="preserve">, </w:t>
      </w:r>
      <w:proofErr w:type="gramStart"/>
      <w:r w:rsidRPr="002A7128">
        <w:rPr>
          <w:rFonts w:ascii="Calibri" w:hAnsi="Calibri" w:cs="Calibri"/>
        </w:rPr>
        <w:t>N,N</w:t>
      </w:r>
      <w:proofErr w:type="gramEnd"/>
      <w:r w:rsidRPr="002A7128">
        <w:rPr>
          <w:rFonts w:ascii="Calibri" w:hAnsi="Calibri" w:cs="Calibri"/>
        </w:rPr>
        <w:t>'-</w:t>
      </w:r>
      <w:proofErr w:type="spellStart"/>
      <w:r w:rsidRPr="002A7128">
        <w:rPr>
          <w:rFonts w:ascii="Calibri" w:hAnsi="Calibri" w:cs="Calibri"/>
        </w:rPr>
        <w:t>Diisopropylcarbodiimide</w:t>
      </w:r>
      <w:proofErr w:type="spellEnd"/>
      <w:r w:rsidRPr="002A7128">
        <w:rPr>
          <w:rFonts w:ascii="Calibri" w:hAnsi="Calibri" w:cs="Calibri"/>
        </w:rPr>
        <w:t xml:space="preserve"> (DIC), Trifluoroacetic acid (TFA), piperidine, dimethylformamide (DMF), dichloromethane (DCM) were purchased from Gyros Protein Technologies. </w:t>
      </w:r>
      <w:proofErr w:type="spellStart"/>
      <w:r w:rsidRPr="002A7128">
        <w:rPr>
          <w:rFonts w:ascii="Calibri" w:hAnsi="Calibri" w:cs="Calibri"/>
        </w:rPr>
        <w:t>Triisopropylsilane</w:t>
      </w:r>
      <w:proofErr w:type="spellEnd"/>
      <w:r w:rsidRPr="002A7128">
        <w:rPr>
          <w:rFonts w:ascii="Calibri" w:hAnsi="Calibri" w:cs="Calibri"/>
        </w:rPr>
        <w:t>, Acetic anhydride, Congo Red dye and pyrene were purchased from Sigma-Aldrich. Deionized water (resistance of 18.2 M</w:t>
      </w:r>
      <w:r w:rsidR="00BD50B3" w:rsidRPr="002A7128">
        <w:rPr>
          <w:rFonts w:ascii="Calibri" w:hAnsi="Calibri" w:cs="Calibri"/>
        </w:rPr>
        <w:sym w:font="Symbol" w:char="F057"/>
      </w:r>
      <w:r w:rsidRPr="002A7128">
        <w:rPr>
          <w:rFonts w:ascii="Calibri" w:hAnsi="Calibri" w:cs="Calibri"/>
        </w:rPr>
        <w:t>.cm) was used during the experiments.</w:t>
      </w:r>
    </w:p>
    <w:p w14:paraId="2D546062" w14:textId="2AB14A16" w:rsidR="00FC272D" w:rsidRPr="002A7128" w:rsidRDefault="00FC272D">
      <w:pPr>
        <w:pStyle w:val="Heading2"/>
        <w:numPr>
          <w:ilvl w:val="2"/>
          <w:numId w:val="7"/>
        </w:numPr>
        <w:spacing w:line="480" w:lineRule="auto"/>
        <w:rPr>
          <w:rFonts w:ascii="Calibri" w:hAnsi="Calibri" w:cs="Calibri"/>
        </w:rPr>
      </w:pPr>
      <w:bookmarkStart w:id="76" w:name="_Toc120794147"/>
      <w:r w:rsidRPr="002A7128">
        <w:rPr>
          <w:rFonts w:ascii="Calibri" w:hAnsi="Calibri" w:cs="Calibri"/>
        </w:rPr>
        <w:t>Cell Culture and Reagents</w:t>
      </w:r>
      <w:bookmarkEnd w:id="76"/>
    </w:p>
    <w:p w14:paraId="61546CCD" w14:textId="683098E6" w:rsidR="00FC272D" w:rsidRPr="002A7128" w:rsidRDefault="00FC272D" w:rsidP="00F675B4">
      <w:pPr>
        <w:spacing w:line="480" w:lineRule="auto"/>
        <w:jc w:val="both"/>
        <w:rPr>
          <w:rFonts w:ascii="Calibri" w:hAnsi="Calibri" w:cs="Calibri"/>
        </w:rPr>
      </w:pPr>
      <w:r w:rsidRPr="002A7128">
        <w:rPr>
          <w:rFonts w:ascii="Calibri" w:hAnsi="Calibri" w:cs="Calibri"/>
        </w:rPr>
        <w:t>Epithelial ovarian cancer cell line OVCAR-8 (NCI-Vial Designation 0507715), B16-F10, Panc02, 3T3 and THP-1 cell lines were cultured in a humidified incubator at 37 ºC supplied with 5% CO</w:t>
      </w:r>
      <w:r w:rsidRPr="002A7128">
        <w:rPr>
          <w:rFonts w:ascii="Calibri" w:hAnsi="Calibri" w:cs="Calibri"/>
          <w:vertAlign w:val="subscript"/>
        </w:rPr>
        <w:t>2</w:t>
      </w:r>
      <w:r w:rsidRPr="002A7128">
        <w:rPr>
          <w:rFonts w:ascii="Calibri" w:hAnsi="Calibri" w:cs="Calibri"/>
        </w:rPr>
        <w:t>. B16-F10 and Panc02 cell lines were gifts from Dr. Wei R. Chen, University of Oklahoma. THP-1 cell line was gift from Dr. Stefan Wilhelm, University of Oklahoma.</w:t>
      </w:r>
    </w:p>
    <w:p w14:paraId="022241F9" w14:textId="748DFD48" w:rsidR="002A45FA" w:rsidRPr="002A7128" w:rsidRDefault="00FC272D" w:rsidP="00250FBA">
      <w:pPr>
        <w:spacing w:line="480" w:lineRule="auto"/>
        <w:jc w:val="both"/>
        <w:rPr>
          <w:rFonts w:ascii="Calibri" w:hAnsi="Calibri" w:cs="Calibri"/>
        </w:rPr>
      </w:pPr>
      <w:r w:rsidRPr="002A7128">
        <w:rPr>
          <w:rFonts w:ascii="Calibri" w:hAnsi="Calibri" w:cs="Calibri"/>
        </w:rPr>
        <w:lastRenderedPageBreak/>
        <w:t>OVCAR-8, THP-1, Panc02 cells a were cultured in Roswell Park Memorial Institute (RPMI) media (SIGMA R8758) and B16F10 and 3T3 cells were cultured in Dulbecco's Modified Eagle Medium (DMEM) (Sigma, D6429), supplemented with 10% FBS (</w:t>
      </w:r>
      <w:proofErr w:type="spellStart"/>
      <w:r w:rsidRPr="002A7128">
        <w:rPr>
          <w:rFonts w:ascii="Calibri" w:hAnsi="Calibri" w:cs="Calibri"/>
        </w:rPr>
        <w:t>Hyclone</w:t>
      </w:r>
      <w:proofErr w:type="spellEnd"/>
      <w:r w:rsidRPr="002A7128">
        <w:rPr>
          <w:rFonts w:ascii="Calibri" w:hAnsi="Calibri" w:cs="Calibri"/>
        </w:rPr>
        <w:t xml:space="preserve"> SH30910.03) and 1% antibiotics; penicillin (100 U/mL), and streptomycin (100 </w:t>
      </w:r>
      <w:r w:rsidR="00BD50B3" w:rsidRPr="002A7128">
        <w:rPr>
          <w:rFonts w:ascii="Calibri" w:hAnsi="Calibri" w:cs="Calibri"/>
        </w:rPr>
        <w:t>mg/</w:t>
      </w:r>
      <w:r w:rsidRPr="002A7128">
        <w:rPr>
          <w:rFonts w:ascii="Calibri" w:hAnsi="Calibri" w:cs="Calibri"/>
        </w:rPr>
        <w:t>mL) (</w:t>
      </w:r>
      <w:proofErr w:type="spellStart"/>
      <w:r w:rsidRPr="002A7128">
        <w:rPr>
          <w:rFonts w:ascii="Calibri" w:hAnsi="Calibri" w:cs="Calibri"/>
        </w:rPr>
        <w:t>Thermo</w:t>
      </w:r>
      <w:proofErr w:type="spellEnd"/>
      <w:r w:rsidRPr="002A7128">
        <w:rPr>
          <w:rFonts w:ascii="Calibri" w:hAnsi="Calibri" w:cs="Calibri"/>
        </w:rPr>
        <w:t xml:space="preserve"> Fisher 15240062) according to the manufacturer’s instructions. T75 flasks (TPP 90076) were used to culture cells and cells were passaged upon 85% confluency by using trypsin (Sigma 59418C). The media was changed every 2 days.</w:t>
      </w:r>
    </w:p>
    <w:p w14:paraId="47BF8973" w14:textId="3ED12689" w:rsidR="00FC272D" w:rsidRPr="002A7128" w:rsidRDefault="00FC272D">
      <w:pPr>
        <w:pStyle w:val="Heading2"/>
        <w:numPr>
          <w:ilvl w:val="2"/>
          <w:numId w:val="7"/>
        </w:numPr>
        <w:spacing w:line="480" w:lineRule="auto"/>
        <w:rPr>
          <w:rFonts w:ascii="Calibri" w:hAnsi="Calibri" w:cs="Calibri"/>
        </w:rPr>
      </w:pPr>
      <w:bookmarkStart w:id="77" w:name="_Toc120794148"/>
      <w:r w:rsidRPr="002A7128">
        <w:rPr>
          <w:rFonts w:ascii="Calibri" w:hAnsi="Calibri" w:cs="Calibri"/>
        </w:rPr>
        <w:t>Synthesis and Characterization of FF Peptides</w:t>
      </w:r>
      <w:bookmarkEnd w:id="77"/>
    </w:p>
    <w:p w14:paraId="5621E599" w14:textId="063A9E62" w:rsidR="002A45FA" w:rsidRPr="002A7128" w:rsidRDefault="00FC272D" w:rsidP="00F675B4">
      <w:pPr>
        <w:spacing w:line="480" w:lineRule="auto"/>
        <w:jc w:val="both"/>
        <w:rPr>
          <w:rFonts w:ascii="Calibri" w:hAnsi="Calibri" w:cs="Calibri"/>
        </w:rPr>
      </w:pPr>
      <w:r w:rsidRPr="002A7128">
        <w:rPr>
          <w:rFonts w:ascii="Calibri" w:hAnsi="Calibri" w:cs="Calibri"/>
        </w:rPr>
        <w:t xml:space="preserve">FF peptides (KFFAAK, EFFAAE, KFFWWK, EFFWWE, KFFIIK, and EFFIIE) were purchased from </w:t>
      </w:r>
      <w:proofErr w:type="spellStart"/>
      <w:r w:rsidRPr="002A7128">
        <w:rPr>
          <w:rFonts w:ascii="Calibri" w:hAnsi="Calibri" w:cs="Calibri"/>
        </w:rPr>
        <w:t>Biomatik</w:t>
      </w:r>
      <w:proofErr w:type="spellEnd"/>
      <w:r w:rsidRPr="002A7128">
        <w:rPr>
          <w:rFonts w:ascii="Calibri" w:hAnsi="Calibri" w:cs="Calibri"/>
        </w:rPr>
        <w:t xml:space="preserve"> (</w:t>
      </w:r>
      <w:proofErr w:type="spellStart"/>
      <w:r w:rsidRPr="002A7128">
        <w:rPr>
          <w:rFonts w:ascii="Calibri" w:hAnsi="Calibri" w:cs="Calibri"/>
        </w:rPr>
        <w:t>Biomatik</w:t>
      </w:r>
      <w:proofErr w:type="spellEnd"/>
      <w:r w:rsidRPr="002A7128">
        <w:rPr>
          <w:rFonts w:ascii="Calibri" w:hAnsi="Calibri" w:cs="Calibri"/>
        </w:rPr>
        <w:t xml:space="preserve"> Corporation, Canada) with higher than 95\% purity. EFFVVE, EFFLLE, KFFVVK and EFFVVE peptides were synthesized via solid-phase peptide synthesis with </w:t>
      </w:r>
      <w:proofErr w:type="spellStart"/>
      <w:r w:rsidRPr="002A7128">
        <w:rPr>
          <w:rFonts w:ascii="Calibri" w:hAnsi="Calibri" w:cs="Calibri"/>
        </w:rPr>
        <w:t>PreludeX</w:t>
      </w:r>
      <w:proofErr w:type="spellEnd"/>
      <w:r w:rsidRPr="002A7128">
        <w:rPr>
          <w:rFonts w:ascii="Calibri" w:hAnsi="Calibri" w:cs="Calibri"/>
        </w:rPr>
        <w:t xml:space="preserve"> automatic peptide synthesizer (Protein Technologies, Inc., Tucson, AZ). Peptides were prepared on a 0.2 scale by repeated amino acid couplings using Fmoc protected amino acid (3 eq.),</w:t>
      </w:r>
      <w:r w:rsidR="00BD50B3" w:rsidRPr="002A7128">
        <w:rPr>
          <w:rFonts w:ascii="Calibri" w:hAnsi="Calibri" w:cs="Calibri"/>
        </w:rPr>
        <w:t xml:space="preserve"> </w:t>
      </w:r>
      <w:r w:rsidRPr="002A7128">
        <w:rPr>
          <w:rFonts w:ascii="Calibri" w:hAnsi="Calibri" w:cs="Calibri"/>
        </w:rPr>
        <w:t xml:space="preserve">DIC (7.5 eq.) and </w:t>
      </w:r>
      <w:proofErr w:type="spellStart"/>
      <w:r w:rsidRPr="002A7128">
        <w:rPr>
          <w:rFonts w:ascii="Calibri" w:hAnsi="Calibri" w:cs="Calibri"/>
        </w:rPr>
        <w:t>Oxyma</w:t>
      </w:r>
      <w:proofErr w:type="spellEnd"/>
      <w:r w:rsidRPr="002A7128">
        <w:rPr>
          <w:rFonts w:ascii="Calibri" w:hAnsi="Calibri" w:cs="Calibri"/>
        </w:rPr>
        <w:t xml:space="preserve"> (7.5 eq.). BHA Rink Amide resin was used as solid support to construct the peptides. Fmoc protected amino acids except the final residue were removed through treatment with 20% piperidine/DMF solution for 10 min (twice) at 50</w:t>
      </w:r>
      <w:r w:rsidR="00BD50B3" w:rsidRPr="002A7128">
        <w:rPr>
          <w:rFonts w:ascii="Calibri" w:hAnsi="Calibri" w:cs="Calibri"/>
        </w:rPr>
        <w:t xml:space="preserve"> </w:t>
      </w:r>
      <w:r w:rsidR="00BD50B3" w:rsidRPr="002A7128">
        <w:rPr>
          <w:rFonts w:ascii="Calibri" w:hAnsi="Calibri" w:cs="Calibri"/>
        </w:rPr>
        <w:sym w:font="Symbol" w:char="F0B0"/>
      </w:r>
      <w:r w:rsidRPr="002A7128">
        <w:rPr>
          <w:rFonts w:ascii="Calibri" w:hAnsi="Calibri" w:cs="Calibri"/>
        </w:rPr>
        <w:t>C. Cleavage of the peptides from resin and deprotection of acid labile protected amino acids were carried out with a mixture of TFA/TIS/water in a ratio of 95:2.5:2.5 for 2.5 h. Excess TFA and organic solvents were removed by solvent evaporator and the remaining peptide was precipitated using diethyl ether at −20</w:t>
      </w:r>
      <w:r w:rsidR="00BD50B3" w:rsidRPr="002A7128">
        <w:rPr>
          <w:rFonts w:ascii="Calibri" w:hAnsi="Calibri" w:cs="Calibri"/>
        </w:rPr>
        <w:t xml:space="preserve"> </w:t>
      </w:r>
      <w:r w:rsidR="00BD50B3" w:rsidRPr="002A7128">
        <w:rPr>
          <w:rFonts w:ascii="Calibri" w:hAnsi="Calibri" w:cs="Calibri"/>
        </w:rPr>
        <w:sym w:font="Symbol" w:char="F0B0"/>
      </w:r>
      <w:r w:rsidRPr="002A7128">
        <w:rPr>
          <w:rFonts w:ascii="Calibri" w:hAnsi="Calibri" w:cs="Calibri"/>
        </w:rPr>
        <w:t>C overnight. The centrifuged white peptide residue was dissolved in water and frozen at -80</w:t>
      </w:r>
      <w:r w:rsidR="00BD50B3" w:rsidRPr="002A7128">
        <w:rPr>
          <w:rFonts w:ascii="Calibri" w:hAnsi="Calibri" w:cs="Calibri"/>
        </w:rPr>
        <w:t xml:space="preserve"> </w:t>
      </w:r>
      <w:r w:rsidR="00BD50B3" w:rsidRPr="002A7128">
        <w:rPr>
          <w:rFonts w:ascii="Calibri" w:hAnsi="Calibri" w:cs="Calibri"/>
        </w:rPr>
        <w:sym w:font="Symbol" w:char="F0B0"/>
      </w:r>
      <w:r w:rsidRPr="002A7128">
        <w:rPr>
          <w:rFonts w:ascii="Calibri" w:hAnsi="Calibri" w:cs="Calibri"/>
        </w:rPr>
        <w:t>C overnight, and then lyophilized (</w:t>
      </w:r>
      <w:proofErr w:type="spellStart"/>
      <w:r w:rsidRPr="002A7128">
        <w:rPr>
          <w:rFonts w:ascii="Calibri" w:hAnsi="Calibri" w:cs="Calibri"/>
        </w:rPr>
        <w:t>Labconco</w:t>
      </w:r>
      <w:proofErr w:type="spellEnd"/>
      <w:r w:rsidRPr="002A7128">
        <w:rPr>
          <w:rFonts w:ascii="Calibri" w:hAnsi="Calibri" w:cs="Calibri"/>
        </w:rPr>
        <w:t xml:space="preserve"> Freezone, 12 L) for one or two days. Peptides were purified with preparative HPLC (Agilent 1260) and identified by Shimadzu LCMS-2020. Agilent </w:t>
      </w:r>
      <w:r w:rsidRPr="002A7128">
        <w:rPr>
          <w:rFonts w:ascii="Calibri" w:hAnsi="Calibri" w:cs="Calibri"/>
        </w:rPr>
        <w:lastRenderedPageBreak/>
        <w:t>ZORBAX 300 SB-C18 (9.4 x 250 mm) and Alltech Pro-sphere HP C4 300A 5u (250 mm x 4.6 mm) with a mobile phase of water/acetonitrile mixture (0.1% am-</w:t>
      </w:r>
      <w:proofErr w:type="spellStart"/>
      <w:r w:rsidRPr="002A7128">
        <w:rPr>
          <w:rFonts w:ascii="Calibri" w:hAnsi="Calibri" w:cs="Calibri"/>
        </w:rPr>
        <w:t>monium</w:t>
      </w:r>
      <w:proofErr w:type="spellEnd"/>
      <w:r w:rsidRPr="002A7128">
        <w:rPr>
          <w:rFonts w:ascii="Calibri" w:hAnsi="Calibri" w:cs="Calibri"/>
        </w:rPr>
        <w:t xml:space="preserve"> hydroxide) used for negatively charged peptides; water/acetonitrile mixture (0.1% formic acid) was used for positively charged peptides. All peptides were tested with a purity &gt;95%. HPLC run started with 100% water for 3 min, followed by a gradient increase in acetonitrile from 0% to 60% over 30 min, followed by 100% acetonitrile for 3 min, and finally 100% water for 3 min. The flow rate is 1.5 mL/min, and the injection volume is 10 </w:t>
      </w:r>
      <w:proofErr w:type="spellStart"/>
      <w:r w:rsidR="00BD50B3" w:rsidRPr="002A7128">
        <w:rPr>
          <w:rFonts w:ascii="Calibri" w:hAnsi="Calibri" w:cs="Calibri"/>
        </w:rPr>
        <w:t>m</w:t>
      </w:r>
      <w:r w:rsidRPr="002A7128">
        <w:rPr>
          <w:rFonts w:ascii="Calibri" w:hAnsi="Calibri" w:cs="Calibri"/>
        </w:rPr>
        <w:t>L.</w:t>
      </w:r>
      <w:proofErr w:type="spellEnd"/>
    </w:p>
    <w:p w14:paraId="171410BA" w14:textId="1CD7A2E6" w:rsidR="00C950D7" w:rsidRPr="002A7128" w:rsidRDefault="00C950D7">
      <w:pPr>
        <w:pStyle w:val="Heading2"/>
        <w:numPr>
          <w:ilvl w:val="2"/>
          <w:numId w:val="7"/>
        </w:numPr>
        <w:spacing w:line="480" w:lineRule="auto"/>
        <w:rPr>
          <w:rFonts w:ascii="Calibri" w:hAnsi="Calibri" w:cs="Calibri"/>
        </w:rPr>
      </w:pPr>
      <w:bookmarkStart w:id="78" w:name="_Toc120794149"/>
      <w:r w:rsidRPr="002A7128">
        <w:rPr>
          <w:rFonts w:ascii="Calibri" w:hAnsi="Calibri" w:cs="Calibri"/>
        </w:rPr>
        <w:t>Peptide Aggregation Analysis</w:t>
      </w:r>
      <w:bookmarkEnd w:id="78"/>
    </w:p>
    <w:p w14:paraId="6DA18783" w14:textId="11DAC662" w:rsidR="002A45FA" w:rsidRPr="002A7128" w:rsidRDefault="00C950D7" w:rsidP="00F675B4">
      <w:pPr>
        <w:spacing w:line="480" w:lineRule="auto"/>
        <w:jc w:val="both"/>
        <w:rPr>
          <w:rFonts w:ascii="Calibri" w:hAnsi="Calibri" w:cs="Calibri"/>
        </w:rPr>
      </w:pPr>
      <w:r w:rsidRPr="002A7128">
        <w:rPr>
          <w:rFonts w:ascii="Calibri" w:hAnsi="Calibri" w:cs="Calibri"/>
        </w:rPr>
        <w:t xml:space="preserve">DPH assay was performed to understand the CAC. Peptides (except [AA]) were prepared in PBS starting from a concentration of 500 </w:t>
      </w:r>
      <w:r w:rsidRPr="003364FE">
        <w:rPr>
          <w:rFonts w:ascii="Symbol" w:hAnsi="Symbol" w:cs="Calibri"/>
        </w:rPr>
        <w:t>m</w:t>
      </w:r>
      <w:r w:rsidRPr="002A7128">
        <w:rPr>
          <w:rFonts w:ascii="Calibri" w:hAnsi="Calibri" w:cs="Calibri"/>
        </w:rPr>
        <w:t xml:space="preserve">M to 3.9 </w:t>
      </w:r>
      <w:r w:rsidRPr="003364FE">
        <w:rPr>
          <w:rFonts w:ascii="Symbol" w:hAnsi="Symbol" w:cs="Calibri"/>
        </w:rPr>
        <w:t>m</w:t>
      </w:r>
      <w:r w:rsidRPr="002A7128">
        <w:rPr>
          <w:rFonts w:ascii="Calibri" w:hAnsi="Calibri" w:cs="Calibri"/>
        </w:rPr>
        <w:t xml:space="preserve">M with serial dilution. [AA] was prepared from 10 mM to 15.6 mM to check the aggregation behavior even in higher concentrations. First, negatively charged peptide (48 </w:t>
      </w:r>
      <w:r w:rsidRPr="003364FE">
        <w:rPr>
          <w:rFonts w:ascii="Symbol" w:hAnsi="Symbol" w:cs="Calibri"/>
        </w:rPr>
        <w:t>m</w:t>
      </w:r>
      <w:r w:rsidRPr="002A7128">
        <w:rPr>
          <w:rFonts w:ascii="Calibri" w:hAnsi="Calibri" w:cs="Calibri"/>
        </w:rPr>
        <w:t xml:space="preserve">L) was put to the black 96 well- plate, then 4 </w:t>
      </w:r>
      <w:r w:rsidRPr="003364FE">
        <w:rPr>
          <w:rFonts w:ascii="Symbol" w:hAnsi="Symbol" w:cs="Calibri"/>
        </w:rPr>
        <w:t>m</w:t>
      </w:r>
      <w:r w:rsidRPr="002A7128">
        <w:rPr>
          <w:rFonts w:ascii="Calibri" w:hAnsi="Calibri" w:cs="Calibri"/>
        </w:rPr>
        <w:t xml:space="preserve">L (from 4 mM in PBS) DPH was added, and finally, positively charged peptide (48 </w:t>
      </w:r>
      <w:r w:rsidRPr="003364FE">
        <w:rPr>
          <w:rFonts w:ascii="Symbol" w:hAnsi="Symbol" w:cs="Calibri"/>
        </w:rPr>
        <w:t>m</w:t>
      </w:r>
      <w:r w:rsidRPr="002A7128">
        <w:rPr>
          <w:rFonts w:ascii="Calibri" w:hAnsi="Calibri" w:cs="Calibri"/>
        </w:rPr>
        <w:t xml:space="preserve">L) was added to each well. The solutions were incubated at 37 </w:t>
      </w:r>
      <w:r w:rsidRPr="002A7128">
        <w:rPr>
          <w:rFonts w:ascii="Calibri" w:hAnsi="Calibri" w:cs="Calibri"/>
        </w:rPr>
        <w:sym w:font="Symbol" w:char="F0B0"/>
      </w:r>
      <w:r w:rsidRPr="002A7128">
        <w:rPr>
          <w:rFonts w:ascii="Calibri" w:hAnsi="Calibri" w:cs="Calibri"/>
        </w:rPr>
        <w:t>C for an hour. After the incubation, fluorescence intensity was collected immediately with Ex:360</w:t>
      </w:r>
      <w:r w:rsidRPr="002A7128">
        <w:rPr>
          <w:rFonts w:ascii="Calibri" w:hAnsi="Calibri" w:cs="Calibri"/>
        </w:rPr>
        <w:sym w:font="Symbol" w:char="F0B1"/>
      </w:r>
      <w:r w:rsidRPr="002A7128">
        <w:rPr>
          <w:rFonts w:ascii="Calibri" w:hAnsi="Calibri" w:cs="Calibri"/>
        </w:rPr>
        <w:t xml:space="preserve">40 nm, </w:t>
      </w:r>
      <w:proofErr w:type="spellStart"/>
      <w:r w:rsidRPr="002A7128">
        <w:rPr>
          <w:rFonts w:ascii="Calibri" w:hAnsi="Calibri" w:cs="Calibri"/>
        </w:rPr>
        <w:t>Em</w:t>
      </w:r>
      <w:proofErr w:type="spellEnd"/>
      <w:r w:rsidRPr="002A7128">
        <w:rPr>
          <w:rFonts w:ascii="Calibri" w:hAnsi="Calibri" w:cs="Calibri"/>
        </w:rPr>
        <w:t>: 460</w:t>
      </w:r>
      <w:r w:rsidRPr="002A7128">
        <w:rPr>
          <w:rFonts w:ascii="Calibri" w:hAnsi="Calibri" w:cs="Calibri"/>
        </w:rPr>
        <w:sym w:font="Symbol" w:char="F0B1"/>
      </w:r>
      <w:r w:rsidRPr="002A7128">
        <w:rPr>
          <w:rFonts w:ascii="Calibri" w:hAnsi="Calibri" w:cs="Calibri"/>
        </w:rPr>
        <w:t xml:space="preserve">40 nm with </w:t>
      </w:r>
      <w:proofErr w:type="spellStart"/>
      <w:r w:rsidRPr="002A7128">
        <w:rPr>
          <w:rFonts w:ascii="Calibri" w:hAnsi="Calibri" w:cs="Calibri"/>
        </w:rPr>
        <w:t>BioTek</w:t>
      </w:r>
      <w:proofErr w:type="spellEnd"/>
      <w:r w:rsidRPr="002A7128">
        <w:rPr>
          <w:rFonts w:ascii="Calibri" w:hAnsi="Calibri" w:cs="Calibri"/>
        </w:rPr>
        <w:t xml:space="preserve"> Neo2SM microplate reader. We performed a Congo Red assay to visualize aggregations deposited on the well plate. Peptides having 0.5 mM concentration and equal volume (48 mL each) were prepared in PBS. Then first, negatively charged peptide was put to 96 well-</w:t>
      </w:r>
      <w:proofErr w:type="gramStart"/>
      <w:r w:rsidRPr="002A7128">
        <w:rPr>
          <w:rFonts w:ascii="Calibri" w:hAnsi="Calibri" w:cs="Calibri"/>
        </w:rPr>
        <w:t>plate</w:t>
      </w:r>
      <w:proofErr w:type="gramEnd"/>
      <w:r w:rsidRPr="002A7128">
        <w:rPr>
          <w:rFonts w:ascii="Calibri" w:hAnsi="Calibri" w:cs="Calibri"/>
        </w:rPr>
        <w:t xml:space="preserve">. Congo red having a final concentration of 20 mM (4 mL), was added, followed by the addition of a positively charged peptide (48 </w:t>
      </w:r>
      <w:r w:rsidRPr="003364FE">
        <w:rPr>
          <w:rFonts w:ascii="Symbol" w:hAnsi="Symbol" w:cs="Calibri"/>
        </w:rPr>
        <w:t>m</w:t>
      </w:r>
      <w:r w:rsidRPr="002A7128">
        <w:rPr>
          <w:rFonts w:ascii="Calibri" w:hAnsi="Calibri" w:cs="Calibri"/>
        </w:rPr>
        <w:t xml:space="preserve">L each). Brightfield images were taken immediately with Keyence bz-x710 microscope at defined time points. Finally, </w:t>
      </w:r>
      <w:proofErr w:type="spellStart"/>
      <w:r w:rsidRPr="002A7128">
        <w:rPr>
          <w:rFonts w:ascii="Calibri" w:hAnsi="Calibri" w:cs="Calibri"/>
        </w:rPr>
        <w:t>ThT</w:t>
      </w:r>
      <w:proofErr w:type="spellEnd"/>
      <w:r w:rsidRPr="002A7128">
        <w:rPr>
          <w:rFonts w:ascii="Calibri" w:hAnsi="Calibri" w:cs="Calibri"/>
        </w:rPr>
        <w:t xml:space="preserve"> assay was performed for aggregation kinetics analysis. Peptides were prepared with the same method as the Congo Red assay, but the total </w:t>
      </w:r>
      <w:r w:rsidRPr="002A7128">
        <w:rPr>
          <w:rFonts w:ascii="Calibri" w:hAnsi="Calibri" w:cs="Calibri"/>
        </w:rPr>
        <w:lastRenderedPageBreak/>
        <w:t xml:space="preserve">peptide volume was adjusted to 196 </w:t>
      </w:r>
      <w:r w:rsidRPr="003364FE">
        <w:rPr>
          <w:rFonts w:ascii="Symbol" w:hAnsi="Symbol" w:cs="Calibri"/>
        </w:rPr>
        <w:t>m</w:t>
      </w:r>
      <w:r w:rsidRPr="002A7128">
        <w:rPr>
          <w:rFonts w:ascii="Calibri" w:hAnsi="Calibri" w:cs="Calibri"/>
        </w:rPr>
        <w:t xml:space="preserve">L. Final </w:t>
      </w:r>
      <w:proofErr w:type="spellStart"/>
      <w:r w:rsidRPr="002A7128">
        <w:rPr>
          <w:rFonts w:ascii="Calibri" w:hAnsi="Calibri" w:cs="Calibri"/>
        </w:rPr>
        <w:t>ThT</w:t>
      </w:r>
      <w:proofErr w:type="spellEnd"/>
      <w:r w:rsidRPr="002A7128">
        <w:rPr>
          <w:rFonts w:ascii="Calibri" w:hAnsi="Calibri" w:cs="Calibri"/>
        </w:rPr>
        <w:t xml:space="preserve"> concentration in peptide solution is 10 </w:t>
      </w:r>
      <w:proofErr w:type="spellStart"/>
      <w:r w:rsidRPr="002A7128">
        <w:rPr>
          <w:rFonts w:ascii="Calibri" w:hAnsi="Calibri" w:cs="Calibri"/>
        </w:rPr>
        <w:t>mM.</w:t>
      </w:r>
      <w:proofErr w:type="spellEnd"/>
      <w:r w:rsidRPr="002A7128">
        <w:rPr>
          <w:rFonts w:ascii="Calibri" w:hAnsi="Calibri" w:cs="Calibri"/>
        </w:rPr>
        <w:t xml:space="preserve"> Fluorescence measurements were taken immediately after putting positively charged peptide with Ex: 440</w:t>
      </w:r>
      <w:r w:rsidRPr="002A7128">
        <w:rPr>
          <w:rFonts w:ascii="Calibri" w:hAnsi="Calibri" w:cs="Calibri"/>
        </w:rPr>
        <w:sym w:font="Symbol" w:char="F0B1"/>
      </w:r>
      <w:r w:rsidRPr="002A7128">
        <w:rPr>
          <w:rFonts w:ascii="Calibri" w:hAnsi="Calibri" w:cs="Calibri"/>
        </w:rPr>
        <w:t xml:space="preserve">10 nm, </w:t>
      </w:r>
      <w:proofErr w:type="spellStart"/>
      <w:r w:rsidRPr="002A7128">
        <w:rPr>
          <w:rFonts w:ascii="Calibri" w:hAnsi="Calibri" w:cs="Calibri"/>
        </w:rPr>
        <w:t>Em</w:t>
      </w:r>
      <w:proofErr w:type="spellEnd"/>
      <w:r w:rsidRPr="002A7128">
        <w:rPr>
          <w:rFonts w:ascii="Calibri" w:hAnsi="Calibri" w:cs="Calibri"/>
        </w:rPr>
        <w:t>: 480</w:t>
      </w:r>
      <w:r w:rsidRPr="002A7128">
        <w:rPr>
          <w:rFonts w:ascii="Calibri" w:hAnsi="Calibri" w:cs="Calibri"/>
        </w:rPr>
        <w:sym w:font="Symbol" w:char="F0B1"/>
      </w:r>
      <w:r w:rsidRPr="002A7128">
        <w:rPr>
          <w:rFonts w:ascii="Calibri" w:hAnsi="Calibri" w:cs="Calibri"/>
        </w:rPr>
        <w:t>10 nm.</w:t>
      </w:r>
    </w:p>
    <w:p w14:paraId="3417BEAB" w14:textId="7F51C4E2" w:rsidR="00C950D7" w:rsidRPr="002A7128" w:rsidRDefault="00485391">
      <w:pPr>
        <w:pStyle w:val="Heading2"/>
        <w:numPr>
          <w:ilvl w:val="2"/>
          <w:numId w:val="7"/>
        </w:numPr>
        <w:spacing w:line="480" w:lineRule="auto"/>
        <w:rPr>
          <w:rFonts w:ascii="Calibri" w:hAnsi="Calibri" w:cs="Calibri"/>
        </w:rPr>
      </w:pPr>
      <w:bookmarkStart w:id="79" w:name="_Toc120794150"/>
      <w:r w:rsidRPr="002A7128">
        <w:rPr>
          <w:rFonts w:ascii="Calibri" w:hAnsi="Calibri" w:cs="Calibri"/>
        </w:rPr>
        <w:t>TEM Analysis</w:t>
      </w:r>
      <w:bookmarkEnd w:id="79"/>
    </w:p>
    <w:p w14:paraId="245C22BA" w14:textId="10F95A99" w:rsidR="00485391" w:rsidRPr="002A7128" w:rsidRDefault="00485391" w:rsidP="00F675B4">
      <w:pPr>
        <w:spacing w:line="480" w:lineRule="auto"/>
        <w:jc w:val="both"/>
        <w:rPr>
          <w:rFonts w:ascii="Calibri" w:hAnsi="Calibri" w:cs="Calibri"/>
        </w:rPr>
      </w:pPr>
      <w:r w:rsidRPr="002A7128">
        <w:rPr>
          <w:rFonts w:ascii="Calibri" w:hAnsi="Calibri" w:cs="Calibri"/>
        </w:rPr>
        <w:t xml:space="preserve">Peptide samples were prepared from 10 mM stock solutions (incubated for 24h) of co-assembled samples to 0.02 mM with water. Then, 10 mL of diluted peptide samples were dropped onto the TEM grid (Ted Pella, Catalog number:01813-F) and incubated for 10 min. Then, samples were taken with a pipette, negatively stained with 2\% uranyl </w:t>
      </w:r>
      <w:proofErr w:type="gramStart"/>
      <w:r w:rsidRPr="002A7128">
        <w:rPr>
          <w:rFonts w:ascii="Calibri" w:hAnsi="Calibri" w:cs="Calibri"/>
        </w:rPr>
        <w:t>acetate</w:t>
      </w:r>
      <w:proofErr w:type="gramEnd"/>
      <w:r w:rsidRPr="002A7128">
        <w:rPr>
          <w:rFonts w:ascii="Calibri" w:hAnsi="Calibri" w:cs="Calibri"/>
        </w:rPr>
        <w:t xml:space="preserve"> and imaged using JEOL 2010F Field Emission Transmission Electron Microscope.</w:t>
      </w:r>
    </w:p>
    <w:p w14:paraId="62BB5890" w14:textId="5C58FF6F" w:rsidR="00485391" w:rsidRPr="002A7128" w:rsidRDefault="00485391">
      <w:pPr>
        <w:pStyle w:val="Heading2"/>
        <w:numPr>
          <w:ilvl w:val="2"/>
          <w:numId w:val="7"/>
        </w:numPr>
        <w:spacing w:line="480" w:lineRule="auto"/>
        <w:rPr>
          <w:rFonts w:ascii="Calibri" w:hAnsi="Calibri" w:cs="Calibri"/>
        </w:rPr>
      </w:pPr>
      <w:bookmarkStart w:id="80" w:name="_Toc120794151"/>
      <w:r w:rsidRPr="002A7128">
        <w:rPr>
          <w:rFonts w:ascii="Calibri" w:hAnsi="Calibri" w:cs="Calibri"/>
        </w:rPr>
        <w:t>Peptide Treatment and Viability Experiments</w:t>
      </w:r>
      <w:bookmarkEnd w:id="80"/>
    </w:p>
    <w:p w14:paraId="69F00389" w14:textId="49154D83" w:rsidR="002A45FA" w:rsidRPr="002A7128" w:rsidRDefault="00485391" w:rsidP="00F675B4">
      <w:pPr>
        <w:spacing w:line="480" w:lineRule="auto"/>
        <w:jc w:val="both"/>
        <w:rPr>
          <w:rFonts w:ascii="Calibri" w:hAnsi="Calibri" w:cs="Calibri"/>
        </w:rPr>
      </w:pPr>
      <w:r w:rsidRPr="002A7128">
        <w:rPr>
          <w:rFonts w:ascii="Calibri" w:hAnsi="Calibri" w:cs="Calibri"/>
        </w:rPr>
        <w:t xml:space="preserve">Positively and negatively charged self-assembling peptides were mixed 30 min prior to experiment except where otherwise stated. The viability of the cell lines was measured by using </w:t>
      </w:r>
      <w:proofErr w:type="spellStart"/>
      <w:r w:rsidRPr="002A7128">
        <w:rPr>
          <w:rFonts w:ascii="Calibri" w:hAnsi="Calibri" w:cs="Calibri"/>
        </w:rPr>
        <w:t>CellTiter</w:t>
      </w:r>
      <w:proofErr w:type="spellEnd"/>
      <w:r w:rsidRPr="002A7128">
        <w:rPr>
          <w:rFonts w:ascii="Calibri" w:hAnsi="Calibri" w:cs="Calibri"/>
        </w:rPr>
        <w:t xml:space="preserve">-Glo 2.0 Reagent (Promega G9248). The luminescent signal was measured in accordance with the manufacturer’s instructions. Measurements were carried out with </w:t>
      </w:r>
      <w:proofErr w:type="spellStart"/>
      <w:r w:rsidRPr="002A7128">
        <w:rPr>
          <w:rFonts w:ascii="Calibri" w:hAnsi="Calibri" w:cs="Calibri"/>
        </w:rPr>
        <w:t>BioTek</w:t>
      </w:r>
      <w:proofErr w:type="spellEnd"/>
      <w:r w:rsidRPr="002A7128">
        <w:rPr>
          <w:rFonts w:ascii="Calibri" w:hAnsi="Calibri" w:cs="Calibri"/>
        </w:rPr>
        <w:t xml:space="preserve"> Neo2SM microplate reader and relative viability was calculated. Live-Dead assay was carried out using Viability/Cytotoxicity Assay kit (BIOTIUM 30002). After peptide treatment, cells were treated with </w:t>
      </w:r>
      <w:proofErr w:type="spellStart"/>
      <w:r w:rsidRPr="002A7128">
        <w:rPr>
          <w:rFonts w:ascii="Calibri" w:hAnsi="Calibri" w:cs="Calibri"/>
        </w:rPr>
        <w:t>calcein</w:t>
      </w:r>
      <w:proofErr w:type="spellEnd"/>
      <w:r w:rsidRPr="002A7128">
        <w:rPr>
          <w:rFonts w:ascii="Calibri" w:hAnsi="Calibri" w:cs="Calibri"/>
        </w:rPr>
        <w:t xml:space="preserve"> and ethidium homodimer in accordance with the manufacturer’s instructions. Fluorescent images were taken by using Keyence bz-x710 microscope.</w:t>
      </w:r>
    </w:p>
    <w:p w14:paraId="6936BCAD" w14:textId="027F7EF5" w:rsidR="00485391" w:rsidRPr="002A7128" w:rsidRDefault="00485391">
      <w:pPr>
        <w:pStyle w:val="Heading2"/>
        <w:numPr>
          <w:ilvl w:val="2"/>
          <w:numId w:val="7"/>
        </w:numPr>
        <w:spacing w:line="480" w:lineRule="auto"/>
        <w:rPr>
          <w:rFonts w:ascii="Calibri" w:hAnsi="Calibri" w:cs="Calibri"/>
        </w:rPr>
      </w:pPr>
      <w:bookmarkStart w:id="81" w:name="_Toc120794152"/>
      <w:r w:rsidRPr="002A7128">
        <w:rPr>
          <w:rFonts w:ascii="Calibri" w:hAnsi="Calibri" w:cs="Calibri"/>
        </w:rPr>
        <w:t>Induction of Different Cell Death Modalities</w:t>
      </w:r>
      <w:bookmarkEnd w:id="81"/>
    </w:p>
    <w:p w14:paraId="03C0531D" w14:textId="514B81B1" w:rsidR="002A45FA" w:rsidRPr="002A7128" w:rsidRDefault="00485391" w:rsidP="00F675B4">
      <w:pPr>
        <w:spacing w:line="480" w:lineRule="auto"/>
        <w:jc w:val="both"/>
        <w:rPr>
          <w:rFonts w:ascii="Calibri" w:hAnsi="Calibri" w:cs="Calibri"/>
        </w:rPr>
      </w:pPr>
      <w:r w:rsidRPr="002A7128">
        <w:rPr>
          <w:rFonts w:ascii="Calibri" w:hAnsi="Calibri" w:cs="Calibri"/>
        </w:rPr>
        <w:t xml:space="preserve">OVCAR-8 cells were treated with 50 </w:t>
      </w:r>
      <w:r w:rsidRPr="003364FE">
        <w:rPr>
          <w:rFonts w:ascii="Symbol" w:hAnsi="Symbol" w:cs="Calibri"/>
        </w:rPr>
        <w:t>m</w:t>
      </w:r>
      <w:r w:rsidRPr="002A7128">
        <w:rPr>
          <w:rFonts w:ascii="Calibri" w:hAnsi="Calibri" w:cs="Calibri"/>
        </w:rPr>
        <w:t xml:space="preserve">M cisplatin for 24h to induce apoptosis. T75 flask containing OVCAR-8 cells were incubated in a 50 </w:t>
      </w:r>
      <w:r w:rsidRPr="002A7128">
        <w:rPr>
          <w:rFonts w:ascii="Calibri" w:hAnsi="Calibri" w:cs="Calibri"/>
        </w:rPr>
        <w:sym w:font="Symbol" w:char="F0B0"/>
      </w:r>
      <w:r w:rsidRPr="002A7128">
        <w:rPr>
          <w:rFonts w:ascii="Calibri" w:hAnsi="Calibri" w:cs="Calibri"/>
        </w:rPr>
        <w:t xml:space="preserve">C water bath for 10 minutes followed by a 24h recovery </w:t>
      </w:r>
      <w:r w:rsidRPr="002A7128">
        <w:rPr>
          <w:rFonts w:ascii="Calibri" w:hAnsi="Calibri" w:cs="Calibri"/>
        </w:rPr>
        <w:lastRenderedPageBreak/>
        <w:t xml:space="preserve">period for heat-induced cytotoxicity. Three cycles of 3 min liquid nitrogen followed by 5 min of 37 </w:t>
      </w:r>
      <w:r w:rsidRPr="002A7128">
        <w:rPr>
          <w:rFonts w:ascii="Calibri" w:hAnsi="Calibri" w:cs="Calibri"/>
        </w:rPr>
        <w:sym w:font="Symbol" w:char="F0B0"/>
      </w:r>
      <w:r w:rsidRPr="002A7128">
        <w:rPr>
          <w:rFonts w:ascii="Calibri" w:hAnsi="Calibri" w:cs="Calibri"/>
        </w:rPr>
        <w:t xml:space="preserve">C incubation is used to induce F/T.  </w:t>
      </w:r>
    </w:p>
    <w:p w14:paraId="09ADAFD8" w14:textId="57480905" w:rsidR="00485391" w:rsidRPr="002A7128" w:rsidRDefault="00485391">
      <w:pPr>
        <w:pStyle w:val="Heading2"/>
        <w:numPr>
          <w:ilvl w:val="2"/>
          <w:numId w:val="7"/>
        </w:numPr>
        <w:spacing w:line="480" w:lineRule="auto"/>
        <w:rPr>
          <w:rFonts w:ascii="Calibri" w:hAnsi="Calibri" w:cs="Calibri"/>
        </w:rPr>
      </w:pPr>
      <w:bookmarkStart w:id="82" w:name="_Toc120794153"/>
      <w:r w:rsidRPr="002A7128">
        <w:rPr>
          <w:rFonts w:ascii="Calibri" w:hAnsi="Calibri" w:cs="Calibri"/>
        </w:rPr>
        <w:t>Protein Extraction and Quantification</w:t>
      </w:r>
      <w:bookmarkEnd w:id="82"/>
      <w:r w:rsidRPr="002A7128">
        <w:rPr>
          <w:rFonts w:ascii="Calibri" w:hAnsi="Calibri" w:cs="Calibri"/>
        </w:rPr>
        <w:t xml:space="preserve"> </w:t>
      </w:r>
    </w:p>
    <w:p w14:paraId="09A10E18" w14:textId="3196459A" w:rsidR="00485391" w:rsidRPr="002A7128" w:rsidRDefault="00485391" w:rsidP="00F675B4">
      <w:pPr>
        <w:spacing w:line="480" w:lineRule="auto"/>
        <w:jc w:val="both"/>
        <w:rPr>
          <w:rFonts w:ascii="Calibri" w:hAnsi="Calibri" w:cs="Calibri"/>
        </w:rPr>
      </w:pPr>
      <w:r w:rsidRPr="002A7128">
        <w:rPr>
          <w:rFonts w:ascii="Calibri" w:hAnsi="Calibri" w:cs="Calibri"/>
        </w:rPr>
        <w:t>Lysate proteins: RIPA lysis and extraction buffer (</w:t>
      </w:r>
      <w:proofErr w:type="spellStart"/>
      <w:r w:rsidRPr="002A7128">
        <w:rPr>
          <w:rFonts w:ascii="Calibri" w:hAnsi="Calibri" w:cs="Calibri"/>
        </w:rPr>
        <w:t>Thermo</w:t>
      </w:r>
      <w:proofErr w:type="spellEnd"/>
      <w:r w:rsidRPr="002A7128">
        <w:rPr>
          <w:rFonts w:ascii="Calibri" w:hAnsi="Calibri" w:cs="Calibri"/>
        </w:rPr>
        <w:t xml:space="preserve"> Fisher Scientific 89900) supplemented with halt protease &amp; phosphatase inhibitor cocktail (</w:t>
      </w:r>
      <w:proofErr w:type="spellStart"/>
      <w:r w:rsidRPr="002A7128">
        <w:rPr>
          <w:rFonts w:ascii="Calibri" w:hAnsi="Calibri" w:cs="Calibri"/>
        </w:rPr>
        <w:t>Thermo</w:t>
      </w:r>
      <w:proofErr w:type="spellEnd"/>
      <w:r w:rsidRPr="002A7128">
        <w:rPr>
          <w:rFonts w:ascii="Calibri" w:hAnsi="Calibri" w:cs="Calibri"/>
        </w:rPr>
        <w:t xml:space="preserve"> Fisher Scientific 78440) is used to obtain lysate proteins.</w:t>
      </w:r>
    </w:p>
    <w:p w14:paraId="0C323B24" w14:textId="58BB3ABE" w:rsidR="002A45FA" w:rsidRPr="002A7128" w:rsidRDefault="00485391" w:rsidP="00F675B4">
      <w:pPr>
        <w:spacing w:line="480" w:lineRule="auto"/>
        <w:jc w:val="both"/>
        <w:rPr>
          <w:rFonts w:ascii="Calibri" w:hAnsi="Calibri" w:cs="Calibri"/>
        </w:rPr>
      </w:pPr>
      <w:r w:rsidRPr="002A7128">
        <w:rPr>
          <w:rFonts w:ascii="Calibri" w:hAnsi="Calibri" w:cs="Calibri"/>
        </w:rPr>
        <w:t xml:space="preserve">Supernatant proteins: Acetone precipitation is used for supernatant protein isolation. Briefly, ice-cold acetone was added to supernatants (4:1, </w:t>
      </w:r>
      <w:proofErr w:type="spellStart"/>
      <w:proofErr w:type="gramStart"/>
      <w:r w:rsidRPr="002A7128">
        <w:rPr>
          <w:rFonts w:ascii="Calibri" w:hAnsi="Calibri" w:cs="Calibri"/>
        </w:rPr>
        <w:t>v:v</w:t>
      </w:r>
      <w:proofErr w:type="spellEnd"/>
      <w:proofErr w:type="gramEnd"/>
      <w:r w:rsidRPr="002A7128">
        <w:rPr>
          <w:rFonts w:ascii="Calibri" w:hAnsi="Calibri" w:cs="Calibri"/>
        </w:rPr>
        <w:t xml:space="preserve">), incubated at -20 </w:t>
      </w:r>
      <w:r w:rsidRPr="002A7128">
        <w:rPr>
          <w:rFonts w:ascii="Calibri" w:hAnsi="Calibri" w:cs="Calibri"/>
        </w:rPr>
        <w:sym w:font="Symbol" w:char="F0B0"/>
      </w:r>
      <w:r w:rsidRPr="002A7128">
        <w:rPr>
          <w:rFonts w:ascii="Calibri" w:hAnsi="Calibri" w:cs="Calibri"/>
        </w:rPr>
        <w:t xml:space="preserve">C for 60 min and centrifuged at 10,000 g for 10 min. Acetone was removed and RIPA buffer was used to resuspend the proteins. Cell lysates were incubated for 15 min on ice and centrifuged at 14,000 g for 15 min at 4 </w:t>
      </w:r>
      <w:r w:rsidRPr="002A7128">
        <w:rPr>
          <w:rFonts w:ascii="Calibri" w:hAnsi="Calibri" w:cs="Calibri"/>
        </w:rPr>
        <w:sym w:font="Symbol" w:char="F0B0"/>
      </w:r>
      <w:r w:rsidRPr="002A7128">
        <w:rPr>
          <w:rFonts w:ascii="Calibri" w:hAnsi="Calibri" w:cs="Calibri"/>
        </w:rPr>
        <w:t>C, and supernatants were collected according to the manufacturer’s instructions. BCA protein assay kit (</w:t>
      </w:r>
      <w:proofErr w:type="spellStart"/>
      <w:r w:rsidRPr="002A7128">
        <w:rPr>
          <w:rFonts w:ascii="Calibri" w:hAnsi="Calibri" w:cs="Calibri"/>
        </w:rPr>
        <w:t>Thermo</w:t>
      </w:r>
      <w:proofErr w:type="spellEnd"/>
      <w:r w:rsidRPr="002A7128">
        <w:rPr>
          <w:rFonts w:ascii="Calibri" w:hAnsi="Calibri" w:cs="Calibri"/>
        </w:rPr>
        <w:t xml:space="preserve"> Fisher Scientific 23225) was used to quantify protein concentrations by measuring the absorbance at 562 nm in accordance with the manufacturer’s instructions.</w:t>
      </w:r>
    </w:p>
    <w:p w14:paraId="1DA960C7" w14:textId="3F809BC8" w:rsidR="009C7885" w:rsidRPr="002A7128" w:rsidRDefault="009C7885">
      <w:pPr>
        <w:pStyle w:val="Heading2"/>
        <w:numPr>
          <w:ilvl w:val="2"/>
          <w:numId w:val="7"/>
        </w:numPr>
        <w:spacing w:line="480" w:lineRule="auto"/>
        <w:rPr>
          <w:rFonts w:ascii="Calibri" w:hAnsi="Calibri" w:cs="Calibri"/>
        </w:rPr>
      </w:pPr>
      <w:r w:rsidRPr="002A7128">
        <w:rPr>
          <w:rFonts w:ascii="Calibri" w:hAnsi="Calibri" w:cs="Calibri"/>
        </w:rPr>
        <w:t xml:space="preserve">    </w:t>
      </w:r>
      <w:bookmarkStart w:id="83" w:name="_Toc120794154"/>
      <w:r w:rsidRPr="002A7128">
        <w:rPr>
          <w:rFonts w:ascii="Calibri" w:hAnsi="Calibri" w:cs="Calibri"/>
        </w:rPr>
        <w:t>Immunoblotting Reagents</w:t>
      </w:r>
      <w:bookmarkEnd w:id="83"/>
      <w:r w:rsidRPr="002A7128">
        <w:rPr>
          <w:rFonts w:ascii="Calibri" w:hAnsi="Calibri" w:cs="Calibri"/>
        </w:rPr>
        <w:t xml:space="preserve"> </w:t>
      </w:r>
    </w:p>
    <w:p w14:paraId="0996148C" w14:textId="21C963E4" w:rsidR="002A45FA" w:rsidRPr="002A7128" w:rsidRDefault="009C7885" w:rsidP="00F675B4">
      <w:pPr>
        <w:spacing w:line="480" w:lineRule="auto"/>
        <w:jc w:val="both"/>
        <w:rPr>
          <w:rFonts w:ascii="Calibri" w:hAnsi="Calibri" w:cs="Calibri"/>
        </w:rPr>
      </w:pPr>
      <w:r w:rsidRPr="002A7128">
        <w:rPr>
          <w:rFonts w:ascii="Calibri" w:hAnsi="Calibri" w:cs="Calibri"/>
        </w:rPr>
        <w:t>Acrylamide/Bis-acrylamide, 30% solution (Sigma A3699), 1.5 M Tris-HCl, pH 8.8 (</w:t>
      </w:r>
      <w:proofErr w:type="spellStart"/>
      <w:r w:rsidRPr="002A7128">
        <w:rPr>
          <w:rFonts w:ascii="Calibri" w:hAnsi="Calibri" w:cs="Calibri"/>
        </w:rPr>
        <w:t>Teknova</w:t>
      </w:r>
      <w:proofErr w:type="spellEnd"/>
      <w:r w:rsidRPr="002A7128">
        <w:rPr>
          <w:rFonts w:ascii="Calibri" w:hAnsi="Calibri" w:cs="Calibri"/>
        </w:rPr>
        <w:t xml:space="preserve"> T1588), Tris HCl Buffer 0.5 M solution, sterile pH 6.8 (Bio Basic SD8122), Ammonium persulfate (Sigma A3678), </w:t>
      </w:r>
      <w:proofErr w:type="spellStart"/>
      <w:r w:rsidRPr="002A7128">
        <w:rPr>
          <w:rFonts w:ascii="Calibri" w:hAnsi="Calibri" w:cs="Calibri"/>
        </w:rPr>
        <w:t>UltraPure</w:t>
      </w:r>
      <w:proofErr w:type="spellEnd"/>
      <w:r w:rsidRPr="002A7128">
        <w:rPr>
          <w:rFonts w:ascii="Calibri" w:hAnsi="Calibri" w:cs="Calibri"/>
        </w:rPr>
        <w:t xml:space="preserve"> 10% SDS (Invitrogen 15553-027), TEMED (</w:t>
      </w:r>
      <w:proofErr w:type="spellStart"/>
      <w:r w:rsidRPr="002A7128">
        <w:rPr>
          <w:rFonts w:ascii="Calibri" w:hAnsi="Calibri" w:cs="Calibri"/>
        </w:rPr>
        <w:t>Thermo</w:t>
      </w:r>
      <w:proofErr w:type="spellEnd"/>
      <w:r w:rsidRPr="002A7128">
        <w:rPr>
          <w:rFonts w:ascii="Calibri" w:hAnsi="Calibri" w:cs="Calibri"/>
        </w:rPr>
        <w:t xml:space="preserve"> Fisher Scientific 17919), Dithiothreitol (DTT) (BIO-RAD 1610610) Tris Base (Fisher Bioreagents BP152), Glycine (Fisher Bioreagents BP381), 4x </w:t>
      </w:r>
      <w:proofErr w:type="spellStart"/>
      <w:r w:rsidRPr="002A7128">
        <w:rPr>
          <w:rFonts w:ascii="Calibri" w:hAnsi="Calibri" w:cs="Calibri"/>
        </w:rPr>
        <w:t>Laemmli</w:t>
      </w:r>
      <w:proofErr w:type="spellEnd"/>
      <w:r w:rsidRPr="002A7128">
        <w:rPr>
          <w:rFonts w:ascii="Calibri" w:hAnsi="Calibri" w:cs="Calibri"/>
        </w:rPr>
        <w:t xml:space="preserve"> sample buffer (BIO-RAD 1610747), TWEEN 20 (Sigma P9416), Mini Trans-Blot filter paper (BIO-RAD 1703932), Nitrocellulose Membranes 0.45 </w:t>
      </w:r>
      <w:r w:rsidRPr="003364FE">
        <w:rPr>
          <w:rFonts w:ascii="Symbol" w:hAnsi="Symbol" w:cs="Calibri"/>
        </w:rPr>
        <w:t>m</w:t>
      </w:r>
      <w:r w:rsidRPr="002A7128">
        <w:rPr>
          <w:rFonts w:ascii="Calibri" w:hAnsi="Calibri" w:cs="Calibri"/>
        </w:rPr>
        <w:t xml:space="preserve">m (BIO-RAD 1620115), Western Blotting Luminol Reagent (Santa Cruz sc-2048). Antibodies; cleaved caspase-3 (Cell Signaling, 9664S), caspase-3 (Santa Cruz, sc-7272). GSDME (Abcam, ab215191), </w:t>
      </w:r>
      <w:r w:rsidRPr="003364FE">
        <w:rPr>
          <w:rFonts w:ascii="Symbol" w:hAnsi="Symbol" w:cs="Calibri"/>
        </w:rPr>
        <w:t>b</w:t>
      </w:r>
      <w:r w:rsidRPr="002A7128">
        <w:rPr>
          <w:rFonts w:ascii="Calibri" w:hAnsi="Calibri" w:cs="Calibri"/>
        </w:rPr>
        <w:t>-actin-</w:t>
      </w:r>
      <w:r w:rsidRPr="002A7128">
        <w:rPr>
          <w:rFonts w:ascii="Calibri" w:hAnsi="Calibri" w:cs="Calibri"/>
        </w:rPr>
        <w:lastRenderedPageBreak/>
        <w:t>HRP (Santa Cruz, sc-47778), HMGB-1-HRP (</w:t>
      </w:r>
      <w:proofErr w:type="spellStart"/>
      <w:r w:rsidRPr="002A7128">
        <w:rPr>
          <w:rFonts w:ascii="Calibri" w:hAnsi="Calibri" w:cs="Calibri"/>
        </w:rPr>
        <w:t>BioLegend</w:t>
      </w:r>
      <w:proofErr w:type="spellEnd"/>
      <w:r w:rsidRPr="002A7128">
        <w:rPr>
          <w:rFonts w:ascii="Calibri" w:hAnsi="Calibri" w:cs="Calibri"/>
        </w:rPr>
        <w:t>, 651411), HSP90 (Santa Cruz, sc-13119), Goat anti-Rabbit IgG Secondary Antibody (</w:t>
      </w:r>
      <w:proofErr w:type="spellStart"/>
      <w:r w:rsidRPr="002A7128">
        <w:rPr>
          <w:rFonts w:ascii="Calibri" w:hAnsi="Calibri" w:cs="Calibri"/>
        </w:rPr>
        <w:t>Thermo</w:t>
      </w:r>
      <w:proofErr w:type="spellEnd"/>
      <w:r w:rsidRPr="002A7128">
        <w:rPr>
          <w:rFonts w:ascii="Calibri" w:hAnsi="Calibri" w:cs="Calibri"/>
        </w:rPr>
        <w:t xml:space="preserve"> Fisher Scientific, 31460), Goat anti-Mouse IgG (</w:t>
      </w:r>
      <w:proofErr w:type="spellStart"/>
      <w:r w:rsidRPr="002A7128">
        <w:rPr>
          <w:rFonts w:ascii="Calibri" w:hAnsi="Calibri" w:cs="Calibri"/>
        </w:rPr>
        <w:t>Thermo</w:t>
      </w:r>
      <w:proofErr w:type="spellEnd"/>
      <w:r w:rsidRPr="002A7128">
        <w:rPr>
          <w:rFonts w:ascii="Calibri" w:hAnsi="Calibri" w:cs="Calibri"/>
        </w:rPr>
        <w:t xml:space="preserve"> Fisher Scientific, G-21040)</w:t>
      </w:r>
      <w:r w:rsidR="002A45FA" w:rsidRPr="002A7128">
        <w:rPr>
          <w:rFonts w:ascii="Calibri" w:hAnsi="Calibri" w:cs="Calibri"/>
        </w:rPr>
        <w:t>.</w:t>
      </w:r>
    </w:p>
    <w:p w14:paraId="7A52D47B" w14:textId="46C2DEB4" w:rsidR="007F4BCC" w:rsidRPr="002A7128" w:rsidRDefault="009C7885">
      <w:pPr>
        <w:pStyle w:val="Heading2"/>
        <w:numPr>
          <w:ilvl w:val="2"/>
          <w:numId w:val="7"/>
        </w:numPr>
        <w:spacing w:line="480" w:lineRule="auto"/>
        <w:rPr>
          <w:rFonts w:ascii="Calibri" w:hAnsi="Calibri" w:cs="Calibri"/>
        </w:rPr>
      </w:pPr>
      <w:r w:rsidRPr="002A7128">
        <w:rPr>
          <w:rFonts w:ascii="Calibri" w:hAnsi="Calibri" w:cs="Calibri"/>
        </w:rPr>
        <w:t xml:space="preserve">   </w:t>
      </w:r>
      <w:bookmarkStart w:id="84" w:name="_Toc120794155"/>
      <w:r w:rsidRPr="002A7128">
        <w:rPr>
          <w:rFonts w:ascii="Calibri" w:hAnsi="Calibri" w:cs="Calibri"/>
        </w:rPr>
        <w:t>Procedure</w:t>
      </w:r>
      <w:bookmarkEnd w:id="84"/>
    </w:p>
    <w:p w14:paraId="37926A18" w14:textId="4609E5A3" w:rsidR="002A45FA" w:rsidRPr="002A7128" w:rsidRDefault="009C7885" w:rsidP="00250FBA">
      <w:pPr>
        <w:spacing w:line="480" w:lineRule="auto"/>
        <w:jc w:val="both"/>
        <w:rPr>
          <w:rFonts w:ascii="Calibri" w:hAnsi="Calibri" w:cs="Calibri"/>
        </w:rPr>
      </w:pPr>
      <w:r w:rsidRPr="002A7128">
        <w:rPr>
          <w:rFonts w:ascii="Calibri" w:hAnsi="Calibri" w:cs="Calibri"/>
        </w:rPr>
        <w:t xml:space="preserve">Protein samples were diluted in </w:t>
      </w:r>
      <w:proofErr w:type="spellStart"/>
      <w:r w:rsidRPr="002A7128">
        <w:rPr>
          <w:rFonts w:ascii="Calibri" w:hAnsi="Calibri" w:cs="Calibri"/>
        </w:rPr>
        <w:t>Laemmli</w:t>
      </w:r>
      <w:proofErr w:type="spellEnd"/>
      <w:r w:rsidRPr="002A7128">
        <w:rPr>
          <w:rFonts w:ascii="Calibri" w:hAnsi="Calibri" w:cs="Calibri"/>
        </w:rPr>
        <w:t xml:space="preserve"> buffer and boiled for 5 min at 96 </w:t>
      </w:r>
      <w:r w:rsidRPr="002A7128">
        <w:rPr>
          <w:rFonts w:ascii="Calibri" w:hAnsi="Calibri" w:cs="Calibri"/>
        </w:rPr>
        <w:sym w:font="Symbol" w:char="F0B0"/>
      </w:r>
      <w:r w:rsidRPr="002A7128">
        <w:rPr>
          <w:rFonts w:ascii="Calibri" w:hAnsi="Calibri" w:cs="Calibri"/>
        </w:rPr>
        <w:t>C. Proteins were then separated by sodium dodecyl sulfate-polyacrylamide gel electrophoresis (SDS-PAGE) gels (8.5% and 15%) and transferred to nitrocellulose membranes. After transfer, the membranes were blocked in 5% milk in Tris Buffered Saline with 0.1% Tween 20 (TBST) or in 5% BSA for phosphorylated antibodies. Blots were then incubated with primary antibodies overnight. The next day blots were washed with TBST and incubated with HRP conjugated secondary antibodies. Lastly, western blotting luminol reagent solution was added on top of the membranes, and chemiluminescence signal was detected by Azure c600 Imaging Biosystems.</w:t>
      </w:r>
    </w:p>
    <w:p w14:paraId="7E7B3E4B" w14:textId="1DB340F6" w:rsidR="009C7885" w:rsidRPr="002A7128" w:rsidRDefault="009C7885">
      <w:pPr>
        <w:pStyle w:val="Heading2"/>
        <w:numPr>
          <w:ilvl w:val="2"/>
          <w:numId w:val="7"/>
        </w:numPr>
        <w:spacing w:line="480" w:lineRule="auto"/>
        <w:rPr>
          <w:rFonts w:ascii="Calibri" w:hAnsi="Calibri" w:cs="Calibri"/>
        </w:rPr>
      </w:pPr>
      <w:r w:rsidRPr="002A7128">
        <w:rPr>
          <w:rFonts w:ascii="Calibri" w:hAnsi="Calibri" w:cs="Calibri"/>
        </w:rPr>
        <w:t xml:space="preserve">    </w:t>
      </w:r>
      <w:bookmarkStart w:id="85" w:name="_Toc120794156"/>
      <w:r w:rsidRPr="002A7128">
        <w:rPr>
          <w:rFonts w:ascii="Calibri" w:hAnsi="Calibri" w:cs="Calibri"/>
        </w:rPr>
        <w:t>LDH Assay</w:t>
      </w:r>
      <w:bookmarkEnd w:id="85"/>
    </w:p>
    <w:p w14:paraId="08BF4E61" w14:textId="06FCE8CC" w:rsidR="009C7885" w:rsidRPr="002A7128" w:rsidRDefault="009C7885" w:rsidP="00250FBA">
      <w:pPr>
        <w:spacing w:line="480" w:lineRule="auto"/>
        <w:jc w:val="both"/>
        <w:rPr>
          <w:rFonts w:ascii="Calibri" w:hAnsi="Calibri" w:cs="Calibri"/>
        </w:rPr>
      </w:pPr>
      <w:r w:rsidRPr="002A7128">
        <w:rPr>
          <w:rFonts w:ascii="Calibri" w:hAnsi="Calibri" w:cs="Calibri"/>
        </w:rPr>
        <w:t xml:space="preserve">LDH release is measured by </w:t>
      </w:r>
      <w:proofErr w:type="spellStart"/>
      <w:r w:rsidRPr="002A7128">
        <w:rPr>
          <w:rFonts w:ascii="Calibri" w:hAnsi="Calibri" w:cs="Calibri"/>
        </w:rPr>
        <w:t>Cytoscan</w:t>
      </w:r>
      <w:proofErr w:type="spellEnd"/>
      <w:r w:rsidRPr="002A7128">
        <w:rPr>
          <w:rFonts w:ascii="Calibri" w:hAnsi="Calibri" w:cs="Calibri"/>
        </w:rPr>
        <w:t>-LDH Cytotoxicity Assay (Cat# 786-210). Briefly, media from treated and untreated cells were collected at indicated time points, mixed with reaction mixture, and incubated at room temperature. The reaction was stopped using stop solution, and absorbance was measured at 490 nm, and 680 nm. Triton-X treatment is used as a 100% LDH release positive control. Lastly, absorbance values at 680 nm (background signal) were subtracted from absorbance values at 490 nm and relative LDH release was calculated based on the positive control LDH release.</w:t>
      </w:r>
    </w:p>
    <w:p w14:paraId="2F7B97ED" w14:textId="77777777" w:rsidR="002A45FA" w:rsidRPr="002A7128" w:rsidRDefault="002A45FA" w:rsidP="00250FBA">
      <w:pPr>
        <w:spacing w:line="480" w:lineRule="auto"/>
        <w:jc w:val="both"/>
        <w:rPr>
          <w:rFonts w:ascii="Calibri" w:hAnsi="Calibri" w:cs="Calibri"/>
        </w:rPr>
      </w:pPr>
    </w:p>
    <w:p w14:paraId="2BAB4E42" w14:textId="17FBE8E7" w:rsidR="009C7885" w:rsidRPr="002A7128" w:rsidRDefault="009C7885">
      <w:pPr>
        <w:pStyle w:val="Heading2"/>
        <w:numPr>
          <w:ilvl w:val="2"/>
          <w:numId w:val="7"/>
        </w:numPr>
        <w:spacing w:line="480" w:lineRule="auto"/>
        <w:rPr>
          <w:rFonts w:ascii="Calibri" w:hAnsi="Calibri" w:cs="Calibri"/>
        </w:rPr>
      </w:pPr>
      <w:r w:rsidRPr="002A7128">
        <w:rPr>
          <w:rFonts w:ascii="Calibri" w:hAnsi="Calibri" w:cs="Calibri"/>
        </w:rPr>
        <w:lastRenderedPageBreak/>
        <w:t xml:space="preserve">     </w:t>
      </w:r>
      <w:bookmarkStart w:id="86" w:name="_Toc120794157"/>
      <w:r w:rsidRPr="002A7128">
        <w:rPr>
          <w:rFonts w:ascii="Calibri" w:hAnsi="Calibri" w:cs="Calibri"/>
        </w:rPr>
        <w:t>Flow Cytometry</w:t>
      </w:r>
      <w:bookmarkEnd w:id="86"/>
    </w:p>
    <w:p w14:paraId="583D8A8F" w14:textId="04BB86D2" w:rsidR="002A45FA" w:rsidRPr="002A7128" w:rsidRDefault="009C7885" w:rsidP="00F675B4">
      <w:pPr>
        <w:spacing w:line="480" w:lineRule="auto"/>
        <w:jc w:val="both"/>
        <w:rPr>
          <w:rFonts w:ascii="Calibri" w:hAnsi="Calibri" w:cs="Calibri"/>
        </w:rPr>
      </w:pPr>
      <w:r w:rsidRPr="002A7128">
        <w:rPr>
          <w:rFonts w:ascii="Calibri" w:hAnsi="Calibri" w:cs="Calibri"/>
        </w:rPr>
        <w:t xml:space="preserve">Cells were treated with either 0.25-0.5 or 1 mM [II] peptide for 6h and then stained with propidium iodide (Invitrogen, V13242) and analyzed by using BD </w:t>
      </w:r>
      <w:proofErr w:type="spellStart"/>
      <w:r w:rsidRPr="002A7128">
        <w:rPr>
          <w:rFonts w:ascii="Calibri" w:hAnsi="Calibri" w:cs="Calibri"/>
        </w:rPr>
        <w:t>Accuri</w:t>
      </w:r>
      <w:proofErr w:type="spellEnd"/>
      <w:r w:rsidRPr="002A7128">
        <w:rPr>
          <w:rFonts w:ascii="Calibri" w:hAnsi="Calibri" w:cs="Calibri"/>
        </w:rPr>
        <w:t xml:space="preserve"> C6 flow cytometry. Representative plots in the supporting information show PI-positive populations. Percent (%) PI-positive populations were plotted.</w:t>
      </w:r>
    </w:p>
    <w:p w14:paraId="67ABEA4A" w14:textId="2C02FD51" w:rsidR="009C7885" w:rsidRPr="002A7128" w:rsidRDefault="009C7885">
      <w:pPr>
        <w:pStyle w:val="Heading2"/>
        <w:numPr>
          <w:ilvl w:val="2"/>
          <w:numId w:val="7"/>
        </w:numPr>
        <w:spacing w:line="480" w:lineRule="auto"/>
        <w:rPr>
          <w:rFonts w:ascii="Calibri" w:hAnsi="Calibri" w:cs="Calibri"/>
        </w:rPr>
      </w:pPr>
      <w:r w:rsidRPr="002A7128">
        <w:rPr>
          <w:rFonts w:ascii="Calibri" w:hAnsi="Calibri" w:cs="Calibri"/>
        </w:rPr>
        <w:t xml:space="preserve">    </w:t>
      </w:r>
      <w:bookmarkStart w:id="87" w:name="_Toc120794158"/>
      <w:r w:rsidRPr="002A7128">
        <w:rPr>
          <w:rFonts w:ascii="Calibri" w:hAnsi="Calibri" w:cs="Calibri"/>
        </w:rPr>
        <w:t>Immunocytochemistry</w:t>
      </w:r>
      <w:bookmarkEnd w:id="87"/>
    </w:p>
    <w:p w14:paraId="3A9E5915" w14:textId="292FC948" w:rsidR="002A45FA" w:rsidRPr="002A7128" w:rsidRDefault="00346E73" w:rsidP="00250FBA">
      <w:pPr>
        <w:spacing w:line="480" w:lineRule="auto"/>
        <w:jc w:val="both"/>
        <w:rPr>
          <w:rFonts w:ascii="Calibri" w:hAnsi="Calibri" w:cs="Calibri"/>
        </w:rPr>
      </w:pPr>
      <w:r w:rsidRPr="002A7128">
        <w:rPr>
          <w:rFonts w:ascii="Calibri" w:hAnsi="Calibri" w:cs="Calibri"/>
        </w:rPr>
        <w:t>Phalloidin staining: OVCAR-8 cells were seeded on glass coverslips in a 24 well plate. Cells were treated with [II] for 1-3 and 6h. After each treatment period, cells were washed with 1X PBS and fixed with 4% PFA for 20 min, then, stained for 30 min with Phalloidin-</w:t>
      </w:r>
      <w:proofErr w:type="spellStart"/>
      <w:r w:rsidRPr="002A7128">
        <w:rPr>
          <w:rFonts w:ascii="Calibri" w:hAnsi="Calibri" w:cs="Calibri"/>
        </w:rPr>
        <w:t>iFluor</w:t>
      </w:r>
      <w:proofErr w:type="spellEnd"/>
      <w:r w:rsidRPr="002A7128">
        <w:rPr>
          <w:rFonts w:ascii="Calibri" w:hAnsi="Calibri" w:cs="Calibri"/>
        </w:rPr>
        <w:t xml:space="preserve"> 555 (Abcam ab176756) in 1% BSA. After the staining coverslips were mounted in </w:t>
      </w:r>
      <w:proofErr w:type="spellStart"/>
      <w:r w:rsidRPr="002A7128">
        <w:rPr>
          <w:rFonts w:ascii="Calibri" w:hAnsi="Calibri" w:cs="Calibri"/>
        </w:rPr>
        <w:t>ProLong</w:t>
      </w:r>
      <w:proofErr w:type="spellEnd"/>
      <w:r w:rsidRPr="002A7128">
        <w:rPr>
          <w:rFonts w:ascii="Calibri" w:hAnsi="Calibri" w:cs="Calibri"/>
        </w:rPr>
        <w:t xml:space="preserve">™ Glass Antifade </w:t>
      </w:r>
      <w:proofErr w:type="spellStart"/>
      <w:r w:rsidRPr="002A7128">
        <w:rPr>
          <w:rFonts w:ascii="Calibri" w:hAnsi="Calibri" w:cs="Calibri"/>
        </w:rPr>
        <w:t>Mountant</w:t>
      </w:r>
      <w:proofErr w:type="spellEnd"/>
      <w:r w:rsidRPr="002A7128">
        <w:rPr>
          <w:rFonts w:ascii="Calibri" w:hAnsi="Calibri" w:cs="Calibri"/>
        </w:rPr>
        <w:t xml:space="preserve"> with </w:t>
      </w:r>
      <w:proofErr w:type="spellStart"/>
      <w:r w:rsidRPr="002A7128">
        <w:rPr>
          <w:rFonts w:ascii="Calibri" w:hAnsi="Calibri" w:cs="Calibri"/>
        </w:rPr>
        <w:t>NucBlue</w:t>
      </w:r>
      <w:proofErr w:type="spellEnd"/>
      <w:r w:rsidRPr="002A7128">
        <w:rPr>
          <w:rFonts w:ascii="Calibri" w:hAnsi="Calibri" w:cs="Calibri"/>
        </w:rPr>
        <w:t>™ Stain (</w:t>
      </w:r>
      <w:proofErr w:type="spellStart"/>
      <w:r w:rsidRPr="002A7128">
        <w:rPr>
          <w:rFonts w:ascii="Calibri" w:hAnsi="Calibri" w:cs="Calibri"/>
        </w:rPr>
        <w:t>Thermo</w:t>
      </w:r>
      <w:proofErr w:type="spellEnd"/>
      <w:r w:rsidRPr="002A7128">
        <w:rPr>
          <w:rFonts w:ascii="Calibri" w:hAnsi="Calibri" w:cs="Calibri"/>
        </w:rPr>
        <w:t xml:space="preserve"> Fisher P36981) and stored in the dark until imaging.</w:t>
      </w:r>
    </w:p>
    <w:p w14:paraId="6A3CA20A" w14:textId="7072981C" w:rsidR="00346E73" w:rsidRPr="002A7128" w:rsidRDefault="00346E73">
      <w:pPr>
        <w:pStyle w:val="Heading2"/>
        <w:numPr>
          <w:ilvl w:val="2"/>
          <w:numId w:val="7"/>
        </w:numPr>
        <w:spacing w:line="480" w:lineRule="auto"/>
        <w:rPr>
          <w:rFonts w:ascii="Calibri" w:hAnsi="Calibri" w:cs="Calibri"/>
        </w:rPr>
      </w:pPr>
      <w:r w:rsidRPr="002A7128">
        <w:rPr>
          <w:rFonts w:ascii="Calibri" w:hAnsi="Calibri" w:cs="Calibri"/>
        </w:rPr>
        <w:t xml:space="preserve">     </w:t>
      </w:r>
      <w:bookmarkStart w:id="88" w:name="_Toc120794159"/>
      <w:r w:rsidRPr="002A7128">
        <w:rPr>
          <w:rFonts w:ascii="Calibri" w:hAnsi="Calibri" w:cs="Calibri"/>
        </w:rPr>
        <w:t>Cytochrome c Staining</w:t>
      </w:r>
      <w:bookmarkEnd w:id="88"/>
    </w:p>
    <w:p w14:paraId="724578C8" w14:textId="67CC41F5" w:rsidR="00346E73" w:rsidRPr="002A7128" w:rsidRDefault="00346E73" w:rsidP="00F675B4">
      <w:pPr>
        <w:spacing w:line="480" w:lineRule="auto"/>
        <w:jc w:val="both"/>
        <w:rPr>
          <w:rFonts w:ascii="Calibri" w:hAnsi="Calibri" w:cs="Calibri"/>
        </w:rPr>
      </w:pPr>
      <w:r w:rsidRPr="002A7128">
        <w:rPr>
          <w:rFonts w:ascii="Calibri" w:hAnsi="Calibri" w:cs="Calibri"/>
        </w:rPr>
        <w:t xml:space="preserve">OVCAR-8 cells were seeded on glass coverslips in a 24 well plate. Cells were treated with [II] for 1-2-3 and 4h. After each treatment period, cells were washed with 1X PBS and fixed with 4% PFA for 20 min. Then cell membranes were permeabilized by using Digitonin (0.002% in PBS) for 10 min on ice, blocked with 3% BSA in PBS, and stained with cytochrome-c antibody in 1% overnight. The next day, samples were washed 3 times with PBS and incubated for 1 h at room temperature with Donkey Anti-Mouse IgG </w:t>
      </w:r>
      <w:proofErr w:type="spellStart"/>
      <w:r w:rsidRPr="002A7128">
        <w:rPr>
          <w:rFonts w:ascii="Calibri" w:hAnsi="Calibri" w:cs="Calibri"/>
        </w:rPr>
        <w:t>NorthernLights</w:t>
      </w:r>
      <w:proofErr w:type="spellEnd"/>
      <w:r w:rsidRPr="002A7128">
        <w:rPr>
          <w:rFonts w:ascii="Calibri" w:hAnsi="Calibri" w:cs="Calibri"/>
        </w:rPr>
        <w:t xml:space="preserve">™ NL493-conjugated Antibody (NL009) in 1% BSA. Wells washed with 1% BSA and coverslips were mounted in </w:t>
      </w:r>
      <w:proofErr w:type="spellStart"/>
      <w:r w:rsidRPr="002A7128">
        <w:rPr>
          <w:rFonts w:ascii="Calibri" w:hAnsi="Calibri" w:cs="Calibri"/>
        </w:rPr>
        <w:t>ProLong</w:t>
      </w:r>
      <w:proofErr w:type="spellEnd"/>
      <w:r w:rsidRPr="002A7128">
        <w:rPr>
          <w:rFonts w:ascii="Calibri" w:hAnsi="Calibri" w:cs="Calibri"/>
        </w:rPr>
        <w:t xml:space="preserve">™ Glass Antifade </w:t>
      </w:r>
      <w:proofErr w:type="spellStart"/>
      <w:r w:rsidRPr="002A7128">
        <w:rPr>
          <w:rFonts w:ascii="Calibri" w:hAnsi="Calibri" w:cs="Calibri"/>
        </w:rPr>
        <w:t>Mountant</w:t>
      </w:r>
      <w:proofErr w:type="spellEnd"/>
      <w:r w:rsidRPr="002A7128">
        <w:rPr>
          <w:rFonts w:ascii="Calibri" w:hAnsi="Calibri" w:cs="Calibri"/>
        </w:rPr>
        <w:t xml:space="preserve"> with </w:t>
      </w:r>
      <w:proofErr w:type="spellStart"/>
      <w:r w:rsidRPr="002A7128">
        <w:rPr>
          <w:rFonts w:ascii="Calibri" w:hAnsi="Calibri" w:cs="Calibri"/>
        </w:rPr>
        <w:t>NucBlue</w:t>
      </w:r>
      <w:proofErr w:type="spellEnd"/>
      <w:r w:rsidRPr="002A7128">
        <w:rPr>
          <w:rFonts w:ascii="Calibri" w:hAnsi="Calibri" w:cs="Calibri"/>
        </w:rPr>
        <w:t>™ Stain (</w:t>
      </w:r>
      <w:proofErr w:type="spellStart"/>
      <w:r w:rsidRPr="002A7128">
        <w:rPr>
          <w:rFonts w:ascii="Calibri" w:hAnsi="Calibri" w:cs="Calibri"/>
        </w:rPr>
        <w:t>Thermo</w:t>
      </w:r>
      <w:proofErr w:type="spellEnd"/>
      <w:r w:rsidRPr="002A7128">
        <w:rPr>
          <w:rFonts w:ascii="Calibri" w:hAnsi="Calibri" w:cs="Calibri"/>
        </w:rPr>
        <w:t xml:space="preserve"> Fisher P36981) and stored in the dark until imaging.</w:t>
      </w:r>
    </w:p>
    <w:p w14:paraId="220B5136" w14:textId="77777777" w:rsidR="002A45FA" w:rsidRPr="002A7128" w:rsidRDefault="002A45FA" w:rsidP="00F675B4">
      <w:pPr>
        <w:spacing w:line="480" w:lineRule="auto"/>
        <w:jc w:val="both"/>
        <w:rPr>
          <w:rFonts w:ascii="Calibri" w:hAnsi="Calibri" w:cs="Calibri"/>
        </w:rPr>
      </w:pPr>
    </w:p>
    <w:p w14:paraId="36EFAE82" w14:textId="48A6A5D9" w:rsidR="00346E73" w:rsidRPr="002A7128" w:rsidRDefault="00346E73">
      <w:pPr>
        <w:pStyle w:val="Heading2"/>
        <w:numPr>
          <w:ilvl w:val="2"/>
          <w:numId w:val="7"/>
        </w:numPr>
        <w:spacing w:line="480" w:lineRule="auto"/>
        <w:rPr>
          <w:rFonts w:ascii="Calibri" w:hAnsi="Calibri" w:cs="Calibri"/>
        </w:rPr>
      </w:pPr>
      <w:r w:rsidRPr="002A7128">
        <w:rPr>
          <w:rFonts w:ascii="Calibri" w:hAnsi="Calibri" w:cs="Calibri"/>
        </w:rPr>
        <w:lastRenderedPageBreak/>
        <w:t xml:space="preserve">     </w:t>
      </w:r>
      <w:bookmarkStart w:id="89" w:name="_Toc120794160"/>
      <w:r w:rsidRPr="002A7128">
        <w:rPr>
          <w:rFonts w:ascii="Calibri" w:hAnsi="Calibri" w:cs="Calibri"/>
        </w:rPr>
        <w:t>THP-1 Differentiation</w:t>
      </w:r>
      <w:bookmarkEnd w:id="89"/>
    </w:p>
    <w:p w14:paraId="0F6F3FDD" w14:textId="2949A254" w:rsidR="002A45FA" w:rsidRPr="002A7128" w:rsidRDefault="00346E73" w:rsidP="00F675B4">
      <w:pPr>
        <w:spacing w:line="480" w:lineRule="auto"/>
        <w:jc w:val="both"/>
        <w:rPr>
          <w:rFonts w:ascii="Calibri" w:hAnsi="Calibri" w:cs="Calibri"/>
        </w:rPr>
      </w:pPr>
      <w:r w:rsidRPr="002A7128">
        <w:rPr>
          <w:rFonts w:ascii="Calibri" w:hAnsi="Calibri" w:cs="Calibri"/>
        </w:rPr>
        <w:t xml:space="preserve">THP-1 monocytes were differentiated in the presence of 200 ng/mL phorbol 12-myristate-13-acetate (PMA) for 2 days. Then macrophages were incubated in serum-free RPMI medium for one day prior to co-culture studies. Prior to the co-culture experiment, OVCAR-8 cells were labeled with </w:t>
      </w:r>
      <w:proofErr w:type="spellStart"/>
      <w:r w:rsidRPr="002A7128">
        <w:rPr>
          <w:rFonts w:ascii="Calibri" w:hAnsi="Calibri" w:cs="Calibri"/>
        </w:rPr>
        <w:t>CellTracker</w:t>
      </w:r>
      <w:proofErr w:type="spellEnd"/>
      <w:r w:rsidRPr="002A7128">
        <w:rPr>
          <w:rFonts w:ascii="Calibri" w:hAnsi="Calibri" w:cs="Calibri"/>
        </w:rPr>
        <w:t xml:space="preserve"> Red CMTPX (Invitrogen, C34552) and THP-1 differentiated macrophages were labeled with Wheat Germ Agglutinin (WGA-488) (</w:t>
      </w:r>
      <w:proofErr w:type="spellStart"/>
      <w:r w:rsidRPr="002A7128">
        <w:rPr>
          <w:rFonts w:ascii="Calibri" w:hAnsi="Calibri" w:cs="Calibri"/>
        </w:rPr>
        <w:t>Biotium</w:t>
      </w:r>
      <w:proofErr w:type="spellEnd"/>
      <w:r w:rsidRPr="002A7128">
        <w:rPr>
          <w:rFonts w:ascii="Calibri" w:hAnsi="Calibri" w:cs="Calibri"/>
        </w:rPr>
        <w:t xml:space="preserve">, 29022-1). 0.5 mM [II] treated or untreated cells were transferred onto differentiated and 24h rested macrophages in a ratio of 1:1. Briefly 20.000 treated or untreated OVCAR-8 cells were transferred to 20.000 THP-1 differentiated macrophages and co-cultured for 2h. Then, samples were fixed with 4% PFA, washed with PBS and mounted in </w:t>
      </w:r>
      <w:proofErr w:type="spellStart"/>
      <w:r w:rsidRPr="002A7128">
        <w:rPr>
          <w:rFonts w:ascii="Calibri" w:hAnsi="Calibri" w:cs="Calibri"/>
        </w:rPr>
        <w:t>ProLongTM</w:t>
      </w:r>
      <w:proofErr w:type="spellEnd"/>
      <w:r w:rsidRPr="002A7128">
        <w:rPr>
          <w:rFonts w:ascii="Calibri" w:hAnsi="Calibri" w:cs="Calibri"/>
        </w:rPr>
        <w:t xml:space="preserve"> Glass Antifade </w:t>
      </w:r>
      <w:proofErr w:type="spellStart"/>
      <w:r w:rsidRPr="002A7128">
        <w:rPr>
          <w:rFonts w:ascii="Calibri" w:hAnsi="Calibri" w:cs="Calibri"/>
        </w:rPr>
        <w:t>Mountant</w:t>
      </w:r>
      <w:proofErr w:type="spellEnd"/>
      <w:r w:rsidRPr="002A7128">
        <w:rPr>
          <w:rFonts w:ascii="Calibri" w:hAnsi="Calibri" w:cs="Calibri"/>
        </w:rPr>
        <w:t xml:space="preserve"> with </w:t>
      </w:r>
      <w:proofErr w:type="spellStart"/>
      <w:r w:rsidRPr="002A7128">
        <w:rPr>
          <w:rFonts w:ascii="Calibri" w:hAnsi="Calibri" w:cs="Calibri"/>
        </w:rPr>
        <w:t>NucBlueTM</w:t>
      </w:r>
      <w:proofErr w:type="spellEnd"/>
      <w:r w:rsidRPr="002A7128">
        <w:rPr>
          <w:rFonts w:ascii="Calibri" w:hAnsi="Calibri" w:cs="Calibri"/>
        </w:rPr>
        <w:t xml:space="preserve"> Stain (</w:t>
      </w:r>
      <w:proofErr w:type="spellStart"/>
      <w:r w:rsidRPr="002A7128">
        <w:rPr>
          <w:rFonts w:ascii="Calibri" w:hAnsi="Calibri" w:cs="Calibri"/>
        </w:rPr>
        <w:t>Thermo</w:t>
      </w:r>
      <w:proofErr w:type="spellEnd"/>
      <w:r w:rsidRPr="002A7128">
        <w:rPr>
          <w:rFonts w:ascii="Calibri" w:hAnsi="Calibri" w:cs="Calibri"/>
        </w:rPr>
        <w:t xml:space="preserve"> Fisher Scientific, P36981) and stored in the dark until imaging.</w:t>
      </w:r>
    </w:p>
    <w:p w14:paraId="6620ADFF" w14:textId="1147CE18" w:rsidR="001B2BB9" w:rsidRPr="002A7128" w:rsidRDefault="001B2BB9">
      <w:pPr>
        <w:pStyle w:val="Heading2"/>
        <w:numPr>
          <w:ilvl w:val="2"/>
          <w:numId w:val="7"/>
        </w:numPr>
        <w:spacing w:line="480" w:lineRule="auto"/>
        <w:rPr>
          <w:rFonts w:ascii="Calibri" w:hAnsi="Calibri" w:cs="Calibri"/>
        </w:rPr>
      </w:pPr>
      <w:r w:rsidRPr="002A7128">
        <w:rPr>
          <w:rFonts w:ascii="Calibri" w:hAnsi="Calibri" w:cs="Calibri"/>
        </w:rPr>
        <w:t xml:space="preserve">     </w:t>
      </w:r>
      <w:bookmarkStart w:id="90" w:name="_Toc120794161"/>
      <w:r w:rsidRPr="002A7128">
        <w:rPr>
          <w:rFonts w:ascii="Calibri" w:hAnsi="Calibri" w:cs="Calibri"/>
        </w:rPr>
        <w:t>Ethics</w:t>
      </w:r>
      <w:bookmarkEnd w:id="90"/>
    </w:p>
    <w:p w14:paraId="282F4684" w14:textId="08E53BD2" w:rsidR="001B2BB9" w:rsidRPr="002A7128" w:rsidRDefault="001B2BB9" w:rsidP="002B27CA">
      <w:pPr>
        <w:spacing w:line="480" w:lineRule="auto"/>
        <w:jc w:val="both"/>
        <w:rPr>
          <w:rFonts w:ascii="Calibri" w:hAnsi="Calibri" w:cs="Calibri"/>
        </w:rPr>
      </w:pPr>
      <w:r w:rsidRPr="002A7128">
        <w:rPr>
          <w:rFonts w:ascii="Calibri" w:hAnsi="Calibri" w:cs="Calibri"/>
        </w:rPr>
        <w:t>The study was carried out accordingly with the recommendations of Guide for the Care and Use of Laboratory Animals from the National Institute of Health. Animal procedures were approved by the OU Health Sciences Center (OUHSC) Institutional Animal Care and Use Committee (protocol number 20-059-CHI).</w:t>
      </w:r>
    </w:p>
    <w:p w14:paraId="47580364" w14:textId="040DC54A" w:rsidR="001B2BB9" w:rsidRPr="002A7128" w:rsidRDefault="001B2BB9">
      <w:pPr>
        <w:pStyle w:val="Heading2"/>
        <w:numPr>
          <w:ilvl w:val="2"/>
          <w:numId w:val="7"/>
        </w:numPr>
        <w:spacing w:line="480" w:lineRule="auto"/>
        <w:rPr>
          <w:rFonts w:ascii="Calibri" w:hAnsi="Calibri" w:cs="Calibri"/>
        </w:rPr>
      </w:pPr>
      <w:r w:rsidRPr="002A7128">
        <w:rPr>
          <w:rFonts w:ascii="Calibri" w:hAnsi="Calibri" w:cs="Calibri"/>
        </w:rPr>
        <w:t xml:space="preserve">     </w:t>
      </w:r>
      <w:bookmarkStart w:id="91" w:name="_Toc120794162"/>
      <w:r w:rsidRPr="002A7128">
        <w:rPr>
          <w:rFonts w:ascii="Calibri" w:hAnsi="Calibri" w:cs="Calibri"/>
        </w:rPr>
        <w:t>Immunization and Sera Collection</w:t>
      </w:r>
      <w:bookmarkEnd w:id="91"/>
    </w:p>
    <w:p w14:paraId="0A73BA36" w14:textId="5D34AFD1" w:rsidR="002A45FA" w:rsidRPr="002A7128" w:rsidRDefault="001B2BB9" w:rsidP="00250FBA">
      <w:pPr>
        <w:spacing w:line="480" w:lineRule="auto"/>
        <w:jc w:val="both"/>
        <w:rPr>
          <w:rFonts w:ascii="Calibri" w:hAnsi="Calibri" w:cs="Calibri"/>
        </w:rPr>
      </w:pPr>
      <w:proofErr w:type="spellStart"/>
      <w:r w:rsidRPr="002A7128">
        <w:rPr>
          <w:rFonts w:ascii="Calibri" w:hAnsi="Calibri" w:cs="Calibri"/>
        </w:rPr>
        <w:t>Balb</w:t>
      </w:r>
      <w:proofErr w:type="spellEnd"/>
      <w:r w:rsidRPr="002A7128">
        <w:rPr>
          <w:rFonts w:ascii="Calibri" w:hAnsi="Calibri" w:cs="Calibri"/>
        </w:rPr>
        <w:t xml:space="preserve">/c mice (n=6) were immunized subcutaneously with 5 mg of HA antigens, 0.5 mM [II] and their combination. Booster was done at D60, and sera were collected at D14, D28 and D75. 4 different influenza antigens; Recombinant HA protein from </w:t>
      </w:r>
      <w:proofErr w:type="spellStart"/>
      <w:r w:rsidRPr="002A7128">
        <w:rPr>
          <w:rFonts w:ascii="Calibri" w:hAnsi="Calibri" w:cs="Calibri"/>
        </w:rPr>
        <w:t>fluA</w:t>
      </w:r>
      <w:proofErr w:type="spellEnd"/>
      <w:r w:rsidRPr="002A7128">
        <w:rPr>
          <w:rFonts w:ascii="Calibri" w:hAnsi="Calibri" w:cs="Calibri"/>
        </w:rPr>
        <w:t xml:space="preserve">/Brisbane/59/2007 (H1N1) (NR-28607), HA from influenza A/New Caledonia/20/99 (H1N1) (NR-48873), HA Protein from flu Virus A/St. Petersburg/100/2011 (H1N1) (NR-34588) and Recombinant HA protein from flu </w:t>
      </w:r>
      <w:r w:rsidRPr="002A7128">
        <w:rPr>
          <w:rFonts w:ascii="Calibri" w:hAnsi="Calibri" w:cs="Calibri"/>
        </w:rPr>
        <w:lastRenderedPageBreak/>
        <w:t>A/California/04/2009 (H1N1) (NR-15749) were obtained from BEI Resources. Peptides are mixed for 30 min as explained in the manuscript and mixed with the antigens at room temperature to formulate the vaccines before immunizations.</w:t>
      </w:r>
    </w:p>
    <w:p w14:paraId="26C033F5" w14:textId="468A37AF" w:rsidR="00D63FE6" w:rsidRPr="002A7128" w:rsidRDefault="001B2BB9">
      <w:pPr>
        <w:pStyle w:val="Heading2"/>
        <w:numPr>
          <w:ilvl w:val="2"/>
          <w:numId w:val="7"/>
        </w:numPr>
        <w:spacing w:line="480" w:lineRule="auto"/>
        <w:rPr>
          <w:rFonts w:ascii="Calibri" w:hAnsi="Calibri" w:cs="Calibri"/>
        </w:rPr>
      </w:pPr>
      <w:r w:rsidRPr="002A7128">
        <w:rPr>
          <w:rFonts w:ascii="Calibri" w:hAnsi="Calibri" w:cs="Calibri"/>
        </w:rPr>
        <w:t xml:space="preserve">    </w:t>
      </w:r>
      <w:bookmarkStart w:id="92" w:name="_Toc120794163"/>
      <w:r w:rsidRPr="002A7128">
        <w:rPr>
          <w:rFonts w:ascii="Calibri" w:hAnsi="Calibri" w:cs="Calibri"/>
        </w:rPr>
        <w:t>ELISA</w:t>
      </w:r>
      <w:bookmarkEnd w:id="92"/>
    </w:p>
    <w:p w14:paraId="2275377D" w14:textId="63814767" w:rsidR="001B2BB9" w:rsidRPr="002A7128" w:rsidRDefault="001B2BB9" w:rsidP="00F675B4">
      <w:pPr>
        <w:spacing w:line="480" w:lineRule="auto"/>
        <w:jc w:val="both"/>
        <w:rPr>
          <w:rFonts w:ascii="Calibri" w:hAnsi="Calibri" w:cs="Calibri"/>
        </w:rPr>
      </w:pPr>
      <w:r w:rsidRPr="002A7128">
        <w:rPr>
          <w:rFonts w:ascii="Calibri" w:hAnsi="Calibri" w:cs="Calibri"/>
        </w:rPr>
        <w:t xml:space="preserve">To measure antigen-specific antibody responses, enzyme-linked immunosorbent assay (ELISA) Nunc </w:t>
      </w:r>
      <w:proofErr w:type="spellStart"/>
      <w:r w:rsidRPr="002A7128">
        <w:rPr>
          <w:rFonts w:ascii="Calibri" w:hAnsi="Calibri" w:cs="Calibri"/>
        </w:rPr>
        <w:t>MaxiSorp</w:t>
      </w:r>
      <w:proofErr w:type="spellEnd"/>
      <w:r w:rsidRPr="002A7128">
        <w:rPr>
          <w:rFonts w:ascii="Calibri" w:hAnsi="Calibri" w:cs="Calibri"/>
        </w:rPr>
        <w:t xml:space="preserve">™ flat-bottom plates (Invitrogen 44-2404-21) were coated with 2.5 </w:t>
      </w:r>
      <w:r w:rsidR="00D63FE6" w:rsidRPr="002A7128">
        <w:rPr>
          <w:rFonts w:ascii="Calibri" w:hAnsi="Calibri" w:cs="Calibri"/>
        </w:rPr>
        <w:t>mg/</w:t>
      </w:r>
      <w:r w:rsidRPr="002A7128">
        <w:rPr>
          <w:rFonts w:ascii="Calibri" w:hAnsi="Calibri" w:cs="Calibri"/>
        </w:rPr>
        <w:t>mL with the mixture of four antigens in phosphate coating buffer (0.1 M Na2HPO4 in deionized water, pH 9.0) overnight at 4</w:t>
      </w:r>
      <w:r w:rsidR="00D63FE6" w:rsidRPr="002A7128">
        <w:rPr>
          <w:rFonts w:ascii="Calibri" w:hAnsi="Calibri" w:cs="Calibri"/>
        </w:rPr>
        <w:t xml:space="preserve"> </w:t>
      </w:r>
      <w:r w:rsidR="00D63FE6" w:rsidRPr="002A7128">
        <w:rPr>
          <w:rFonts w:ascii="Calibri" w:hAnsi="Calibri" w:cs="Calibri"/>
        </w:rPr>
        <w:sym w:font="Symbol" w:char="F0B0"/>
      </w:r>
      <w:r w:rsidRPr="002A7128">
        <w:rPr>
          <w:rFonts w:ascii="Calibri" w:hAnsi="Calibri" w:cs="Calibri"/>
        </w:rPr>
        <w:t>C. Next day, plates were blocked with 1% bovine serum albumin in phosphate buffered saline-Tween (1X PBS, 0.05% Tween) for 2h at room temperature. Plates were then washed 4x with PBS-T and incubated overnight at 4</w:t>
      </w:r>
      <w:r w:rsidR="00D63FE6" w:rsidRPr="002A7128">
        <w:rPr>
          <w:rFonts w:ascii="Calibri" w:hAnsi="Calibri" w:cs="Calibri"/>
        </w:rPr>
        <w:t xml:space="preserve"> </w:t>
      </w:r>
      <w:r w:rsidR="00D63FE6" w:rsidRPr="002A7128">
        <w:rPr>
          <w:rFonts w:ascii="Calibri" w:hAnsi="Calibri" w:cs="Calibri"/>
        </w:rPr>
        <w:sym w:font="Symbol" w:char="F0B0"/>
      </w:r>
      <w:r w:rsidRPr="002A7128">
        <w:rPr>
          <w:rFonts w:ascii="Calibri" w:hAnsi="Calibri" w:cs="Calibri"/>
        </w:rPr>
        <w:t>C with serially diluted sera collected from mice in PBS-T. The next day, wells were washed 4x with PBS-T and incubated for 1h at room temperature either with HRP-IgG1 (</w:t>
      </w:r>
      <w:proofErr w:type="spellStart"/>
      <w:r w:rsidRPr="002A7128">
        <w:rPr>
          <w:rFonts w:ascii="Calibri" w:hAnsi="Calibri" w:cs="Calibri"/>
        </w:rPr>
        <w:t>SouthernBiotech</w:t>
      </w:r>
      <w:proofErr w:type="spellEnd"/>
      <w:r w:rsidRPr="002A7128">
        <w:rPr>
          <w:rFonts w:ascii="Calibri" w:hAnsi="Calibri" w:cs="Calibri"/>
        </w:rPr>
        <w:t xml:space="preserve"> 1070-05) (1:4,000) or HRP-IgG2a (</w:t>
      </w:r>
      <w:proofErr w:type="spellStart"/>
      <w:r w:rsidRPr="002A7128">
        <w:rPr>
          <w:rFonts w:ascii="Calibri" w:hAnsi="Calibri" w:cs="Calibri"/>
        </w:rPr>
        <w:t>SouthernBiotech</w:t>
      </w:r>
      <w:proofErr w:type="spellEnd"/>
      <w:r w:rsidRPr="002A7128">
        <w:rPr>
          <w:rFonts w:ascii="Calibri" w:hAnsi="Calibri" w:cs="Calibri"/>
        </w:rPr>
        <w:t xml:space="preserve"> 1080-05) (1:4000). Wells were subsequently washed 4x with PBS-T and developed with 2,2′-azinobis</w:t>
      </w:r>
      <w:r w:rsidR="00D63FE6" w:rsidRPr="002A7128">
        <w:rPr>
          <w:rFonts w:ascii="Calibri" w:hAnsi="Calibri" w:cs="Calibri"/>
        </w:rPr>
        <w:t xml:space="preserve"> </w:t>
      </w:r>
      <w:r w:rsidRPr="002A7128">
        <w:rPr>
          <w:rFonts w:ascii="Calibri" w:hAnsi="Calibri" w:cs="Calibri"/>
        </w:rPr>
        <w:t>(3-ethylbenzthiazolinesulfonic acid) (ABTS) (VWR 95059-146) substrate for 5 min at room temperature. At the end of the incubation, the reaction was stopped with 10% SDS solution. Absorbance was measured at 405 nm to determine endpoint antibody titers.</w:t>
      </w:r>
    </w:p>
    <w:p w14:paraId="1ED9288E" w14:textId="77777777" w:rsidR="00346E73" w:rsidRPr="002A7128" w:rsidRDefault="00346E73" w:rsidP="00F675B4">
      <w:pPr>
        <w:spacing w:line="480" w:lineRule="auto"/>
        <w:jc w:val="both"/>
        <w:rPr>
          <w:rFonts w:ascii="Calibri" w:hAnsi="Calibri" w:cs="Calibri"/>
        </w:rPr>
      </w:pPr>
    </w:p>
    <w:p w14:paraId="4BA6E5EC" w14:textId="5CCF76D9" w:rsidR="00250FBA" w:rsidRPr="002A7128" w:rsidRDefault="00250FBA" w:rsidP="00F675B4">
      <w:pPr>
        <w:spacing w:line="480" w:lineRule="auto"/>
        <w:rPr>
          <w:rFonts w:ascii="Calibri" w:hAnsi="Calibri" w:cs="Calibri"/>
        </w:rPr>
      </w:pPr>
    </w:p>
    <w:p w14:paraId="4C275777" w14:textId="4949DE89" w:rsidR="007F4BCC" w:rsidRDefault="007F4BCC" w:rsidP="00F675B4">
      <w:pPr>
        <w:spacing w:line="480" w:lineRule="auto"/>
        <w:rPr>
          <w:rFonts w:ascii="Calibri" w:hAnsi="Calibri" w:cs="Calibri"/>
        </w:rPr>
      </w:pPr>
    </w:p>
    <w:p w14:paraId="31EB000B" w14:textId="77777777" w:rsidR="002B27CA" w:rsidRPr="002A7128" w:rsidRDefault="002B27CA" w:rsidP="00F675B4">
      <w:pPr>
        <w:spacing w:line="480" w:lineRule="auto"/>
        <w:rPr>
          <w:rFonts w:ascii="Calibri" w:hAnsi="Calibri" w:cs="Calibri"/>
        </w:rPr>
      </w:pPr>
    </w:p>
    <w:p w14:paraId="5B67776A" w14:textId="257F221A" w:rsidR="00EB442A" w:rsidRPr="002A7128" w:rsidRDefault="000711C0" w:rsidP="006D34B7">
      <w:pPr>
        <w:pStyle w:val="Heading1"/>
        <w:spacing w:line="480" w:lineRule="auto"/>
        <w:rPr>
          <w:rFonts w:ascii="Calibri" w:hAnsi="Calibri" w:cs="Calibri"/>
        </w:rPr>
      </w:pPr>
      <w:bookmarkStart w:id="93" w:name="_Toc120794164"/>
      <w:r w:rsidRPr="002A7128">
        <w:rPr>
          <w:rFonts w:ascii="Calibri" w:hAnsi="Calibri" w:cs="Calibri"/>
        </w:rPr>
        <w:lastRenderedPageBreak/>
        <w:t xml:space="preserve">Chapter </w:t>
      </w:r>
      <w:r w:rsidR="00140ABD" w:rsidRPr="002A7128">
        <w:rPr>
          <w:rFonts w:ascii="Calibri" w:hAnsi="Calibri" w:cs="Calibri"/>
        </w:rPr>
        <w:t>3</w:t>
      </w:r>
      <w:r w:rsidRPr="002A7128">
        <w:rPr>
          <w:rFonts w:ascii="Calibri" w:hAnsi="Calibri" w:cs="Calibri"/>
        </w:rPr>
        <w:t>: Controllable Peptide Aggregation Induced Immunogenic Cell Death</w:t>
      </w:r>
      <w:bookmarkEnd w:id="93"/>
    </w:p>
    <w:p w14:paraId="10043B7D" w14:textId="77777777" w:rsidR="006C6B0D" w:rsidRPr="002A7128" w:rsidRDefault="006C6B0D" w:rsidP="006C6B0D">
      <w:pPr>
        <w:spacing w:line="480" w:lineRule="auto"/>
        <w:rPr>
          <w:rFonts w:ascii="Calibri" w:hAnsi="Calibri" w:cs="Calibri"/>
          <w:color w:val="000000" w:themeColor="text1"/>
          <w:u w:val="single"/>
        </w:rPr>
      </w:pPr>
      <w:r w:rsidRPr="002A7128">
        <w:rPr>
          <w:rFonts w:ascii="Calibri" w:hAnsi="Calibri" w:cs="Calibri"/>
          <w:color w:val="000000" w:themeColor="text1"/>
          <w:u w:val="single"/>
        </w:rPr>
        <w:t xml:space="preserve">This section is adapted from the following publication: </w:t>
      </w:r>
    </w:p>
    <w:p w14:paraId="0D6AD80B" w14:textId="7B73112A" w:rsidR="006C6B0D" w:rsidRPr="002A7128" w:rsidRDefault="006C6B0D" w:rsidP="006C6B0D">
      <w:pPr>
        <w:spacing w:line="480" w:lineRule="auto"/>
        <w:jc w:val="both"/>
        <w:rPr>
          <w:rFonts w:ascii="Calibri" w:hAnsi="Calibri" w:cs="Calibri"/>
          <w:color w:val="222222"/>
          <w:shd w:val="clear" w:color="auto" w:fill="FFFFFF"/>
        </w:rPr>
      </w:pPr>
      <w:proofErr w:type="spellStart"/>
      <w:r w:rsidRPr="002A7128">
        <w:rPr>
          <w:rFonts w:ascii="Calibri" w:hAnsi="Calibri" w:cs="Calibri"/>
          <w:color w:val="222222"/>
          <w:shd w:val="clear" w:color="auto" w:fill="FFFFFF"/>
        </w:rPr>
        <w:t>Seren</w:t>
      </w:r>
      <w:proofErr w:type="spellEnd"/>
      <w:r w:rsidRPr="002A7128">
        <w:rPr>
          <w:rFonts w:ascii="Calibri" w:hAnsi="Calibri" w:cs="Calibri"/>
          <w:color w:val="222222"/>
          <w:shd w:val="clear" w:color="auto" w:fill="FFFFFF"/>
        </w:rPr>
        <w:t xml:space="preserve"> </w:t>
      </w:r>
      <w:proofErr w:type="spellStart"/>
      <w:r w:rsidRPr="002A7128">
        <w:rPr>
          <w:rFonts w:ascii="Calibri" w:hAnsi="Calibri" w:cs="Calibri"/>
          <w:color w:val="222222"/>
          <w:shd w:val="clear" w:color="auto" w:fill="FFFFFF"/>
        </w:rPr>
        <w:t>Hamsici</w:t>
      </w:r>
      <w:proofErr w:type="spellEnd"/>
      <w:r w:rsidRPr="002A7128">
        <w:rPr>
          <w:rFonts w:ascii="Calibri" w:hAnsi="Calibri" w:cs="Calibri"/>
          <w:color w:val="222222"/>
          <w:shd w:val="clear" w:color="auto" w:fill="FFFFFF"/>
        </w:rPr>
        <w:t xml:space="preserve">, </w:t>
      </w:r>
      <w:proofErr w:type="spellStart"/>
      <w:r w:rsidRPr="002A7128">
        <w:rPr>
          <w:rFonts w:ascii="Calibri" w:hAnsi="Calibri" w:cs="Calibri"/>
          <w:color w:val="222222"/>
          <w:shd w:val="clear" w:color="auto" w:fill="FFFFFF"/>
        </w:rPr>
        <w:t>Gokhan</w:t>
      </w:r>
      <w:proofErr w:type="spellEnd"/>
      <w:r w:rsidRPr="002A7128">
        <w:rPr>
          <w:rFonts w:ascii="Calibri" w:hAnsi="Calibri" w:cs="Calibri"/>
          <w:color w:val="222222"/>
          <w:shd w:val="clear" w:color="auto" w:fill="FFFFFF"/>
        </w:rPr>
        <w:t xml:space="preserve"> </w:t>
      </w:r>
      <w:proofErr w:type="spellStart"/>
      <w:r w:rsidRPr="002A7128">
        <w:rPr>
          <w:rFonts w:ascii="Calibri" w:hAnsi="Calibri" w:cs="Calibri"/>
          <w:color w:val="222222"/>
          <w:shd w:val="clear" w:color="auto" w:fill="FFFFFF"/>
        </w:rPr>
        <w:t>Gunay</w:t>
      </w:r>
      <w:proofErr w:type="spellEnd"/>
      <w:r w:rsidRPr="002A7128">
        <w:rPr>
          <w:rFonts w:ascii="Calibri" w:hAnsi="Calibri" w:cs="Calibri"/>
          <w:color w:val="222222"/>
          <w:shd w:val="clear" w:color="auto" w:fill="FFFFFF"/>
        </w:rPr>
        <w:t xml:space="preserve">, Handan </w:t>
      </w:r>
      <w:proofErr w:type="spellStart"/>
      <w:r w:rsidRPr="002A7128">
        <w:rPr>
          <w:rFonts w:ascii="Calibri" w:hAnsi="Calibri" w:cs="Calibri"/>
          <w:color w:val="222222"/>
          <w:shd w:val="clear" w:color="auto" w:fill="FFFFFF"/>
        </w:rPr>
        <w:t>Acar</w:t>
      </w:r>
      <w:proofErr w:type="spellEnd"/>
      <w:r w:rsidRPr="002A7128">
        <w:rPr>
          <w:rFonts w:ascii="Calibri" w:hAnsi="Calibri" w:cs="Calibri"/>
          <w:color w:val="222222"/>
          <w:shd w:val="clear" w:color="auto" w:fill="FFFFFF"/>
        </w:rPr>
        <w:t xml:space="preserve">, “Controllable membrane damage by tunable peptide aggregation with albumin.” </w:t>
      </w:r>
      <w:proofErr w:type="spellStart"/>
      <w:r w:rsidRPr="002A7128">
        <w:rPr>
          <w:rFonts w:ascii="Calibri" w:hAnsi="Calibri" w:cs="Calibri"/>
          <w:i/>
          <w:iCs/>
          <w:color w:val="222222"/>
          <w:shd w:val="clear" w:color="auto" w:fill="FFFFFF"/>
        </w:rPr>
        <w:t>AIChE</w:t>
      </w:r>
      <w:proofErr w:type="spellEnd"/>
      <w:r w:rsidRPr="002A7128">
        <w:rPr>
          <w:rFonts w:ascii="Calibri" w:hAnsi="Calibri" w:cs="Calibri"/>
          <w:i/>
          <w:iCs/>
          <w:color w:val="222222"/>
          <w:shd w:val="clear" w:color="auto" w:fill="FFFFFF"/>
        </w:rPr>
        <w:t xml:space="preserve"> Journal</w:t>
      </w:r>
      <w:r w:rsidRPr="002A7128">
        <w:rPr>
          <w:rFonts w:ascii="Calibri" w:hAnsi="Calibri" w:cs="Calibri"/>
          <w:color w:val="222222"/>
          <w:shd w:val="clear" w:color="auto" w:fill="FFFFFF"/>
        </w:rPr>
        <w:t xml:space="preserve"> (2022): e17893</w:t>
      </w:r>
    </w:p>
    <w:p w14:paraId="194BF492" w14:textId="11F25690" w:rsidR="006C6B0D" w:rsidRPr="002A7128" w:rsidRDefault="006C6B0D" w:rsidP="006C6B0D">
      <w:pPr>
        <w:rPr>
          <w:rFonts w:ascii="Calibri" w:hAnsi="Calibri" w:cs="Calibri"/>
        </w:rPr>
      </w:pPr>
    </w:p>
    <w:p w14:paraId="18EF9DC5" w14:textId="77777777" w:rsidR="006C6B0D" w:rsidRPr="002A7128" w:rsidRDefault="006C6B0D" w:rsidP="006C6B0D">
      <w:pPr>
        <w:rPr>
          <w:rFonts w:ascii="Calibri" w:hAnsi="Calibri" w:cs="Calibri"/>
        </w:rPr>
      </w:pPr>
    </w:p>
    <w:p w14:paraId="0D68CE59" w14:textId="36D1B6E1" w:rsidR="00D24606" w:rsidRPr="002A7128" w:rsidRDefault="00EB442A">
      <w:pPr>
        <w:pStyle w:val="Heading2"/>
        <w:numPr>
          <w:ilvl w:val="1"/>
          <w:numId w:val="8"/>
        </w:numPr>
        <w:spacing w:line="480" w:lineRule="auto"/>
        <w:rPr>
          <w:rFonts w:ascii="Calibri" w:hAnsi="Calibri" w:cs="Calibri"/>
        </w:rPr>
      </w:pPr>
      <w:bookmarkStart w:id="94" w:name="_Toc120794165"/>
      <w:r w:rsidRPr="002A7128">
        <w:rPr>
          <w:rFonts w:ascii="Calibri" w:hAnsi="Calibri" w:cs="Calibri"/>
        </w:rPr>
        <w:t>Introduction</w:t>
      </w:r>
      <w:bookmarkEnd w:id="94"/>
    </w:p>
    <w:p w14:paraId="5437907F" w14:textId="3450EABB" w:rsidR="007E6B98" w:rsidRPr="002A7128" w:rsidRDefault="007E6B98" w:rsidP="007E6B98">
      <w:pPr>
        <w:spacing w:line="480" w:lineRule="auto"/>
        <w:ind w:firstLine="720"/>
        <w:jc w:val="both"/>
        <w:rPr>
          <w:rFonts w:ascii="Calibri" w:hAnsi="Calibri" w:cs="Calibri"/>
        </w:rPr>
      </w:pPr>
      <w:r w:rsidRPr="002A7128">
        <w:rPr>
          <w:rFonts w:ascii="Calibri" w:hAnsi="Calibri" w:cs="Calibri"/>
          <w:color w:val="000000"/>
        </w:rPr>
        <w:t>Most</w:t>
      </w:r>
      <w:r w:rsidRPr="002A7128">
        <w:rPr>
          <w:rFonts w:ascii="Calibri" w:hAnsi="Calibri" w:cs="Calibri"/>
        </w:rPr>
        <w:t xml:space="preserve"> proteins and peptides (if not all) aggregate into amyloids, cross β -sheet ﬁbrillar structures linked to numerous diseases, such as Alzheimer's and Parkinson's</w:t>
      </w:r>
      <w:r w:rsidRPr="002A7128">
        <w:rPr>
          <w:rFonts w:ascii="Calibri" w:hAnsi="Calibri" w:cs="Calibri"/>
        </w:rPr>
        <w:fldChar w:fldCharType="begin"/>
      </w:r>
      <w:r w:rsidR="00A64B61" w:rsidRPr="002A7128">
        <w:rPr>
          <w:rFonts w:ascii="Calibri" w:hAnsi="Calibri" w:cs="Calibri"/>
        </w:rPr>
        <w:instrText xml:space="preserve"> ADDIN ZOTERO_ITEM CSL_CITATION {"citationID":"aVQpnogT","properties":{"formattedCitation":"\\super 203,204\\nosupersub{}","plainCitation":"203,204","noteIndex":0},"citationItems":[{"id":11465,"uris":["http://zotero.org/groups/2667333/items/LJUQZRI7"],"itemData":{"id":11465,"type":"article-journal","container-title":"Proceedings of the National Academy of Sciences","DOI":"10.1073/pnas.96.7.3590","issue":"7","note":"publisher: Proceedings of the National Academy of Sciences","page":"3590-3594","source":"pnas.org (Atypon)","title":"Designing conditions for in vitro formation of amyloid protofilaments and fibrils","URL":"https://www.pnas.org/doi/10.1073/pnas.96.7.3590","volume":"96","author":[{"family":"Chiti","given":"Fabrizio"},{"family":"Webster","given":"Paul"},{"family":"Taddei","given":"Niccolò"},{"family":"Clark","given":"Anne"},{"family":"Stefani","given":"Massimo"},{"family":"Ramponi","given":"Giampietro"},{"family":"Dobson","given":"Christopher M."}],"accessed":{"date-parts":[["2022",8,9]]},"issued":{"date-parts":[["1999",3,30]]},"citation-key":"chiti_designing_1999"}},{"id":11463,"uris":["http://zotero.org/groups/2667333/items/HLY3YK7E"],"itemData":{"id":11463,"type":"article-journal","abstract":"Dipyridamole is currently used as a medication that inhibits blood clot formation and it is also investigated in the context of neurodegenerative and other amyloid related diseases. Here, we propose this molecule as a new diagnostic tool to follow the aggregation properties of three different amyloidogenic proteins tested (insulin, amylin and amyloid β peptide 1–40). Results show that dipyridamole is sensitive to early stage amyloid formation undetected by thioflavin T, giving a different response for the aggregation of the three different proteins. In addition, we show that dipyridamole is also able to enhance ubiquitin chain growth, paving the way to its potential application as therapeutic agent in neurodegenerative diseases.\nSmall compounds that inhibit amyloid protein formation are of interest for the development of anti-amyloidogenic agents. We focused on iodide salts, which are widely used in tablets, supplements, disinfectants, and pharmaceuticals, as anti-amyloidogenic agents in vitro. We performed optical spectroscopy to investigate the effects of ethylammonium iodide (EAI) as an anti-amyloidogenic agent on the formation of amyloid aggregates (neutral pD and 310 K) of human α-synuclein (α-Syn) over a wide range of EAI concentrations. Fourier-transform infrared spectral analysis and a congo red assay revealed that concentrated EAI solutions could inhibit the formation of α-Syn amyloid aggregates (α-SynA). UV–Vis and Raman spectra showed that triiodide (I3−) ion formation occurred in aqueous EAI solution, and clarified that the I3– ion relates to the inhibition of α-SynA formation because of the interactions with the peptide backbone and positively charged region in the N-terminal region of α-Syn. In addition to EAI, ammonium iodide (NH4I) and methylammonium iodide (MAI) also inhibited α-SynA: NH4I and MAI form the I3− ion. The inhibition ability of these two salts are stronger than alkali-iodides (KI and NaI). The present results suggest that ammonium iodides that form I3− ions have the potential to be effective anti-amyloidogenic agents for α-Syn.\nThis work describes the synthesis of Ag decorated CoO nanocomposites (NCs) supported on chitosan (CS-Ag/CoO NCs) for simple, low cost and rapid colorimetric detection of L-cysteine, and for the photocatalytic reduction of hexavalent chromium (Cr(VI)) ion. The NCs was characterized thoroughly by using UV–vis spectrophotometer, fourier transform-infrared spectroscopy (FT-IR), high resolution transmission electron microscopy (HR-TEM), thermogravimetric analysis (TGA), X-ray diffraction spectroscopy (XRD), energy dispersive x-ray spectroscopy (EDAX), and X-ray photoelectron spectroscopy (XPS). The NCs displayed high specificity, sensitivity and selectivity towards the L-cysteine detection and quantification from aqueous samples. The limit of detection of the prepared probe was 4.67 nM. The particle size of CS-Ag/CoO NCs was found to be 8.52 ± 0.13 nm. The CS-Ag/CoO NCs interaction with L-cysteine, interestingly causes the aggregation of NCs with increase in particle size to 956 ± 0.23 nm. The color change was observed from yellow to color less. An excellent linear correlation exists between the absorbance vs logarithmic concentration of L-cysteine (10 nM- 1 mM). Here, 250 mg/L of NCs reduced 100 mg/L of Cr(VI) to Cr(III) within 180 min. The kinetic data suggested that the NCs exhibited greater photocatalytic reduction efficiency than CoO and Ag/CoO. The paper-based test strips were developed and applied for the rapid colorimetric assay for the onsite monitoring of L-cysteine from real samples. The study demonstrated a specific detection of L-cysteine irrespective of the source of samples using CS-Ag/CoO NCs. Hence, the prepared NCs can be used as a colorimetric probe and provides a practical application for photocatalytic reduction of Cr(VI). The NCs also exhibitted excellent antimicrobial activity.\nAll proteins have the inherent ability to undergo transformation from their native structure to a β sheet rich fibrillar structure, called amyloid when subjected to specific conditions. Proteins with a high propensity to form amyloid fibrils have been implicated in a variety of disorders like Alzheimer's disease, Parkinson's disease, Type II diabetes, Amyotrophic Lateral Sclerosis (ALS) and prion diseases. Among the various critical factors that modulate the process of amyloid formation, disulfide bonds have been identified as one of the key determinants of amyloid propensity in proteins. Studies have shown that intra-molecular disulfide bonds impart stability to the native structure of a protein and decrease the tendency for amyloid aggregation, whereas intermolecular disulfide bonds aid in the process of aggregation. In this review, we will analyze the varying effects of both intra as well as inter-molecular disulfide bonds on the amyloid aggregation propensities of a few proteins associated with amyloid disorders.\nIn the present study, a novel colorimetric dual sensor for ultra sensitive detection of S2- ion or cysteine was designed by the encapsulation of Ag-ZnCo2O4 nanocomposite on chitosan (CS) matrix (CS-Ag-ZnCo2O4 NCs). The CS-Ag-ZnCo2O4 NCs was characterized by transmission electron microscopy (TEM), X-ray diffraction (XRD), X-ray photoelectron spectroscopy (XPS), fourier transform infrared spectroscopy (FTIR) and energy-dispersive X-ray spectroscopy (EDAX). TEM results shows that the nanomaterial was polydisperse in nature. The zeta potential and particle size of NCs were found to be −35.4 mV ± 3 mV and 12 ± 2 nm respectively. The synthesized NCs were highly sensitive, specific and sensitive towards the detection of S2- ion or cysteine. The dual detection of S2- ion or cysteine was confirmed by the disappearance of UV–visible absorption spectra of CS-Ag-ZnCo2O4 NCs at 404 nm. Here, the limit of detection (LOD) of S2- ion or cysteine by the present probe was calculated to be 0.62 nM and 2.87 nM. In advent, the detection of S2- ion or cysteine under varying environmental conditions were also performed. Thus, the CS-Ag-ZnCo2O4 NCs provides a convenient and reliable way for the detection of S2- ion or cysteine.\nAmyloid fibrils were initially known for the implications in neurodegenerative diseases, such as Alzheimer’s and Parkinson’s diseases. In this context, the interaction between polyphenols and amyloid fibrils has attracted intensive interest in the journey of pursuing therapies to slow down the progress of amyloidosis-related diseases. It is generally concluded that polyphenols inhibit the formation of amyloid fibrils and remodel or cut the mature ones, which are observed in low protein concentrations. Unfolding and self-assembly of food-grade proteins result in amyloid fibrils. Our very recent studies demonstrated that polyphenols absorb and deposit on the surface of amyloid fibrils forming the supramolecular nanofilaments which self-assemble in multi-length scales to form hierarchical structures. This finding has created the food hybrid hydrogels with unique properties of incomparable high loading content and stability of polyphenols, target delivery to colon and re-construction of gut microbiota for health promotion. It paves ways for food molecular processing.","container-title":"Trends in Biochemical Sciences","DOI":"10.1016/S0968-0004(99)01445-0","ISSN":"0968-0004","issue":"9","journalAbbreviation":"Trends in Biochemical Sciences","language":"en","page":"329-332","source":"ScienceDirect","title":"Protein misfolding, evolution and disease","URL":"https://www.sciencedirect.com/science/article/pii/S0968000499014450","volume":"24","author":[{"family":"Dobson","given":"Christopher M."}],"accessed":{"date-parts":[["2022",8,9]]},"issued":{"date-parts":[["1999",9,1]]},"citation-key":"dobson_protein_1999"}}],"schema":"https://github.com/citation-style-language/schema/raw/master/csl-citation.json"}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203,204</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In Alzheimer's disease, although for many decades the accumulation of amyloid plaques was associated with the pathology of the disease, increasing evidence suggests that the misfolded protein aggregates, oligomers, are soluble and form in the process of ﬁbrillization, are the leading cause of the toxicity</w:t>
      </w:r>
      <w:r w:rsidRPr="002A7128">
        <w:rPr>
          <w:rFonts w:ascii="Calibri" w:hAnsi="Calibri" w:cs="Calibri"/>
        </w:rPr>
        <w:fldChar w:fldCharType="begin"/>
      </w:r>
      <w:r w:rsidR="00A64B61" w:rsidRPr="002A7128">
        <w:rPr>
          <w:rFonts w:ascii="Calibri" w:hAnsi="Calibri" w:cs="Calibri"/>
        </w:rPr>
        <w:instrText xml:space="preserve"> ADDIN ZOTERO_ITEM CSL_CITATION {"citationID":"57JNKrtP","properties":{"formattedCitation":"\\super 205\\uc0\\u8211{}208\\nosupersub{}","plainCitation":"205–208","noteIndex":0},"citationItems":[{"id":5827,"uris":["http://zotero.org/groups/2667333/items/RSEZU86E"],"itemData":{"id":5827,"type":"article-journal","abstract":"The aggregation of proteins into amyloid fibrils and their deposition into plaques and intracellular inclusions is the hallmark of amyloid disease. The accumulation and deposition of amyloid fibrils, collectively known as amyloidosis, is associated with many pathological conditions that can be associated with ageing, such as Alzheimer disease, Parkinson disease, type II diabetes and dialysis-related amyloidosis. However, elucidation of the atomic structure of amyloid fibrils formed from their intact protein precursors and how fibril formation relates to disease has remained elusive. Recent advances in structural biology techniques, including cryo-electron microscopy and solid-state NMR spectroscopy, have finally broken this impasse. The first near-atomic-resolution structures of amyloid fibrils formed in vitro, seeded from plaque material and analysed directly ex vivo are now available. The results reveal cross-β structures that are far more intricate than anticipated. Here, we describe these structures, highlighting their similarities and differences, and the basis for their toxicity. We discuss how amyloid structure may affect the ability of fibrils to spread to different sites in the cell and between organisms in a prion-like manner, along with their roles in disease. These molecular insights will aid in understanding the development and spread of amyloid diseases and are inspiring new strategies for therapeutic intervention.","container-title":"Nature Reviews Molecular Cell Biology","DOI":"10.1038/s41580-018-0060-8","ISSN":"1471-0080","issue":"12","language":"en","license":"2018 Springer Nature Limited","note":"number: 12\npublisher: Nature Publishing Group\ntex.ids= iadanza_new_2018-1","page":"755-773","source":"www.nature.com","title":"A new era for understanding amyloid structures and disease","URL":"https://www.nature.com/articles/s41580-018-0060-8","volume":"19","author":[{"family":"Iadanza","given":"Matthew G."},{"family":"Jackson","given":"Matthew P."},{"family":"Hewitt","given":"Eric W."},{"family":"Ranson","given":"Neil A."},{"family":"Radford","given":"Sheena E."}],"accessed":{"date-parts":[["2021",2,13]]},"issued":{"date-parts":[["2018",12]]},"citation-key":"iadanza_new_2018"}},{"id":10230,"uris":["http://zotero.org/groups/2667333/items/UW3XKBHQ"],"itemData":{"id":10230,"type":"article-journal","abstract":"In recent years our understanding of amyloid structure has been revolutionised by innovations in cryo-electron microscopy, electron diffraction and solid-state NMR. These techniques have yielded high-resolution structures of fibrils isolated from patients with neurodegenerative disease, as well as those formed from amyloidogenic proteins in vitro. The results not only show the expected cross-β amyloid structure, but also reveal that the amyloid fold is unexpectedly diverse and complex. Here, we discuss this diversity, highlighting dynamic regions, ligand binding motifs, cavities, non-protein components, and structural polymorphism. Collectively, these variations combine to allow the generic amyloid fold to be realised in three dimensions in different ways, and this diversity may be related to the roles of fibrils in disease.","collection-title":"Folding and Binding ● Proteins","container-title":"Current Opinion in Structural Biology","DOI":"10.1016/j.sbi.2019.09.001","ISSN":"0959-440X","journalAbbreviation":"Current Opinion in Structural Biology","language":"en","page":"7-16","source":"ScienceDirect","title":"Amyloid structures: much more than just a cross-β fold","title-short":"Amyloid structures","URL":"https://www.sciencedirect.com/science/article/pii/S0959440X19301022","volume":"60","author":[{"family":"Gallardo","given":"Rodrigo"},{"family":"Ranson","given":"Neil A"},{"family":"Radford","given":"Sheena E"}],"accessed":{"date-parts":[["2022",4,17]]},"issued":{"date-parts":[["2020",2,1]]},"citation-key":"gallardo_amyloid_2020"}},{"id":10278,"uris":["http://zotero.org/groups/2667333/items/8ZTZJ36Y"],"itemData":{"id":10278,"type":"article-journal","container-title":"Proceedings of the National Academy of Sciences","DOI":"10.1073/pnas.1911153117","issue":"19","note":"publisher: Proceedings of the National Academy of Sciences","page":"10322-10328","source":"pnas.org (Atypon)","title":"Amyloid assembly is dominated by misregistered kinetic traps on an unbiased energy landscape","URL":"https://www.pnas.org/doi/10.1073/pnas.1911153117","volume":"117","author":[{"family":"Jia","given":"Zhiguang"},{"family":"Schmit","given":"Jeremy D."},{"family":"Chen","given":"Jianhan"}],"accessed":{"date-parts":[["2022",4,19]]},"issued":{"date-parts":[["2020",5,12]]},"citation-key":"jia_amyloid_2020"}},{"id":10647,"uris":["http://zotero.org/groups/2667333/items/3DN8MQD4"],"itemData":{"id":10647,"type":"article-journal","abstract":"Protein misfolding and aggregation are characteristic of a wide range of neurodegenerative disorders, including Alzheimer and Parkinson diseases. A hallmark of these diseases is the aggregation of otherwise soluble and functional proteins into amyloid aggregates. Although for many decades such amyloid deposits have been thought to be responsible for disease progression, it is now increasingly recognized that the misfolded protein oligomers formed during aggregation are, instead, the main agents causing pathological processes. These oligomers are transient and heterogeneous, which makes it difficult to detect and quantify them, generating confusion about their exact role in disease. The lack of suitable methods to address these challenges has hampered efforts to investigate the molecular mechanisms of oligomer toxicity and to develop oligomer-based diagnostic and therapeutic tools to combat protein misfolding diseases. In this Review, we describe methods to quantify misfolded protein oligomers, with particular emphasis on diagnostic applications as disease biomarkers and on therapeutic applications as target biomarkers. The development of these methods is ongoing, and we discuss the challenges that remain to be addressed to establish measurement tools capable of overcoming existing limitations and to meet present needs.","container-title":"Nature Reviews Chemistry","DOI":"10.1038/s41570-021-00254-9","ISSN":"2397-3358","issue":"4","journalAbbreviation":"Nat Rev Chem","language":"en","license":"2021 Springer Nature Limited","note":"number: 4\npublisher: Nature Publishing Group","page":"277-294","source":"www.nature.com","title":"Quantifying misfolded protein oligomers as drug targets and biomarkers in Alzheimer and Parkinson diseases","URL":"https://www.nature.com/articles/s41570-021-00254-9","volume":"5","author":[{"family":"Kulenkampff","given":"Klara"},{"family":"Wolf Perez","given":"Adriana-M."},{"family":"Sormanni","given":"Pietro"},{"family":"Habchi","given":"Johnny"},{"family":"Vendruscolo","given":"Michele"}],"accessed":{"date-parts":[["2022",5,28]]},"issued":{"date-parts":[["2021",4]]},"citation-key":"kulenkampff_quantifying_2021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205–208</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Part of their toxicity process occurs through the interactions of oligomers of </w:t>
      </w:r>
      <w:r w:rsidR="00453128">
        <w:rPr>
          <w:rFonts w:ascii="Calibri" w:hAnsi="Calibri" w:cs="Calibri"/>
        </w:rPr>
        <w:t>A</w:t>
      </w:r>
      <w:r w:rsidRPr="002A7128">
        <w:rPr>
          <w:rFonts w:ascii="Calibri" w:hAnsi="Calibri" w:cs="Calibri"/>
        </w:rPr>
        <w:t>β or α-synuclein with the lipid membranes of cells, which initiates damage</w:t>
      </w:r>
      <w:r w:rsidRPr="002A7128">
        <w:rPr>
          <w:rFonts w:ascii="Calibri" w:hAnsi="Calibri" w:cs="Calibri"/>
        </w:rPr>
        <w:fldChar w:fldCharType="begin"/>
      </w:r>
      <w:r w:rsidR="00A64B61" w:rsidRPr="002A7128">
        <w:rPr>
          <w:rFonts w:ascii="Calibri" w:hAnsi="Calibri" w:cs="Calibri"/>
        </w:rPr>
        <w:instrText xml:space="preserve"> ADDIN ZOTERO_ITEM CSL_CITATION {"citationID":"tzzDufDV","properties":{"formattedCitation":"\\super 209,210\\nosupersub{}","plainCitation":"209,210","noteIndex":0},"citationItems":[{"id":10656,"uris":["http://zotero.org/groups/2667333/items/TFLI7XN2"],"itemData":{"id":10656,"type":"article-journal","container-title":"Science","DOI":"10.1126/science.aan6160","issue":"6369","note":"publisher: American Association for the Advancement of Science\ntex.ids= fusco_structural_2017-1","page":"1440-1443","source":"science.org (Atypon)","title":"Structural basis of membrane disruption and cellular toxicity by α-synuclein oligomers","URL":"https://www.science.org/doi/10.1126/science.aan6160","volume":"358","author":[{"family":"Fusco","given":"Giuliana"},{"family":"Chen","given":"Serene W."},{"family":"Williamson","given":"Philip T. F."},{"family":"Cascella","given":"Roberta"},{"family":"Perni","given":"Michele"},{"family":"Jarvis","given":"James A."},{"family":"Cecchi","given":"Cristina"},{"family":"Vendruscolo","given":"Michele"},{"family":"Chiti","given":"Fabrizio"},{"family":"Cremades","given":"Nunilo"},{"family":"Ying","given":"Liming"},{"family":"Dobson","given":"Christopher M."},{"family":"De Simone","given":"Alfonso"}],"accessed":{"date-parts":[["2022",5,28]]},"issued":{"date-parts":[["2017",12,15]]},"citation-key":"fusco_structural_2017"}},{"id":6421,"uris":["http://zotero.org/groups/2667333/items/PN5VJF9M"],"itemData":{"id":6421,"type":"article-journal","abstract":"Background Amyloid β protein (Aβ) molecules that may contribute to Alzheimer's disease (AD) form low molecular weight (LMW-Aβ), high molecular weight oligomer (HMW-Aβ) such as protofibrils, and ultimately fibrils. Recent evidence suggests that oxidative stress and plasma membrane damage induced by soluble Aβ oligomers elicit neurotoxicity and play an initiating role in the development of AD pathology. But the precise mechanisms still remain unclear. In this study, we focused on clarifying the detailed mechanism of the HMW-Aβ neurotoxicity. Method The elution of LMW-Aβ and HMW-Aβ was carried out using size exclusion chromatography. SH-SY5Y cells (Human glioblastoma) were exposed to 5 μM of LMW-Aβ and HMW-Aβ for 30 min. To detect cytotoxicity, Aβexposed-cells were measured mitochondrial activity and release of lactate dehydrogenase. Oxidative stress biomarkers (reactive oxygen species and phospholipid peroxidation of plasma membrane) were assessed. We also assayed intracellular Ca2+ ([Ca2+]i) level and membrane fluidity, and membrane electrical resistance by whole-cell patch-clamp. Result SH-SY5Y cells exposed to Aβ oligomers had significantly increased cytotoxicity and oxidative stress compared to untreated cells. The damaging effects of HMW-Aβ were significantly greater than those of LMW-Aβ. Exposure of SH-SY5Y cells to LMW-Aβ or HMW-Aβ triggered an elevation in [Ca2+]i. [Ca2+]i levels in SH-SY5Y cells exposed to HMW-Aβ rose and maintained high level of [Ca2+]i , while pretreatment with nicardipine and memantine suppressed this continuous rising. Furthermore, both HMW-Aβ and LMW-Aβ significantly reduced SH-SY5Y cell membrane fluidity compared with untreated control cell while, HMW-Aβ produced a larger decrease in fluidity than did LMW-Aβ. The resting potential was significantly elevated in SH-SY5Y cells exposed to HMW-Aβ compared with untreated control cells and LMW-Aβ exposed cells and the input resistance was significantly lower following HMW-Aβ exposure. Conclusion These results suggest that HMW-Aβchanged the structure of lipid bilayer due to cell membrane phospholipid peroxidation and disrupted the homeostasis of ions across the cell membrane. It was speculated that HMW-Aβ induced neurotoxicity was induced by membrane structural changes such as the formation of small pores in the cell membrane. Accordingly, we propose that the therapeutic reduction of HMW-Aβ has important implications for the development of AD therapies.","container-title":"Alzheimer's &amp; Dementia","DOI":"https://doi.org/10.1002/alz.037546","ISSN":"1552-5279","issue":"S2","language":"en","license":"© 2020 the Alzheimer's Association","note":"_eprint: https://alz-journals.onlinelibrary.wiley.com/doi/pdf/10.1002/alz.037546","page":"e037546","source":"Wiley Online Library","title":"High molecular weight amyloid β1-42 oligomers induce neurotoxicity via plasma membrane damage","URL":"https://alz-journals.onlinelibrary.wiley.com/doi/abs/10.1002/alz.037546","volume":"16","author":[{"family":"Yasumoto","given":"Taro"},{"family":"Takamura","given":"Yusaku"},{"family":"Tsuji","given":"Mayumi"},{"family":"Nakayama","given":"Takahiro"},{"family":"Imamura","given":"Keiko"},{"family":"Inoue","given":"Haruhisa"},{"family":"Nakamura","given":"Shiro"},{"family":"Inoue","given":"Tomio"},{"family":"Kimura","given":"Atsushi Michael"},{"family":"Yano","given":"Satoshi"},{"family":"Nishijo","given":"Hisao"},{"family":"Kiuchi","given":"Yuji"},{"family":"Teplow","given":"David B."},{"family":"Ono","given":"Kenjiro"}],"accessed":{"date-parts":[["2021",5,22]]},"issued":{"date-parts":[["2020"]]},"citation-key":"yasumoto_high_2020"}}],"schema":"https://github.com/citation-style-language/schema/raw/master/csl-citation.json"}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209,210</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The membrane damage often induces immunogenic cell death and inﬂammation</w:t>
      </w:r>
      <w:r w:rsidRPr="002A7128">
        <w:rPr>
          <w:rFonts w:ascii="Calibri" w:hAnsi="Calibri" w:cs="Calibri"/>
        </w:rPr>
        <w:fldChar w:fldCharType="begin"/>
      </w:r>
      <w:r w:rsidR="00A64B61" w:rsidRPr="002A7128">
        <w:rPr>
          <w:rFonts w:ascii="Calibri" w:hAnsi="Calibri" w:cs="Calibri"/>
        </w:rPr>
        <w:instrText xml:space="preserve"> ADDIN ZOTERO_ITEM CSL_CITATION {"citationID":"xj2GH0VP","properties":{"formattedCitation":"\\super 120,211,212\\nosupersub{}","plainCitation":"120,211,212","noteIndex":0},"citationItems":[{"id":5586,"uris":["http://zotero.org/groups/2667333/items/YZ6H4JXJ"],"itemData":{"id":5586,"type":"article-journal","abstract":"To maintain homeostasis, an organism must detect and resolve sterile tissue damage. The NLRP3 inflammasome coordinates such processes to clear tissue damage and induce repair. Dysregulated NLRP3 inflammasome activity, however, drives many conditions including Alzheimer’s disease (AD). Recent reports posit that β-amyloid and tau aggregates trigger destructive NLRP3 inflammasome signalling in the brain, leading to AD pathophysiology and cognitive decline. Other endogenous molecules (e.g. TNF, ATP, serum amyloid A), as well as dysbiosis, can induce peripheral or central inflammation and thereby promote microglial NLRP3 inflammasome signalling and resultant AD. The NLRP3 inflammasome is thus emerging as a critical driver of sterile neuroinflammation and the resultant pathogenesis and progression of AD.","container-title":"Current Opinion in Immunology","DOI":"10.1016/j.coi.2020.10.011","ISSN":"0952-7915","journalAbbreviation":"Current Opinion in Immunology","language":"en","page":"116-124","source":"ScienceDirect","title":"The NLRP3 inflammasome triggers sterile neuroinflammation and Alzheimer’s disease","URL":"http://www.sciencedirect.com/science/article/pii/S0952791520301102","volume":"68","author":[{"family":"Milner","given":"Mark T"},{"family":"Maddugoda","given":"Madhavi"},{"family":"Götz","given":"Jürgen"},{"family":"Burgener","given":"Sabrina S"},{"family":"Schroder","given":"Kate"}],"accessed":{"date-parts":[["2021",1,12]]},"issued":{"date-parts":[["2021",2,1]]},"citation-key":"milner_nlrp3_2021"}},{"id":10473,"uris":["http://zotero.org/groups/2667333/items/DILYG3E4"],"itemData":{"id":10473,"type":"article-journal","abstract":"Abstract\n            The timing and characteristics of neuronal death in Alzheimer’s disease (AD) remain largely unknown. Here we examine AD mouse models with an original marker, myristoylated alanine-rich C-kinase substrate phosphorylated at serine 46 (pSer46-MARCKS), and reveal an increase of neuronal necrosis during pre-symptomatic phase and a subsequent decrease during symptomatic phase. Postmortem brains of mild cognitive impairment (MCI) rather than symptomatic AD patients reveal a remarkable increase of necrosis. In vivo imaging reveals instability of endoplasmic reticulum (ER) in mouse AD models and genome-edited human AD iPS cell-derived neurons. The level of nuclear Yes-associated protein (YAP) is remarkably decreased in such neurons under AD pathology due to the sequestration into cytoplasmic amyloid beta (Aβ) aggregates, supporting the feature of YAP-dependent necrosis. Suppression of early-stage neuronal death by AAV-YAPdeltaC reduces the later-stage extracellular Aβ burden and cognitive impairment, suggesting that preclinical/prodromal YAP-dependent neuronal necrosis represents a target for AD therapeutics.","container-title":"Nature Communications","DOI":"10.1038/s41467-020-14353-6","ISSN":"2041-1723","issue":"1","journalAbbreviation":"Nat Commun","language":"en","page":"507","source":"DOI.org (Crossref)","title":"YAP-dependent necrosis occurs in early stages of Alzheimer’s disease and regulates mouse model pathology","URL":"http://www.nature.com/articles/s41467-020-14353-6","volume":"11","author":[{"family":"Tanaka","given":"Hikari"},{"family":"Homma","given":"Hidenori"},{"family":"Fujita","given":"Kyota"},{"family":"Kondo","given":"Kanoh"},{"family":"Yamada","given":"Shingo"},{"family":"Jin","given":"Xiaocen"},{"family":"Waragai","given":"Masaaki"},{"family":"Ohtomo","given":"Gaku"},{"family":"Iwata","given":"Atsushi"},{"family":"Tagawa","given":"Kazuhiko"},{"family":"Atsuta","given":"Naoki"},{"family":"Katsuno","given":"Masahisa"},{"family":"Tomita","given":"Naoki"},{"family":"Furukawa","given":"Katsutoshi"},{"family":"Saito","given":"Yuko"},{"family":"Saito","given":"Takashi"},{"family":"Ichise","given":"Ayaka"},{"family":"Shibata","given":"Shinsuke"},{"family":"Arai","given":"Hiroyuki"},{"family":"Saido","given":"Takaomi"},{"family":"Sudol","given":"Marius"},{"family":"Muramatsu","given":"Shin-ichi"},{"family":"Okano","given":"Hideyuki"},{"family":"Mufson","given":"Elliott J."},{"family":"Sobue","given":"Gen"},{"family":"Murayama","given":"Shigeo"},{"family":"Okazawa","given":"Hitoshi"}],"accessed":{"date-parts":[["2022",5,2]]},"issued":{"date-parts":[["2020",12]]},"citation-key":"tanaka_yap-dependent_2020"}},{"id":5714,"uris":["http://zotero.org/groups/2667333/items/ZHW56FV3"],"itemData":{"id":5714,"type":"article-journal","container-title":"Trends in Neurosciences","DOI":"10.1016/j.tins.2019.11.005","ISSN":"0166-2236, 1878-108X","issue":"1","journalAbbreviation":"Trends in Neurosciences","language":"English","note":"publisher: Elsevier\nPMID: 31843293","page":"55-73","source":"www.cell.com","title":"Fiery Cell Death: Pyroptosis in the Central Nervous System","title-short":"Fiery Cell Death","URL":"https://www.cell.com/trends/neurosciences/abstract/S0166-2236(19)30218-8","volume":"43","author":[{"family":"McKenzie","given":"Brienne A."},{"family":"Dixit","given":"Vishva M."},{"family":"Power","given":"Christopher"}],"accessed":{"date-parts":[["2021",2,2]]},"issued":{"date-parts":[["2020",1,1]]},"citation-key":"mckenzie_fiery_2020"}}],"schema":"https://github.com/citation-style-language/schema/raw/master/csl-citation.json"}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120,211,212</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The aggregation and oligomer formation process </w:t>
      </w:r>
      <w:proofErr w:type="gramStart"/>
      <w:r w:rsidRPr="002A7128">
        <w:rPr>
          <w:rFonts w:ascii="Calibri" w:hAnsi="Calibri" w:cs="Calibri"/>
        </w:rPr>
        <w:t>is</w:t>
      </w:r>
      <w:proofErr w:type="gramEnd"/>
      <w:r w:rsidRPr="002A7128">
        <w:rPr>
          <w:rFonts w:ascii="Calibri" w:hAnsi="Calibri" w:cs="Calibri"/>
        </w:rPr>
        <w:t xml:space="preserve"> complex because of the convoluted conditions in the body. The dynamic conditions create transient heterogeneous misfolding of oligomers and make the molecular level of understanding, quantifying, and correlating the aggregation mechanism and toxicity; thus the development of target drug can be challenging</w:t>
      </w:r>
      <w:r w:rsidRPr="002A7128">
        <w:rPr>
          <w:rFonts w:ascii="Calibri" w:hAnsi="Calibri" w:cs="Calibri"/>
        </w:rPr>
        <w:fldChar w:fldCharType="begin"/>
      </w:r>
      <w:r w:rsidR="00A64B61" w:rsidRPr="002A7128">
        <w:rPr>
          <w:rFonts w:ascii="Calibri" w:hAnsi="Calibri" w:cs="Calibri"/>
        </w:rPr>
        <w:instrText xml:space="preserve"> ADDIN ZOTERO_ITEM CSL_CITATION {"citationID":"1hSBkRHJ","properties":{"formattedCitation":"\\super 208,213\\nosupersub{}","plainCitation":"208,213","noteIndex":0},"citationItems":[{"id":10647,"uris":["http://zotero.org/groups/2667333/items/3DN8MQD4"],"itemData":{"id":10647,"type":"article-journal","abstract":"Protein misfolding and aggregation are characteristic of a wide range of neurodegenerative disorders, including Alzheimer and Parkinson diseases. A hallmark of these diseases is the aggregation of otherwise soluble and functional proteins into amyloid aggregates. Although for many decades such amyloid deposits have been thought to be responsible for disease progression, it is now increasingly recognized that the misfolded protein oligomers formed during aggregation are, instead, the main agents causing pathological processes. These oligomers are transient and heterogeneous, which makes it difficult to detect and quantify them, generating confusion about their exact role in disease. The lack of suitable methods to address these challenges has hampered efforts to investigate the molecular mechanisms of oligomer toxicity and to develop oligomer-based diagnostic and therapeutic tools to combat protein misfolding diseases. In this Review, we describe methods to quantify misfolded protein oligomers, with particular emphasis on diagnostic applications as disease biomarkers and on therapeutic applications as target biomarkers. The development of these methods is ongoing, and we discuss the challenges that remain to be addressed to establish measurement tools capable of overcoming existing limitations and to meet present needs.","container-title":"Nature Reviews Chemistry","DOI":"10.1038/s41570-021-00254-9","ISSN":"2397-3358","issue":"4","journalAbbreviation":"Nat Rev Chem","language":"en","license":"2021 Springer Nature Limited","note":"number: 4\npublisher: Nature Publishing Group","page":"277-294","source":"www.nature.com","title":"Quantifying misfolded protein oligomers as drug targets and biomarkers in Alzheimer and Parkinson diseases","URL":"https://www.nature.com/articles/s41570-021-00254-9","volume":"5","author":[{"family":"Kulenkampff","given":"Klara"},{"family":"Wolf Perez","given":"Adriana-M."},{"family":"Sormanni","given":"Pietro"},{"family":"Habchi","given":"Johnny"},{"family":"Vendruscolo","given":"Michele"}],"accessed":{"date-parts":[["2022",5,28]]},"issued":{"date-parts":[["2021",4]]},"citation-key":"kulenkampff_quantifying_2021"}},{"id":10654,"uris":["http://zotero.org/groups/2667333/items/3HU97CLL"],"itemData":{"id":10654,"type":"article-journal","abstract":"Basic research on the biological mechanism of Alzheimer’s disease has focused for decades on the age-related aggregation of the amyloid β-protein and its apparent downstream effects on microglia, astrocytes and neurons, including the posttranslational modification of the tau protein that seems necessary for symptom expression. Here, we discuss the highly challenging process of developing disease-modifying therapies and highlight several key areas of current research that are progressing in exciting directions. We conclude that further deep molecular analyses of the disease, including the mechanisms of β-amyloidosis, will enable more effective clinical trials and ultimately achieve the progress that our patients so deserve.","collection-title":"Neurobiology of Disease","container-title":"Current Opinion in Neurobiology","DOI":"10.1016/j.conb.2020.02.003","ISSN":"0959-4388","journalAbbreviation":"Current Opinion in Neurobiology","language":"en","page":"116-124","source":"ScienceDirect","title":"Amyloid β-protein and beyond: the path forward in Alzheimer’s disease","title-short":"Amyloid β-protein and beyond","URL":"https://www.sciencedirect.com/science/article/pii/S0959438820300416","volume":"61","author":[{"family":"Walsh","given":"Dominic M"},{"family":"Selkoe","given":"Dennis J"}],"accessed":{"date-parts":[["2022",5,28]]},"issued":{"date-parts":[["2020",4,1]]},"citation-key":"walsh_amyloid_2020"}}],"schema":"https://github.com/citation-style-language/schema/raw/master/csl-citation.json"}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208,213</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Therefore, a minimalist and simpliﬁed synthetic model that mimics the structure, aggregation, and function of amyloids can serve as a powerful tool for studying their aggregation mechanism.</w:t>
      </w:r>
    </w:p>
    <w:p w14:paraId="72AF2A1B" w14:textId="72821CAC" w:rsidR="007E6B98" w:rsidRPr="002A7128" w:rsidRDefault="007E6B98" w:rsidP="007E6B98">
      <w:pPr>
        <w:spacing w:line="480" w:lineRule="auto"/>
        <w:ind w:firstLine="720"/>
        <w:jc w:val="both"/>
        <w:rPr>
          <w:rFonts w:ascii="Calibri" w:hAnsi="Calibri" w:cs="Calibri"/>
        </w:rPr>
      </w:pPr>
      <w:r w:rsidRPr="002A7128">
        <w:rPr>
          <w:rFonts w:ascii="Calibri" w:hAnsi="Calibri" w:cs="Calibri"/>
        </w:rPr>
        <w:t xml:space="preserve">The molecular events that occur during the formation of small aggregations of proteins and peptides (lag phase) are in a complex environment. Studies with the extracted proteins in an </w:t>
      </w:r>
      <w:r w:rsidRPr="002A7128">
        <w:rPr>
          <w:rFonts w:ascii="Calibri" w:hAnsi="Calibri" w:cs="Calibri"/>
        </w:rPr>
        <w:lastRenderedPageBreak/>
        <w:t>isolated system may not provide an adequate understanding of the pathophysiology of the disease. Yet, studies in biological fluids create huge complexity. Indeed, the amyloidogenic proteins' kinetics and free energy landscape in the initial aggregation phase are largely unknown and have been studied with variations of new experimental and computational approaches</w:t>
      </w:r>
      <w:r w:rsidRPr="002A7128">
        <w:rPr>
          <w:rFonts w:ascii="Calibri" w:hAnsi="Calibri" w:cs="Calibri"/>
        </w:rPr>
        <w:fldChar w:fldCharType="begin"/>
      </w:r>
      <w:r w:rsidR="00A64B61" w:rsidRPr="002A7128">
        <w:rPr>
          <w:rFonts w:ascii="Calibri" w:hAnsi="Calibri" w:cs="Calibri"/>
        </w:rPr>
        <w:instrText xml:space="preserve"> ADDIN ZOTERO_ITEM CSL_CITATION {"citationID":"0r9NGed3","properties":{"formattedCitation":"\\super 214\\uc0\\u8211{}217\\nosupersub{}","plainCitation":"214–217","noteIndex":0},"citationItems":[{"id":11292,"uris":["http://zotero.org/groups/2667333/items/5FPUMN2I"],"itemData":{"id":11292,"type":"article-journal","abstract":"Amyloid aggregates of human islet amyloid polypeptide (hIAPP or human amylin) have long been implicated in the development of type II diabetes. While hIAPP is known to aggregate into amyloid fibrils, it is the early-stage prefibrillar species that have been proposed to be cytotoxic. A detailed picture of the early-stage aggregation process and relevant intermediates would be valuable in the development of effective therapeutics. Here, we use atomistic molecular dynamics simulations with a combination of enhanced sampling methods to examine the formation of the hIAPP dimer in water. Bias-exchange metadynamics calculations reveal relative conformational stabilities of the hIAPP dimer. Finite temperature string method calculations identify pathways for dimer formation, along with relevant free energy barriers and intermediate structures. We show that the initial stages of dimerization involve crossing a substantial free energy barrier to form an intermediate structure exhibiting transient β-sheet character, before proceeding to form an entropically stabilized dimer structure.","container-title":"The Journal of Chemical Physics","DOI":"10.1063/1.5033458","ISSN":"0021-9606","issue":"2","journalAbbreviation":"J. Chem. Phys.","note":"publisher: American Institute of Physics","page":"025101","source":"aip.scitation.org (Atypon)","title":"Early-stage human islet amyloid polypeptide aggregation: Mechanisms behind dimer formation","title-short":"Early-stage human islet amyloid polypeptide aggregation","URL":"https://aip.scitation.org/doi/10.1063/1.5033458","volume":"149","author":[{"family":"Guo","given":"Ashley Z."},{"family":"Fluitt","given":"Aaron M."},{"family":"Pablo","given":"Juan J.","non-dropping-particle":"de"}],"accessed":{"date-parts":[["2022",7,20]]},"issued":{"date-parts":[["2018",7,14]]},"citation-key":"guo_early-stage_2018"}},{"id":11455,"uris":["http://zotero.org/groups/2667333/items/VBXF38HS"],"itemData":{"id":11455,"type":"article-journal","abstract":"Transiently populated oligomers formed en route to amyloid fibrils may constitute the most toxic aggregates associated with many amyloid-associated diseases. Most nucleation theories used to describe amyloid aggregation predict low oligomer concentrations and do not take into account free energy costs that may be associated with structural rearrangements between the oligomer and fiber states. We have used isotope labeling and two-dimensional infrared spectroscopy to spectrally resolve an oligomeric intermediate during the aggregation of the human islet amyloid protein (hIAPP or amylin), the protein associated with type II diabetes. A structural rearrangement includes the F23G24A25I26L27 region of hIAPP, which starts from a random coil structure, evolves into ordered β-sheet oligomers containing at least 5 strands, and then partially disorders in the fibril structure. The supercritical concentration is measured to be between 150 and 250 μM, which is the thermodynamic parameter that sets the free energy of the oligomers. A 3-state kinetic model fits the experimental data, but only if it includes a concentration independent free energy barrier &gt;3 kcal/mol that represents the free energy cost of refolding the oligomeric intermediate into the structure of the amyloid fibril; i.e., “oligomer activation” is required. The barrier creates a transition state in the free energy landscape that slows fibril formation and creates a stable population of oligomers during the lag phase, even at concentrations below the supercritical concentration. Largely missing in current kinetic models is a link between structure and kinetics. Our experiments and modeling provide evidence that protein structural rearrangements during aggregation impact the populations and kinetics of toxic oligomeric species.","container-title":"Journal of the American Chemical Society","DOI":"10.1021/jacs.7b08830","ISSN":"0002-7863","issue":"46","journalAbbreviation":"J. Am. Chem. Soc.","note":"publisher: American Chemical Society","page":"16748-16758","source":"ACS Publications","title":"A Free Energy Barrier Caused by the Refolding of an Oligomeric Intermediate Controls the Lag Time of Amyloid Formation by hIAPP","URL":"https://doi.org/10.1021/jacs.7b08830","volume":"139","author":[{"family":"Serrano","given":"Arnaldo L."},{"family":"Lomont","given":"Justin P."},{"family":"Tu","given":"Ling-Hsien"},{"family":"Raleigh","given":"Daniel P."},{"family":"Zanni","given":"Martin T."}],"accessed":{"date-parts":[["2022",8,9]]},"issued":{"date-parts":[["2017",11,22]]},"citation-key":"serrano_free_2017"}},{"id":11527,"uris":["http://zotero.org/groups/2667333/items/T8V3KUFF"],"itemData":{"id":11527,"type":"article-journal","abstract":"Infrared spectroscopy is a powerful tool for the understanding of molecular structure and function of polypeptides. Theoretical interpretation of IR spectra relies on ab initio calculations may be very costly in computational resources. Herein, we developed a neural network (NN) modeling protocol to evaluate a model dipeptide’s backbone amide-I spectra. DFT calculations were performed for the amide-I vibrational motions and structural parameters of alanine dipeptide (ALAD) conformers in different micro-environments ranging from polar to non-polar ones. The obtained backbone dihedrals, C = O bond lengths and amide-I frequencies of ALAD were gather together for NN architecture. The applications of built NN protocols for the prediction of amide-I frequencies of ALAD in other solvation conditions are quite satisfactory with much less computational cost comparing with electronic structure calculations. The results show that this cost-effective way enables us to decipher the polypeptide’s dynamic secondary structures and biological functions with their backbone vibrational probes.","container-title":"Spectrochimica Acta Part A: Molecular and Biomolecular Spectroscopy","DOI":"10.1016/j.saa.2021.120675","ISSN":"1386-1425","journalAbbreviation":"Spectrochimica Acta Part A: Molecular and Biomolecular Spectroscopy","language":"en","page":"120675","source":"ScienceDirect","title":"Modeling amide-I vibrations of alanine dipeptide in solution by using neural network protocol","URL":"https://www.sciencedirect.com/science/article/pii/S138614252101252X","volume":"268","author":[{"family":"Fan","given":"Jianping"},{"family":"Lan","given":"Huaying"},{"family":"Ning","given":"Wenfeng"},{"family":"Zhong","given":"Rongzhen"},{"family":"Chen","given":"Feng"},{"family":"Yan","given":"Guiyang"},{"family":"Cai","given":"Kaicong"}],"accessed":{"date-parts":[["2022",8,11]]},"issued":{"date-parts":[["2022",3,5]]},"citation-key":"fan_modeling_2022"}},{"id":11524,"uris":["http://zotero.org/groups/2667333/items/WW5YE4SP"],"itemData":{"id":11524,"type":"article-journal","abstract":"In antibody light chain (AL) amyloidosis, overproduced light chain (LC) fragments accumulate as fibrils in organs and tissues of patients. In vitro, AL fibril formation is a slow process, characterized by a pronounced lag phase. The events occurring during this lag phase are largely unknown. We have dissected the lag phase of a patient-derived LC truncation and identified structural transitions that precede fibril formation. The process starts with partial unfolding of the VL domain and the formation of small amounts of dimers. This is a prerequisite for the formation of an ensemble of oligomers, which are the precursors of fibrils. During oligomerization, the hydrophobic core of the LC domain rearranges which leads to changes in solvent accessibility and rigidity. Structural transitions from an anti-parallel to a parallel β-sheet secondary structure occur in the oligomers prior to amyloid formation. Together, our results reveal a rate-limiting multi-step mechanism of structural transitions prior to fibril formation in AL amyloidosis, which offers, in the long run, opportunities for therapeutic intervention.","container-title":"Nature Communications","DOI":"10.1038/s41467-021-26845-0","ISSN":"2041-1723","issue":"1","journalAbbreviation":"Nat Commun","language":"en","license":"2021 The Author(s)","note":"number: 1\npublisher: Nature Publishing Group","page":"6516","source":"www.nature.com","title":"Dissection of the amyloid formation pathway in AL amyloidosis","URL":"https://www.nature.com/articles/s41467-021-26845-0","volume":"12","author":[{"family":"Kazman","given":"Pamina"},{"family":"Absmeier","given":"Ramona M."},{"family":"Engelhardt","given":"Harald"},{"family":"Buchner","given":"Johannes"}],"accessed":{"date-parts":[["2022",8,11]]},"issued":{"date-parts":[["2021",11,11]]},"citation-key":"kazman_dissection_2021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214–217</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A combination of these methodologies establishes strategies for a more accurate understanding of the aggregation process. Such a combination can be possible with molecular tools that have similar behaviors and biological functions in experimental conditions as amyloid-like proteins and are simple enough for computational simulations</w:t>
      </w:r>
      <w:r w:rsidRPr="002A7128">
        <w:rPr>
          <w:rFonts w:ascii="Calibri" w:hAnsi="Calibri" w:cs="Calibri"/>
        </w:rPr>
        <w:fldChar w:fldCharType="begin"/>
      </w:r>
      <w:r w:rsidR="00317E7D" w:rsidRPr="002A7128">
        <w:rPr>
          <w:rFonts w:ascii="Calibri" w:hAnsi="Calibri" w:cs="Calibri"/>
        </w:rPr>
        <w:instrText xml:space="preserve"> ADDIN ZOTERO_ITEM CSL_CITATION {"citationID":"Ha8oWr5D","properties":{"formattedCitation":"\\super 145\\nosupersub{}","plainCitation":"145","noteIndex":0},"citationItems":[{"id":9925,"uris":["http://zotero.org/groups/2667333/items/CDKDX376"],"itemData":{"id":9925,"type":"article-journal","abstract":"Co-assembly of oppositely charged peptides (CoOP) links intermolecular interactions and material properties.","archive_location":"world","container-title":"Science Advances","DOI":"10.1126/sciadv.abj0305","language":"EN","license":"Copyright © 2022 The Authors, some rights reserved; exclusive licensee American Association for the Advancement of Science. No claim to original U.S. Government Works. Distributed under a Creative Commons Attribution NonCommercial License 4.0 (CC BY-NC).","note":"publisher: American Association for the Advancement of Science\ntex.ids= doi:10.1126/sciadv.abj0305","source":"www.science.org","title":"Peptide framework for screening the effects of amino acids on assembly","URL":"https://www.science.org/doi/abs/10.1126/sciadv.abj0305","author":[{"family":"Hamsici","given":"Seren"},{"family":"White","given":"Andrew D."},{"family":"Acar","given":"Handan"}],"accessed":{"date-parts":[["2022",1,19]]},"issued":{"date-parts":[["2022",1]]},"citation-key":"hamsici_peptide_2022"}}],"schema":"https://github.com/citation-style-language/schema/raw/master/csl-citation.json"}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145</w:t>
      </w:r>
      <w:r w:rsidRPr="002A7128">
        <w:rPr>
          <w:rFonts w:ascii="Calibri" w:hAnsi="Calibri" w:cs="Calibri"/>
        </w:rPr>
        <w:fldChar w:fldCharType="end"/>
      </w:r>
      <w:r w:rsidR="003364FE">
        <w:rPr>
          <w:rFonts w:ascii="Calibri" w:hAnsi="Calibri" w:cs="Calibri"/>
        </w:rPr>
        <w:t>.</w:t>
      </w:r>
    </w:p>
    <w:p w14:paraId="44EF4312" w14:textId="719DE402" w:rsidR="007E6B98" w:rsidRPr="002A7128" w:rsidRDefault="007E6B98" w:rsidP="007E6B98">
      <w:pPr>
        <w:pBdr>
          <w:top w:val="nil"/>
          <w:left w:val="nil"/>
          <w:bottom w:val="nil"/>
          <w:right w:val="nil"/>
          <w:between w:val="nil"/>
        </w:pBdr>
        <w:tabs>
          <w:tab w:val="left" w:pos="500"/>
        </w:tabs>
        <w:spacing w:after="240" w:line="480" w:lineRule="auto"/>
        <w:jc w:val="both"/>
        <w:rPr>
          <w:rFonts w:ascii="Calibri" w:hAnsi="Calibri" w:cs="Calibri"/>
          <w:color w:val="000000"/>
        </w:rPr>
      </w:pPr>
      <w:r w:rsidRPr="002A7128">
        <w:rPr>
          <w:rFonts w:ascii="Calibri" w:hAnsi="Calibri" w:cs="Calibri"/>
        </w:rPr>
        <w:tab/>
      </w:r>
      <w:proofErr w:type="spellStart"/>
      <w:r w:rsidR="001B66F5" w:rsidRPr="002A7128">
        <w:rPr>
          <w:rFonts w:ascii="Calibri" w:hAnsi="Calibri" w:cs="Calibri"/>
        </w:rPr>
        <w:t>CoOP</w:t>
      </w:r>
      <w:proofErr w:type="spellEnd"/>
      <w:r w:rsidR="001B66F5" w:rsidRPr="002A7128">
        <w:rPr>
          <w:rFonts w:ascii="Calibri" w:hAnsi="Calibri" w:cs="Calibri"/>
        </w:rPr>
        <w:t xml:space="preserve"> </w:t>
      </w:r>
      <w:r w:rsidRPr="002A7128">
        <w:rPr>
          <w:rFonts w:ascii="Calibri" w:hAnsi="Calibri" w:cs="Calibri"/>
          <w:color w:val="000000"/>
        </w:rPr>
        <w:t>is a minimalist strategy enabling the study of intermolecular interactions' role in peptide aggregation</w:t>
      </w:r>
      <w:r w:rsidRPr="002A7128">
        <w:rPr>
          <w:rFonts w:ascii="Calibri" w:hAnsi="Calibri" w:cs="Calibri"/>
          <w:color w:val="000000"/>
        </w:rPr>
        <w:fldChar w:fldCharType="begin"/>
      </w:r>
      <w:r w:rsidR="00317E7D" w:rsidRPr="002A7128">
        <w:rPr>
          <w:rFonts w:ascii="Calibri" w:hAnsi="Calibri" w:cs="Calibri"/>
          <w:color w:val="000000"/>
        </w:rPr>
        <w:instrText xml:space="preserve"> ADDIN ZOTERO_ITEM CSL_CITATION {"citationID":"SATlLFbl","properties":{"formattedCitation":"\\super 145\\nosupersub{}","plainCitation":"145","noteIndex":0},"citationItems":[{"id":9925,"uris":["http://zotero.org/groups/2667333/items/CDKDX376"],"itemData":{"id":9925,"type":"article-journal","abstract":"Co-assembly of oppositely charged peptides (CoOP) links intermolecular interactions and material properties.","archive_location":"world","container-title":"Science Advances","DOI":"10.1126/sciadv.abj0305","language":"EN","license":"Copyright © 2022 The Authors, some rights reserved; exclusive licensee American Association for the Advancement of Science. No claim to original U.S. Government Works. Distributed under a Creative Commons Attribution NonCommercial License 4.0 (CC BY-NC).","note":"publisher: American Association for the Advancement of Science\ntex.ids= doi:10.1126/sciadv.abj0305","source":"www.science.org","title":"Peptide framework for screening the effects of amino acids on assembly","URL":"https://www.science.org/doi/abs/10.1126/sciadv.abj0305","author":[{"family":"Hamsici","given":"Seren"},{"family":"White","given":"Andrew D."},{"family":"Acar","given":"Handan"}],"accessed":{"date-parts":[["2022",1,19]]},"issued":{"date-parts":[["2022",1]]},"citation-key":"hamsici_peptide_2022"}}],"schema":"https://github.com/citation-style-language/schema/raw/master/csl-citation.json"} </w:instrText>
      </w:r>
      <w:r w:rsidRPr="002A7128">
        <w:rPr>
          <w:rFonts w:ascii="Calibri" w:hAnsi="Calibri" w:cs="Calibri"/>
          <w:color w:val="000000"/>
        </w:rPr>
        <w:fldChar w:fldCharType="separate"/>
      </w:r>
      <w:r w:rsidR="00317E7D" w:rsidRPr="002A7128">
        <w:rPr>
          <w:rFonts w:ascii="Calibri" w:hAnsi="Calibri" w:cs="Calibri"/>
          <w:color w:val="000000"/>
          <w:vertAlign w:val="superscript"/>
        </w:rPr>
        <w:t>145</w:t>
      </w:r>
      <w:r w:rsidRPr="002A7128">
        <w:rPr>
          <w:rFonts w:ascii="Calibri" w:hAnsi="Calibri" w:cs="Calibri"/>
          <w:color w:val="000000"/>
        </w:rPr>
        <w:fldChar w:fldCharType="end"/>
      </w:r>
      <w:r w:rsidR="003364FE">
        <w:rPr>
          <w:rFonts w:ascii="Calibri" w:hAnsi="Calibri" w:cs="Calibri"/>
          <w:color w:val="000000"/>
        </w:rPr>
        <w:t>.</w:t>
      </w:r>
      <w:r w:rsidRPr="002A7128">
        <w:rPr>
          <w:rFonts w:ascii="Calibri" w:hAnsi="Calibri" w:cs="Calibri"/>
          <w:color w:val="000000"/>
        </w:rPr>
        <w:t xml:space="preserve"> </w:t>
      </w:r>
      <w:proofErr w:type="spellStart"/>
      <w:r w:rsidRPr="002A7128">
        <w:rPr>
          <w:rFonts w:ascii="Calibri" w:hAnsi="Calibri" w:cs="Calibri"/>
          <w:color w:val="000000"/>
        </w:rPr>
        <w:t>CoOPs</w:t>
      </w:r>
      <w:proofErr w:type="spellEnd"/>
      <w:r w:rsidRPr="002A7128">
        <w:rPr>
          <w:rFonts w:ascii="Calibri" w:hAnsi="Calibri" w:cs="Calibri"/>
          <w:color w:val="000000"/>
        </w:rPr>
        <w:t xml:space="preserve"> are designed to assemble into amyloid ﬁbrils. Among the studied peptide sequences, the oppositely charged pair, KFFIIK and EFFIIE (the pair will be shown hereafter as [II]) led to the </w:t>
      </w:r>
      <w:r w:rsidRPr="002A7128">
        <w:rPr>
          <w:rFonts w:ascii="Calibri" w:hAnsi="Calibri" w:cs="Calibri"/>
        </w:rPr>
        <w:t>most ordered</w:t>
      </w:r>
      <w:r w:rsidRPr="002A7128">
        <w:rPr>
          <w:rFonts w:ascii="Calibri" w:hAnsi="Calibri" w:cs="Calibri"/>
          <w:color w:val="000000"/>
        </w:rPr>
        <w:t xml:space="preserve"> amyloid-like β-sheet assembly. On the cell membrane, [II] peptide aggregation causes immunogenic rupture (PAIIR), which starts immunogenic cell death (ICD) and results in the release of damage-associated molecular patterns (DAMPs), which act as an immunostimulatory agent</w:t>
      </w:r>
      <w:r w:rsidRPr="002A7128">
        <w:rPr>
          <w:rFonts w:ascii="Calibri" w:hAnsi="Calibri" w:cs="Calibri"/>
          <w:color w:val="000000"/>
        </w:rPr>
        <w:fldChar w:fldCharType="begin"/>
      </w:r>
      <w:r w:rsidR="00A64B61" w:rsidRPr="002A7128">
        <w:rPr>
          <w:rFonts w:ascii="Calibri" w:hAnsi="Calibri" w:cs="Calibri"/>
          <w:color w:val="000000"/>
        </w:rPr>
        <w:instrText xml:space="preserve"> ADDIN ZOTERO_ITEM CSL_CITATION {"citationID":"URMqWiGp","properties":{"formattedCitation":"\\super 218\\nosupersub{}","plainCitation":"218","noteIndex":0},"citationItems":[{"id":10653,"uris":["http://zotero.org/groups/2667333/items/Y7SGNY6E"],"itemData":{"id":10653,"type":"article-journal","abstract":"Immunogenic cell death (ICD) arises when cells are under stress, and their membranes are damaged. They release damage-associated molecular patterns (DAMPs) that stimulate and drive the type and magnitude of the immune response. In the presence of an antigen, DAMPs ride the longevity and efficacy of antigen-specific immunity. Yet, no tool can induce the controlled ICD with predictable results. A peptide-based tool, [II], is designed that aggregates in the cell and causes cell membrane damage, generates ICD and DAMPs release on various cell types, and hence can act as an adjuvant. An influenza vaccine is prepared by combining [II] with influenza hemagglutinin (HA) subunit antigens. The results show that [II] induced significantly higher HA-specific immunoglobulin G1 (IgG1) and IgG2a antibodies than HA-only immunized mice, while the peptide itself did not elicit antibodies. This paper demonstrates the first peptide-aggregation induced immunogenic rupture (PAIIR) approach as a vaccine adjuvant. PAIIR is a promising adjuvant with a high potential to promote universal protection upon influenza HA vaccination.","container-title":"Advanced Science","DOI":"10.1002/advs.202105868","ISSN":"2198-3844","issue":"n/a","language":"en","note":"_eprint: https://onlinelibrary.wiley.com/doi/pdf/10.1002/advs.202105868","page":"2105868","source":"Wiley Online Library","title":"Peptide Aggregation Induced Immunogenic Rupture (PAIIR)","URL":"https://onlinelibrary.wiley.com/doi/abs/10.1002/advs.202105868","volume":"n/a","author":[{"family":"Gunay","given":"Gokhan"},{"family":"Hamsici","given":"Seren"},{"family":"Lang","given":"Gillian A."},{"family":"Lang","given":"Mark L."},{"family":"Kovats","given":"Susan"},{"family":"Acar","given":"Handan"}],"accessed":{"date-parts":[["2022",5,28]]},"issued":{"date-parts":[["2022"]]},"citation-key":"gunay_peptide_2022"}}],"schema":"https://github.com/citation-style-language/schema/raw/master/csl-citation.json"} </w:instrText>
      </w:r>
      <w:r w:rsidRPr="002A7128">
        <w:rPr>
          <w:rFonts w:ascii="Calibri" w:hAnsi="Calibri" w:cs="Calibri"/>
          <w:color w:val="000000"/>
        </w:rPr>
        <w:fldChar w:fldCharType="separate"/>
      </w:r>
      <w:r w:rsidR="00A64B61" w:rsidRPr="002A7128">
        <w:rPr>
          <w:rFonts w:ascii="Calibri" w:hAnsi="Calibri" w:cs="Calibri"/>
          <w:color w:val="000000"/>
          <w:vertAlign w:val="superscript"/>
        </w:rPr>
        <w:t>218</w:t>
      </w:r>
      <w:r w:rsidRPr="002A7128">
        <w:rPr>
          <w:rFonts w:ascii="Calibri" w:hAnsi="Calibri" w:cs="Calibri"/>
          <w:color w:val="000000"/>
        </w:rPr>
        <w:fldChar w:fldCharType="end"/>
      </w:r>
      <w:r w:rsidR="003364FE">
        <w:rPr>
          <w:rFonts w:ascii="Calibri" w:hAnsi="Calibri" w:cs="Calibri"/>
          <w:color w:val="000000"/>
        </w:rPr>
        <w:t>.</w:t>
      </w:r>
      <w:r w:rsidRPr="002A7128">
        <w:rPr>
          <w:rFonts w:ascii="Calibri" w:hAnsi="Calibri" w:cs="Calibri"/>
          <w:color w:val="000000"/>
        </w:rPr>
        <w:t xml:space="preserve"> PAIIR induces secondary pyroptosis, a</w:t>
      </w:r>
      <w:r w:rsidRPr="002A7128">
        <w:rPr>
          <w:rFonts w:ascii="Calibri" w:hAnsi="Calibri" w:cs="Calibri"/>
        </w:rPr>
        <w:t xml:space="preserve"> programmed ICD,</w:t>
      </w:r>
      <w:r w:rsidRPr="002A7128">
        <w:rPr>
          <w:rFonts w:ascii="Calibri" w:hAnsi="Calibri" w:cs="Calibri"/>
          <w:color w:val="000000"/>
        </w:rPr>
        <w:t xml:space="preserve"> and a common feature of amyloid-inducing cell death as in Alzheimer's and Parkinson's diseases</w:t>
      </w:r>
      <w:r w:rsidRPr="002A7128">
        <w:rPr>
          <w:rFonts w:ascii="Calibri" w:hAnsi="Calibri" w:cs="Calibri"/>
          <w:color w:val="000000"/>
        </w:rPr>
        <w:fldChar w:fldCharType="begin"/>
      </w:r>
      <w:r w:rsidR="00A64B61" w:rsidRPr="002A7128">
        <w:rPr>
          <w:rFonts w:ascii="Calibri" w:hAnsi="Calibri" w:cs="Calibri"/>
          <w:color w:val="000000"/>
        </w:rPr>
        <w:instrText xml:space="preserve"> ADDIN ZOTERO_ITEM CSL_CITATION {"citationID":"ZX0IEOym","properties":{"formattedCitation":"\\super 129,219\\nosupersub{}","plainCitation":"129,219","noteIndex":0},"citationItems":[{"id":10637,"uris":["http://zotero.org/groups/2667333/items/FIJY9H6T"],"itemData":{"id":10637,"type":"article-journal","abstract":"Abstract\n            Tightly orchestrated programmed cell death (PCD) signalling events occur during normal neuronal development in a spatially and temporally restricted manner to establish the neural architecture and shaping the CNS. Abnormalities in PCD signalling cascades, such as apoptosis, necroptosis, pyroptosis, ferroptosis, and cell death associated with autophagy as well as in unprogrammed necrosis can be observed in the pathogenesis of various neurological diseases. These cell deaths can be activated in response to various forms of cellular stress (exerted by intracellular or extracellular stimuli) and inflammatory processes. Aberrant activation of PCD pathways is a common feature in neurodegenerative diseases, such as amyotrophic lateral sclerosis (ALS), Alzheimer’s disease, Parkinson’s disease, and Huntington’s disease, resulting in unwanted loss of neuronal cells and function. Conversely, inactivation of PCD is thought to contribute to the development of brain cancers and to impact their response to therapy. For many neurodegenerative diseases and brain cancers current treatment strategies have only modest effect, engendering the need for investigations into the origins of these diseases. With many diseases of the brain displaying aberrations in PCD pathways, it appears that agents that can either inhibit or induce PCD may be critical components of future therapeutic strategies. The development of such therapies will have to be guided by preclinical studies in animal models that faithfully mimic the human disease. In this review, we briefly describe PCD and unprogrammed cell death processes and the roles they play in contributing to neurodegenerative diseases or tumorigenesis in the brain. We also discuss the interplay between distinct cell death signalling cascades and disease pathogenesis and describe pharmacological agents targeting key players in the cell death signalling pathways that have progressed through to clinical trials.","container-title":"Cell Death &amp; Differentiation","DOI":"10.1038/s41418-021-00814-y","ISSN":"1350-9047, 1476-5403","issue":"7","journalAbbreviation":"Cell Death Differ","language":"en","page":"2029-2044","source":"DOI.org (Crossref)","title":"Molecular mechanisms of cell death in neurological diseases","URL":"https://www.nature.com/articles/s41418-021-00814-y","volume":"28","author":[{"family":"Moujalled","given":"Diane"},{"family":"Strasser","given":"Andreas"},{"family":"Liddell","given":"Jeffrey R."}],"accessed":{"date-parts":[["2022",5,26]]},"issued":{"date-parts":[["2021",7]]},"citation-key":"moujalled_molecular_2021"}},{"id":3254,"uris":["http://zotero.org/groups/2667333/items/I6L25HAY"],"itemData":{"id":3254,"type":"article-journal","abstract":"Extracellular senile plaques and intracellular neurofibrillary tangles are the neuropathological findings of the Alzheimer’s disease (AD). Based on the amyloid cascade hypothesis, the main component of senile plaques, the amyloid-beta (Aβ) peptide, and its derivative called amyloid precursor protein (APP) both have been found to place their central roles in AD development for years. However, the recent therapeutics have yet to reverse or halt this disease. Previous evidence demonstrates that the accumulation of Aβ peptides and APP can exert neurotoxicity and ultimately neuronal cell death. Hence, we discuss the mechanisms of excessive production of Aβ peptides and APP serving as pathophysiologic stimuli for the initiation of various cell signalling pathways including apoptosis, necrosis, necroptosis and autophagy which lead to neuronal cell death. Conversely, the activation of such pathways could also result in the abnormal generation of APP and Aβ peptides. An elucidation of actions of APP and its metabolite, Aβ, could be vital in suggesting novel therapeutic opportunities.","container-title":"Metabolic Brain Disease","DOI":"10.1007/s11011-019-00516-y","ISSN":"1573-7365","issue":"1","journalAbbreviation":"Metab Brain Dis","language":"en","page":"11-30","source":"Springer Link","title":"Mechanisms of action of amyloid-beta and its precursor protein in neuronal cell death","URL":"https://doi.org/10.1007/s11011-019-00516-y","volume":"35","author":[{"family":"Leong","given":"Yong Qi"},{"family":"Ng","given":"Khuen Yen"},{"family":"Chye","given":"Soi Moi"},{"family":"Ling","given":"Anna Pick Kiong"},{"family":"Koh","given":"Rhun Yian"}],"accessed":{"date-parts":[["2020",12,31]]},"issued":{"date-parts":[["2020",1,1]]},"citation-key":"leong_mechanisms_2020"}}],"schema":"https://github.com/citation-style-language/schema/raw/master/csl-citation.json"} </w:instrText>
      </w:r>
      <w:r w:rsidRPr="002A7128">
        <w:rPr>
          <w:rFonts w:ascii="Calibri" w:hAnsi="Calibri" w:cs="Calibri"/>
          <w:color w:val="000000"/>
        </w:rPr>
        <w:fldChar w:fldCharType="separate"/>
      </w:r>
      <w:r w:rsidR="00A64B61" w:rsidRPr="002A7128">
        <w:rPr>
          <w:rFonts w:ascii="Calibri" w:hAnsi="Calibri" w:cs="Calibri"/>
          <w:color w:val="000000"/>
          <w:vertAlign w:val="superscript"/>
        </w:rPr>
        <w:t>129,219</w:t>
      </w:r>
      <w:r w:rsidRPr="002A7128">
        <w:rPr>
          <w:rFonts w:ascii="Calibri" w:hAnsi="Calibri" w:cs="Calibri"/>
          <w:color w:val="000000"/>
        </w:rPr>
        <w:fldChar w:fldCharType="end"/>
      </w:r>
      <w:r w:rsidR="003364FE">
        <w:rPr>
          <w:rFonts w:ascii="Calibri" w:hAnsi="Calibri" w:cs="Calibri"/>
          <w:color w:val="000000"/>
        </w:rPr>
        <w:t>.</w:t>
      </w:r>
      <w:r w:rsidRPr="002A7128">
        <w:rPr>
          <w:rFonts w:ascii="Calibri" w:hAnsi="Calibri" w:cs="Calibri"/>
          <w:color w:val="000000"/>
        </w:rPr>
        <w:t xml:space="preserve"> PAIIR is a simpliﬁed peptide-based tool designed to mimic the function instead of the sequence of a protein; thus, there is no natural ortholog of [II].</w:t>
      </w:r>
    </w:p>
    <w:p w14:paraId="29ECEDB8" w14:textId="0D2B9636" w:rsidR="007E6B98" w:rsidRPr="002A7128" w:rsidRDefault="007E6B98" w:rsidP="007E6B98">
      <w:pPr>
        <w:spacing w:line="480" w:lineRule="auto"/>
        <w:ind w:firstLine="720"/>
        <w:jc w:val="both"/>
        <w:rPr>
          <w:rFonts w:ascii="Calibri" w:hAnsi="Calibri" w:cs="Calibri"/>
        </w:rPr>
      </w:pPr>
      <w:r w:rsidRPr="002A7128">
        <w:rPr>
          <w:rFonts w:ascii="Calibri" w:hAnsi="Calibri" w:cs="Calibri"/>
        </w:rPr>
        <w:t>Albumin is abundant in the human body, ﬂexible, and mostly hydrophobic; thus, it has a high non-speciﬁc binding capacity</w:t>
      </w:r>
      <w:r w:rsidRPr="002A7128">
        <w:rPr>
          <w:rFonts w:ascii="Calibri" w:hAnsi="Calibri" w:cs="Calibri"/>
        </w:rPr>
        <w:fldChar w:fldCharType="begin"/>
      </w:r>
      <w:r w:rsidR="00A64B61" w:rsidRPr="002A7128">
        <w:rPr>
          <w:rFonts w:ascii="Calibri" w:hAnsi="Calibri" w:cs="Calibri"/>
        </w:rPr>
        <w:instrText xml:space="preserve"> ADDIN ZOTERO_ITEM CSL_CITATION {"citationID":"RNwjkQAb","properties":{"formattedCitation":"\\super 220\\nosupersub{}","plainCitation":"220","noteIndex":0},"citationItems":[{"id":9063,"uris":["http://zotero.org/groups/2667333/items/IU7FSDMN"],"itemData":{"id":9063,"type":"article-journal","abstract":"&lt;p&gt;Although serum albumin has an established function as a transport protein, evidence is emerging that serum albumin may also have a role as a molecular chaperone. Using established techniques to characterize chaperone interactions, this study demonstrates that bovine serum albumin: 1) preferentially binds stressed over unstressed client proteins; 2) forms stable, soluble, high molecular weight complexes with stressed client proteins; 3) reduces the aggregation of client proteins when it is present at physiological levels; and 4) inhibits amyloid formation by both WT and L55P transthyretin. Although the antiaggregatory effect of serum albumin is maintained in the presence of physiological levels of Ca&lt;sup&gt;2+&lt;/sup&gt; and Cu&lt;sup&gt;2+&lt;/sup&gt;, the presence of free fatty acids significantly alters this activity: stabilizing serum albumin at normal levels but diminishing chaperone-like activity at high concentrations. Moreover, here it is shown that depletion of albumin from human plasma leads to a significant increase in aggregation under physiologically relevant heat and shear stresses. This study demonstrates that serum albumin possesses chaperone-like properties and that this activity is maintained under a number of physiologically relevant conditions.&lt;/p&gt;","container-title":"Journal of Biological Chemistry","DOI":"10.1074/jbc.M112.372961","ISSN":"0021-9258, 1083-351X","issue":"25","journalAbbreviation":"Journal of Biological Chemistry","language":"English","note":"publisher: Elsevier\nPMID: 22549788\ntex.ids= finn_serum_2012-1","page":"21530-21540","source":"www.jbc.org","title":"Serum Albumin Prevents Protein Aggregation and Amyloid Formation and Retains Chaperone-like Activity in the Presence of Physiological Ligands","URL":"https://www.jbc.org/article/S0021-9258(20)49844-8/abstract","volume":"287","author":[{"family":"Finn","given":"Thomas E."},{"family":"Nunez","given":"Andrea C."},{"family":"Sunde","given":"Margaret"},{"family":"Easterbrook-Smith","given":"Simon B."}],"accessed":{"date-parts":[["2021",9,13]]},"issued":{"date-parts":[["2012",6,15]]},"citation-key":"finn_serum_2012"}}],"schema":"https://github.com/citation-style-language/schema/raw/master/csl-citation.json"}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220</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It is known that albumin impedes the ﬁbrillization of amyloids and increases the soluble misfolded oligomers of higher toxicity</w:t>
      </w:r>
      <w:r w:rsidRPr="002A7128">
        <w:rPr>
          <w:rFonts w:ascii="Calibri" w:hAnsi="Calibri" w:cs="Calibri"/>
        </w:rPr>
        <w:fldChar w:fldCharType="begin"/>
      </w:r>
      <w:r w:rsidR="00A64B61" w:rsidRPr="002A7128">
        <w:rPr>
          <w:rFonts w:ascii="Calibri" w:hAnsi="Calibri" w:cs="Calibri"/>
        </w:rPr>
        <w:instrText xml:space="preserve"> ADDIN ZOTERO_ITEM CSL_CITATION {"citationID":"Uzfak7ik","properties":{"formattedCitation":"\\super 221\\uc0\\u8211{}223\\nosupersub{}","plainCitation":"221–223","noteIndex":0},"citationItems":[{"id":9566,"uris":["http://zotero.org/groups/2667333/items/RJ6CMGEF"],"itemData":{"id":9566,"type":"article-journal","abstract":"Human serum albumin (HSA) is a major interacting-partner of Alzheimer’s amyloid-β (Aβ) peptide in the plasma and has emerged as a promising therapeutic target. HSA inhibits Aβ fibrillization, but the underlying molecular mechanism is not well elucidated. In this work, we investigated the role of HSA in the early stages of Aβ aggregation by simulating the binding process of multiple Aβ monomers and protofibrils to HSA with extensive molecular dynamics simulations. HSA could simultaneously trap multiple Aβ monomers and accommodate the formation of nonfibrillar Aβ oligomers after binding. In particular, domains I and III show stronger binding capacities and hold preferable interaction sites for oligomers. Consequently, HSA prevents the formation of fibrillar oligomers in water, thus interfering with the nucleation process. On the other aspect, when protofibrils are preformed, HSA tends to block the β-strand spanning the central hydrophobic core located at the protofibril end, preventing the addition of monomers to protofibrils. Furthermore, Aβ protofibril structures are severely disrupted both globally and locally. Thus, further growth of protofibrils to fibrils is impeded by HSA. Our results collectively indicate that HSA performs multipronged regulatory functions in the early stages of Aβ aggregation. Our work advances the understanding of the amyloid inhibition of Aβ by HSA and provides theoretical guidance for developing rational therapies of Alzheimer’s disease.","container-title":"ACS Chemical Neuroscience","DOI":"10.1021/acschemneuro.1c00150","issue":"13","journalAbbreviation":"ACS Chem. Neurosci.","note":"publisher: American Chemical Society","page":"2409-2420","source":"ACS Publications","title":"Multipronged Regulatory Functions of Serum Albumin in Early Stages of Amyloid-β Aggregation","URL":"https://doi.org/10.1021/acschemneuro.1c00150","volume":"12","author":[{"family":"Zhao","given":"Mengjuan"},{"family":"Guo","given":"Cong"}],"accessed":{"date-parts":[["2021",11,29]]},"issued":{"date-parts":[["2021",7,7]]},"citation-key":"zhao_multipronged_2021"}},{"id":8881,"uris":["http://zotero.org/groups/2667333/items/K4QYQDPH"],"itemData":{"id":8881,"type":"article-journal","abstract":"Alzheimer's disease (AD) is a neurodegenerative process characterized by the accumulation of extracellular deposits of amyloid β-peptide (Aβ), which induces neuronal death. Monomeric Aβ is not toxic but tends to aggregate into β-sheets that are neurotoxic. Therefore to prevent or delay AD onset and progression one of the main therapeutic approaches would be to impair Aβ assembly into oligomers and fibrils and to promote disaggregation of the preformed aggregate. Albumin is the most abundant protein in the cerebrospinal fluid and it was reported to bind Aβ impeding its aggregation. In a previous work we identified a 35-residue sequence of clusterin, a well-known protein that binds Aβ, that is highly similar to the C-terminus (CTerm) of albumin. In this work, the docking experiments show that the average binding free energy of the CTerm-Aβ1–42 simulations was significantly lower than that of the clusterin-Aβ1–42 binding, highlighting the possibility that the CTerm retains albumin's binding properties. To validate this observation, we performed in vitro structural analysis of soluble and aggregated 1 μM Aβ1–42 incubated with 5 μM CTerm, equimolar to the albumin concentration in the CSF. Reversed-phase chromatography and electron microscopy analysis demonstrated a reduction of Aβ1–42 aggregates when the CTerm was present. Furthermore, we treated a human neuroblastoma cell line with soluble and aggregated Aβ1–42 incubated with CTerm obtaining a significant protection against Aβ-induced neurotoxicity. These in silico and in vitro data suggest that the albumin CTerm is able to impair Aβ aggregation and to promote disassemble of Aβ aggregates protecting neurons.","container-title":"Computational and Structural Biotechnology Journal","DOI":"10.1016/j.csbj.2019.06.017","ISSN":"2001-0370","journalAbbreviation":"Computational and Structural Biotechnology Journal","language":"en","page":"963-971","source":"ScienceDirect","title":"Human Albumin Impairs Amyloid β-peptide Fibrillation Through its C-terminus: From docking Modeling to Protection Against Neurotoxicity in Alzheimer's disease","title-short":"Human Albumin Impairs Amyloid β-peptide Fibrillation Through its C-terminus","URL":"https://www.sciencedirect.com/science/article/pii/S2001037019300182","volume":"17","author":[{"family":"Picón-Pagès","given":"Pol"},{"family":"Bonet","given":"Jaume"},{"family":"García-García","given":"Javier"},{"family":"Garcia-Buendia","given":"Joan"},{"family":"Gutierrez","given":"Daniela"},{"family":"Valle","given":"Javier"},{"family":"Gómez-Casuso","given":"Carmen E. S."},{"family":"Sidelkivska","given":"Valeriya"},{"family":"Alvarez","given":"Alejandra"},{"family":"Perálvarez-Marín","given":"Alex"},{"family":"Suades","given":"Albert"},{"family":"Fernàndez-Busquets","given":"Xavier"},{"family":"Andreu","given":"David"},{"family":"Vicente","given":"Rubén"},{"family":"Oliva","given":"Baldomero"},{"family":"Muñoz","given":"Francisco J."}],"accessed":{"date-parts":[["2021",8,20]]},"issued":{"date-parts":[["2019",1,1]]},"citation-key":"picon-pages_human_2019"}},{"id":9064,"uris":["http://zotero.org/groups/2667333/items/F7ADVJGF"],"itemData":{"id":9064,"type":"article-journal","abstract":"Protein aggregation is a ubiquitous phenomenon underpinning the origins of a range of human diseases. The amyloid aggregation of human islet amyloid polypeptide (IAPP) and alpha synuclein (αS), specifically, is a hallmark of type 2 diabetes (T2D) and Parkinson's disease impacting millions of people worldwide. Although IAPP and αS are strongly associated with pancreatic β-cell islets and presynaptic terminals, they have also been found in blood circulation and the gut. While extensive biophysical and biochemical studies have been focused on IAPP and αS interacting with cell membranes or model lipid vesicles, the roles of plasma proteins on the amyloidosis and membrane association of these two major types of amyloid proteins have rarely been examined. Using a thioflavin T kinetic assay, transmission electron microscopy and a hemolysis assay here we show that human serum albumin, the most abundant protein in the plasma, impeded the fibrillization and mitigated membrane damage of both IAPP and αS. This study offers a new insight on the native inhibition of amyloidosis.","collection-title":"Protein Aggregation and Misfolding at the Cell Membrane Interface","container-title":"Biochimica et Biophysica Acta (BBA) - Biomembranes","DOI":"10.1016/j.bbamem.2018.01.015","ISSN":"0005-2736","issue":"9","journalAbbreviation":"Biochimica et Biophysica Acta (BBA) - Biomembranes","language":"en","page":"1803-1809","source":"ScienceDirect","title":"Serum albumin impedes the amyloid aggregation and hemolysis of human islet amyloid polypeptide and alpha synuclein","URL":"https://www.sciencedirect.com/science/article/pii/S000527361830021X","volume":"1860","author":[{"family":"Kakinen","given":"Aleksandr"},{"family":"Javed","given":"Ibrahim"},{"family":"Faridi","given":"Ava"},{"family":"Davis","given":"Thomas P."},{"family":"Ke","given":"Pu Chun"}],"accessed":{"date-parts":[["2021",9,13]]},"issued":{"date-parts":[["2018",9,1]]},"citation-key":"kakinen_serum_2018"}}],"schema":"https://github.com/citation-style-language/schema/raw/master/csl-citation.json"}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221–223</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Akin to amyloid, co-aggregation with albumin creates a soluble oligomeric form of [II] that is more toxic than its </w:t>
      </w:r>
      <w:r w:rsidRPr="002A7128">
        <w:rPr>
          <w:rFonts w:ascii="Calibri" w:hAnsi="Calibri" w:cs="Calibri"/>
        </w:rPr>
        <w:lastRenderedPageBreak/>
        <w:t xml:space="preserve">ﬁbril form. This study shows control over the aggregation kinetics and mechanism of [II] via albumin. The simplicity of [II] outlines the detailed characterization of aggregates and their interactions with the lipid membranes. The lipid membrane interaction is shown with liposomes and ﬂuorescent tagged peptides. The soluble form of peptides misfolded with albumin integrates into the lipid membrane of liposomes, while the ordered ﬁbril structures do not. The kinetics of the aggregations are studied with spectroscopic methods with ﬂuorescent probes. The morphology of misfolded oligomeric to ordered ﬁbrillar structures is analyzed by dynamic light scattering (DLS) and atomic force microscopy (AFM). The oligomeric form of [II] misfolded with albumin results in membrane damage and cellular cytotoxicity, whereas the fibrillar [II] without albumin does not. This pattern parallels membrane localization and is also observed in cellular cytotoxicity. By delaying the formation of thermodynamically favorable ordered fibrils via albumin or simply introducing the counterparts in diﬀerent time points, the soluble free peptides can localize into the membrane before they come together. Lastly, the mechanical cell stress induced by [II] is identiﬁed through the phosphorylation of yes-associated protein (YAP) and eukaryotic initiation factor 2 alpha (eIF2α), similar to the mechanism of </w:t>
      </w:r>
      <w:r w:rsidR="00453128">
        <w:rPr>
          <w:rFonts w:ascii="Calibri" w:hAnsi="Calibri" w:cs="Calibri"/>
        </w:rPr>
        <w:t>A</w:t>
      </w:r>
      <w:r w:rsidRPr="002A7128">
        <w:rPr>
          <w:rFonts w:ascii="Calibri" w:hAnsi="Calibri" w:cs="Calibri"/>
        </w:rPr>
        <w:t>β cytotoxicity. Importantly, we identiﬁed these stress markers in the cells treated with misfolded oligomers, not with ordered amyloid ﬁbrillar form of [II]. Overall, [II] offers a simplistic tool for investigating the effects of physical and biological processes in experiments to understand the aggregation mechanism and function of pathological proteins with amyloid-like structures.</w:t>
      </w:r>
    </w:p>
    <w:p w14:paraId="416C2473" w14:textId="01688011" w:rsidR="00680AEB" w:rsidRPr="002A7128" w:rsidRDefault="00680AEB" w:rsidP="007E6B98">
      <w:pPr>
        <w:spacing w:line="480" w:lineRule="auto"/>
        <w:ind w:firstLine="720"/>
        <w:jc w:val="both"/>
        <w:rPr>
          <w:rFonts w:ascii="Calibri" w:hAnsi="Calibri" w:cs="Calibri"/>
        </w:rPr>
      </w:pPr>
    </w:p>
    <w:p w14:paraId="4F65526B" w14:textId="0C1F106B" w:rsidR="00206DE1" w:rsidRPr="002B27CA" w:rsidRDefault="002212F0">
      <w:pPr>
        <w:pStyle w:val="Heading2"/>
        <w:numPr>
          <w:ilvl w:val="1"/>
          <w:numId w:val="8"/>
        </w:numPr>
        <w:spacing w:line="480" w:lineRule="auto"/>
        <w:rPr>
          <w:rFonts w:ascii="Calibri" w:hAnsi="Calibri" w:cs="Calibri"/>
        </w:rPr>
      </w:pPr>
      <w:bookmarkStart w:id="95" w:name="_Toc120794166"/>
      <w:r w:rsidRPr="002A7128">
        <w:rPr>
          <w:rFonts w:ascii="Calibri" w:hAnsi="Calibri" w:cs="Calibri"/>
        </w:rPr>
        <w:t>Results and Discussion</w:t>
      </w:r>
      <w:bookmarkEnd w:id="95"/>
    </w:p>
    <w:p w14:paraId="2ADB10F5" w14:textId="491D5C60" w:rsidR="00206DE1" w:rsidRDefault="00206DE1">
      <w:pPr>
        <w:pStyle w:val="Heading2"/>
        <w:numPr>
          <w:ilvl w:val="2"/>
          <w:numId w:val="8"/>
        </w:numPr>
        <w:rPr>
          <w:rFonts w:ascii="Calibri" w:hAnsi="Calibri" w:cs="Calibri"/>
        </w:rPr>
      </w:pPr>
      <w:bookmarkStart w:id="96" w:name="_Toc120794167"/>
      <w:r w:rsidRPr="002A7128">
        <w:rPr>
          <w:rFonts w:ascii="Calibri" w:hAnsi="Calibri" w:cs="Calibri"/>
        </w:rPr>
        <w:t>[II] aggregation kinetics depend on albumin concentration</w:t>
      </w:r>
      <w:bookmarkEnd w:id="96"/>
    </w:p>
    <w:p w14:paraId="066D9875" w14:textId="77777777" w:rsidR="002B27CA" w:rsidRPr="002B27CA" w:rsidRDefault="002B27CA" w:rsidP="002B27CA"/>
    <w:p w14:paraId="25E88C77" w14:textId="14A60AF9" w:rsidR="00206DE1" w:rsidRPr="002A7128" w:rsidRDefault="00A001CE" w:rsidP="00A83FFC">
      <w:pPr>
        <w:spacing w:line="480" w:lineRule="auto"/>
        <w:jc w:val="both"/>
        <w:rPr>
          <w:rFonts w:ascii="Calibri" w:hAnsi="Calibri" w:cs="Calibri"/>
        </w:rPr>
      </w:pPr>
      <w:r w:rsidRPr="002A7128">
        <w:rPr>
          <w:rFonts w:ascii="Calibri" w:hAnsi="Calibri" w:cs="Calibri"/>
        </w:rPr>
        <w:lastRenderedPageBreak/>
        <w:t>The oligomeric form of [II] with increasing amounts of albumin was visualized through AFM imaging.</w:t>
      </w:r>
      <w:r w:rsidR="00A83FFC" w:rsidRPr="002A7128">
        <w:rPr>
          <w:rFonts w:ascii="Calibri" w:hAnsi="Calibri" w:cs="Calibri"/>
        </w:rPr>
        <w:t xml:space="preserve"> Lowering the amount of albumin resulted in increased fibrillar structures, while increasing the amount of albumin to 0.2% and 2% resulted in the formation of oligomer like structures (</w:t>
      </w:r>
      <w:r w:rsidR="00A83FFC" w:rsidRPr="002A7128">
        <w:rPr>
          <w:rFonts w:ascii="Calibri" w:hAnsi="Calibri" w:cs="Calibri"/>
        </w:rPr>
        <w:fldChar w:fldCharType="begin"/>
      </w:r>
      <w:r w:rsidR="00A83FFC" w:rsidRPr="002A7128">
        <w:rPr>
          <w:rFonts w:ascii="Calibri" w:hAnsi="Calibri" w:cs="Calibri"/>
        </w:rPr>
        <w:instrText xml:space="preserve"> REF _Ref116305126  \* MERGEFORMAT </w:instrText>
      </w:r>
      <w:r w:rsidR="00A83FFC"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15</w:t>
      </w:r>
      <w:r w:rsidR="00A83FFC" w:rsidRPr="002A7128">
        <w:rPr>
          <w:rFonts w:ascii="Calibri" w:hAnsi="Calibri" w:cs="Calibri"/>
        </w:rPr>
        <w:fldChar w:fldCharType="end"/>
      </w:r>
      <w:r w:rsidR="00A83FFC" w:rsidRPr="002A7128">
        <w:rPr>
          <w:rFonts w:ascii="Calibri" w:hAnsi="Calibri" w:cs="Calibri"/>
        </w:rPr>
        <w:t>).</w:t>
      </w:r>
    </w:p>
    <w:p w14:paraId="028FCB46" w14:textId="6175E15E" w:rsidR="00206DE1" w:rsidRPr="002A7128" w:rsidRDefault="00206DE1" w:rsidP="00206DE1">
      <w:pPr>
        <w:rPr>
          <w:rFonts w:ascii="Calibri" w:hAnsi="Calibri" w:cs="Calibri"/>
        </w:rPr>
      </w:pPr>
    </w:p>
    <w:p w14:paraId="5D64CAD5" w14:textId="77777777" w:rsidR="00206DE1" w:rsidRPr="002A7128" w:rsidRDefault="00206DE1" w:rsidP="00206DE1">
      <w:pPr>
        <w:keepNext/>
        <w:spacing w:line="480" w:lineRule="auto"/>
        <w:rPr>
          <w:rFonts w:ascii="Calibri" w:hAnsi="Calibri" w:cs="Calibri"/>
        </w:rPr>
      </w:pPr>
      <w:r w:rsidRPr="002A7128">
        <w:rPr>
          <w:rFonts w:ascii="Calibri" w:hAnsi="Calibri" w:cs="Calibri"/>
          <w:noProof/>
          <w:sz w:val="20"/>
        </w:rPr>
        <w:drawing>
          <wp:inline distT="0" distB="0" distL="0" distR="0" wp14:anchorId="12F53FDB" wp14:editId="659F68EE">
            <wp:extent cx="5676868" cy="1273175"/>
            <wp:effectExtent l="0" t="0" r="635" b="0"/>
            <wp:docPr id="35" name="image2.png"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picture containing graphical user interface&#10;&#10;Description automatically generated"/>
                    <pic:cNvPicPr/>
                  </pic:nvPicPr>
                  <pic:blipFill rotWithShape="1">
                    <a:blip r:embed="rId24" cstate="print"/>
                    <a:srcRect l="2126" t="27517" b="53841"/>
                    <a:stretch/>
                  </pic:blipFill>
                  <pic:spPr bwMode="auto">
                    <a:xfrm>
                      <a:off x="0" y="0"/>
                      <a:ext cx="5694520" cy="1277134"/>
                    </a:xfrm>
                    <a:prstGeom prst="rect">
                      <a:avLst/>
                    </a:prstGeom>
                    <a:ln>
                      <a:noFill/>
                    </a:ln>
                    <a:extLst>
                      <a:ext uri="{53640926-AAD7-44D8-BBD7-CCE9431645EC}">
                        <a14:shadowObscured xmlns:a14="http://schemas.microsoft.com/office/drawing/2010/main"/>
                      </a:ext>
                    </a:extLst>
                  </pic:spPr>
                </pic:pic>
              </a:graphicData>
            </a:graphic>
          </wp:inline>
        </w:drawing>
      </w:r>
    </w:p>
    <w:p w14:paraId="4B612C78" w14:textId="21526A55" w:rsidR="00206DE1" w:rsidRPr="002B27CA" w:rsidRDefault="00206DE1" w:rsidP="002B27CA">
      <w:pPr>
        <w:pStyle w:val="Caption"/>
        <w:spacing w:line="480" w:lineRule="auto"/>
        <w:rPr>
          <w:rFonts w:ascii="Calibri" w:hAnsi="Calibri" w:cs="Calibri"/>
          <w:i w:val="0"/>
          <w:iCs w:val="0"/>
          <w:color w:val="000000" w:themeColor="text1"/>
          <w:sz w:val="24"/>
          <w:szCs w:val="24"/>
        </w:rPr>
      </w:pPr>
      <w:bookmarkStart w:id="97" w:name="_Ref116305126"/>
      <w:bookmarkStart w:id="98" w:name="_Toc120789433"/>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15</w:t>
      </w:r>
      <w:r w:rsidRPr="002A7128">
        <w:rPr>
          <w:rFonts w:ascii="Calibri" w:hAnsi="Calibri" w:cs="Calibri"/>
          <w:b/>
          <w:bCs/>
          <w:i w:val="0"/>
          <w:iCs w:val="0"/>
          <w:color w:val="000000" w:themeColor="text1"/>
          <w:sz w:val="24"/>
          <w:szCs w:val="24"/>
        </w:rPr>
        <w:fldChar w:fldCharType="end"/>
      </w:r>
      <w:bookmarkEnd w:id="97"/>
      <w:r w:rsidRPr="002A7128">
        <w:rPr>
          <w:rFonts w:ascii="Calibri" w:hAnsi="Calibri" w:cs="Calibri"/>
          <w:b/>
          <w:bCs/>
          <w:i w:val="0"/>
          <w:iCs w:val="0"/>
          <w:color w:val="000000" w:themeColor="text1"/>
          <w:sz w:val="24"/>
          <w:szCs w:val="24"/>
        </w:rPr>
        <w:t xml:space="preserve"> Aggregation kinetics depend on albumin concentration. </w:t>
      </w:r>
      <w:r w:rsidRPr="002A7128">
        <w:rPr>
          <w:rFonts w:ascii="Calibri" w:hAnsi="Calibri" w:cs="Calibri"/>
          <w:i w:val="0"/>
          <w:iCs w:val="0"/>
          <w:color w:val="000000" w:themeColor="text1"/>
          <w:sz w:val="24"/>
          <w:szCs w:val="24"/>
        </w:rPr>
        <w:t>AFM images of [II]-albumin structures (Scale bar = 100 nm).</w:t>
      </w:r>
      <w:bookmarkEnd w:id="98"/>
      <w:r w:rsidRPr="002A7128">
        <w:rPr>
          <w:rFonts w:ascii="Calibri" w:hAnsi="Calibri" w:cs="Calibri"/>
          <w:i w:val="0"/>
          <w:iCs w:val="0"/>
          <w:color w:val="000000" w:themeColor="text1"/>
          <w:sz w:val="24"/>
          <w:szCs w:val="24"/>
        </w:rPr>
        <w:t xml:space="preserve"> </w:t>
      </w:r>
    </w:p>
    <w:p w14:paraId="4A63E6D8" w14:textId="1D1181E0" w:rsidR="00680AEB" w:rsidRPr="002A7128" w:rsidRDefault="00680AEB">
      <w:pPr>
        <w:pStyle w:val="Heading2"/>
        <w:numPr>
          <w:ilvl w:val="2"/>
          <w:numId w:val="8"/>
        </w:numPr>
        <w:spacing w:line="480" w:lineRule="auto"/>
        <w:rPr>
          <w:rFonts w:ascii="Calibri" w:hAnsi="Calibri" w:cs="Calibri"/>
        </w:rPr>
      </w:pPr>
      <w:bookmarkStart w:id="99" w:name="_Toc120794168"/>
      <w:r w:rsidRPr="002A7128">
        <w:rPr>
          <w:rFonts w:ascii="Calibri" w:eastAsia="Times New Roman" w:hAnsi="Calibri" w:cs="Calibri"/>
        </w:rPr>
        <w:t>[II] aggregation induces cell stress</w:t>
      </w:r>
      <w:bookmarkEnd w:id="99"/>
    </w:p>
    <w:p w14:paraId="5261758D" w14:textId="0DEEB631" w:rsidR="007E6B98" w:rsidRPr="002A7128" w:rsidRDefault="007E6B98" w:rsidP="007E6B98">
      <w:pPr>
        <w:spacing w:line="480" w:lineRule="auto"/>
        <w:ind w:firstLine="720"/>
        <w:jc w:val="both"/>
        <w:rPr>
          <w:rFonts w:ascii="Calibri" w:hAnsi="Calibri" w:cs="Calibri"/>
        </w:rPr>
      </w:pPr>
      <w:r w:rsidRPr="002A7128">
        <w:rPr>
          <w:rFonts w:ascii="Calibri" w:hAnsi="Calibri" w:cs="Calibri"/>
        </w:rPr>
        <w:t>The cell plasma membrane senses external stimuli to adapt to changes through intracellular signaling. One pathway responding against various external stimuli such as mechanical stress is the Hippo pathway. Aβ 1-42- mediated neurodegeneration involves the activation of the Hippo pathway</w:t>
      </w:r>
      <w:r w:rsidRPr="002A7128">
        <w:rPr>
          <w:rFonts w:ascii="Calibri" w:hAnsi="Calibri" w:cs="Calibri"/>
        </w:rPr>
        <w:fldChar w:fldCharType="begin"/>
      </w:r>
      <w:r w:rsidR="00A64B61" w:rsidRPr="002A7128">
        <w:rPr>
          <w:rFonts w:ascii="Calibri" w:hAnsi="Calibri" w:cs="Calibri"/>
        </w:rPr>
        <w:instrText xml:space="preserve"> ADDIN ZOTERO_ITEM CSL_CITATION {"citationID":"gJvraeLF","properties":{"formattedCitation":"\\super 125\\nosupersub{}","plainCitation":"125","noteIndex":0},"citationItems":[{"id":10400,"uris":["http://zotero.org/groups/2667333/items/7LA3NFNP"],"itemData":{"id":10400,"type":"article-journal","container-title":"Frontiers in Cell and Developmental Biology","DOI":"10.3389/fcell.2020.00117","ISSN":"2296-634X","journalAbbreviation":"Front. Cell Dev. Biol.","page":"117","source":"DOI.org (Crossref)","title":"A Positive Feedback Loop of Hippo- and c-Jun-Amino-Terminal Kinase Signaling Pathways Regulates Amyloid-Beta-Mediated Neurodegeneration","URL":"https://www.frontiersin.org/article/10.3389/fcell.2020.00117/full","volume":"8","author":[{"family":"Irwin","given":"Madison"},{"family":"Tare","given":"Meghana"},{"family":"Singh","given":"Aditi"},{"family":"Puli","given":"Oorvashi Roy"},{"family":"Gogia","given":"Neha"},{"family":"Riccetti","given":"Matthew"},{"family":"Deshpande","given":"Prajakta"},{"family":"Kango-Singh","given":"Madhuri"},{"family":"Singh","given":"Amit"}],"accessed":{"date-parts":[["2022",4,27]]},"issued":{"date-parts":[["2020",3,13]]},"citation-key":"irwin_positive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125</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One of the central proteins within the Hippo pathway is YAP. YAP is a transcription factor found in the nucleus in active form and gets inactivated when translocated to the cytoplasm. We treated the cells to analyze the eﬀect of [II] aggregation on YAP localization. At the early time points, 30 min, YAP localized in the cytoplasm</w:t>
      </w:r>
      <w:r w:rsidR="00C276EC" w:rsidRPr="002A7128">
        <w:rPr>
          <w:rFonts w:ascii="Calibri" w:hAnsi="Calibri" w:cs="Calibri"/>
        </w:rPr>
        <w:t xml:space="preserve"> (</w:t>
      </w:r>
      <w:r w:rsidR="00C276EC" w:rsidRPr="002A7128">
        <w:rPr>
          <w:rFonts w:ascii="Calibri" w:hAnsi="Calibri" w:cs="Calibri"/>
        </w:rPr>
        <w:fldChar w:fldCharType="begin"/>
      </w:r>
      <w:r w:rsidR="00C276EC" w:rsidRPr="002A7128">
        <w:rPr>
          <w:rFonts w:ascii="Calibri" w:hAnsi="Calibri" w:cs="Calibri"/>
        </w:rPr>
        <w:instrText xml:space="preserve"> REF _Ref105238769  \* MERGEFORMAT </w:instrText>
      </w:r>
      <w:r w:rsidR="00C276EC"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16</w:t>
      </w:r>
      <w:r w:rsidR="00C276EC" w:rsidRPr="002A7128">
        <w:rPr>
          <w:rFonts w:ascii="Calibri" w:hAnsi="Calibri" w:cs="Calibri"/>
        </w:rPr>
        <w:fldChar w:fldCharType="end"/>
      </w:r>
      <w:r w:rsidR="00C276EC" w:rsidRPr="002A7128">
        <w:rPr>
          <w:rFonts w:ascii="Calibri" w:hAnsi="Calibri" w:cs="Calibri"/>
        </w:rPr>
        <w:t>A).</w:t>
      </w:r>
      <w:r w:rsidRPr="002A7128">
        <w:rPr>
          <w:rFonts w:ascii="Calibri" w:hAnsi="Calibri" w:cs="Calibri"/>
        </w:rPr>
        <w:t xml:space="preserve"> More speciﬁcally, cytoplasmic localization of YAP is mediated by its phosphorylation (Serine 127 (S127)), leading to its inactivation</w:t>
      </w:r>
      <w:r w:rsidRPr="002A7128">
        <w:rPr>
          <w:rFonts w:ascii="Calibri" w:hAnsi="Calibri" w:cs="Calibri"/>
        </w:rPr>
        <w:fldChar w:fldCharType="begin"/>
      </w:r>
      <w:r w:rsidR="00A64B61" w:rsidRPr="002A7128">
        <w:rPr>
          <w:rFonts w:ascii="Calibri" w:hAnsi="Calibri" w:cs="Calibri"/>
        </w:rPr>
        <w:instrText xml:space="preserve"> ADDIN ZOTERO_ITEM CSL_CITATION {"citationID":"Yac8sONm","properties":{"formattedCitation":"\\super 126\\nosupersub{}","plainCitation":"126","noteIndex":0},"citationItems":[{"id":10373,"uris":["http://zotero.org/groups/2667333/items/MQRRSPPZ"],"itemData":{"id":10373,"type":"article-journal","container-title":"Journal of Biological Chemistry","DOI":"10.1074/jbc.M709037200","ISSN":"00219258","issue":"9","journalAbbreviation":"Journal of Biological Chemistry","language":"en","page":"5496-5509","source":"DOI.org (Crossref)","title":"Tumor Suppressor LATS1 Is a Negative Regulator of Oncogene YAP","URL":"https://linkinghub.elsevier.com/retrieve/pii/S0021925820572700","volume":"283","author":[{"family":"Hao","given":"Yawei"},{"family":"Chun","given":"Alex"},{"family":"Cheung","given":"Kevin"},{"family":"Rashidi","given":"Babak"},{"family":"Yang","given":"Xiaolong"}],"accessed":{"date-parts":[["2022",4,25]]},"issued":{"date-parts":[["2008",2]]},"citation-key":"hao_tumor_2008"},"locator":"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126</w:t>
      </w:r>
      <w:r w:rsidRPr="002A7128">
        <w:rPr>
          <w:rFonts w:ascii="Calibri" w:hAnsi="Calibri" w:cs="Calibri"/>
        </w:rPr>
        <w:fldChar w:fldCharType="end"/>
      </w:r>
      <w:r w:rsidRPr="002A7128">
        <w:rPr>
          <w:rFonts w:ascii="Calibri" w:hAnsi="Calibri" w:cs="Calibri"/>
        </w:rPr>
        <w:t xml:space="preserve"> and degradation</w:t>
      </w:r>
      <w:r w:rsidRPr="002A7128">
        <w:rPr>
          <w:rFonts w:ascii="Calibri" w:hAnsi="Calibri" w:cs="Calibri"/>
        </w:rPr>
        <w:fldChar w:fldCharType="begin"/>
      </w:r>
      <w:r w:rsidR="00A64B61" w:rsidRPr="002A7128">
        <w:rPr>
          <w:rFonts w:ascii="Calibri" w:hAnsi="Calibri" w:cs="Calibri"/>
        </w:rPr>
        <w:instrText xml:space="preserve"> ADDIN ZOTERO_ITEM CSL_CITATION {"citationID":"PWRrjkab","properties":{"formattedCitation":"\\super 127\\nosupersub{}","plainCitation":"127","noteIndex":0},"citationItems":[{"id":10398,"uris":["http://zotero.org/groups/2667333/items/F5WJUXQE"],"itemData":{"id":10398,"type":"article-journal","container-title":"Oncology Letters","DOI":"10.3892/ol.2016.4955","ISSN":"1792-1074, 1792-1082","issue":"4","language":"en","page":"2277-2282","source":"DOI.org (Crossref)","title":"Role of Yes-associated protein in cancer: An update","title-short":"Role of Yes-associated protein in cancer","URL":"https://www.spandidos-publications.com/10.3892/ol.2016.4955","volume":"12","author":[{"family":"Abylkassov","given":"Ramazan"},{"family":"Xie","given":"Yingqiu"}],"accessed":{"date-parts":[["2022",4,27]]},"issued":{"date-parts":[["2016",10]]},"citation-key":"abylkassov_role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127</w:t>
      </w:r>
      <w:r w:rsidRPr="002A7128">
        <w:rPr>
          <w:rFonts w:ascii="Calibri" w:hAnsi="Calibri" w:cs="Calibri"/>
        </w:rPr>
        <w:fldChar w:fldCharType="end"/>
      </w:r>
      <w:r w:rsidR="003364FE">
        <w:rPr>
          <w:rFonts w:ascii="Calibri" w:hAnsi="Calibri" w:cs="Calibri"/>
        </w:rPr>
        <w:t>.</w:t>
      </w:r>
      <w:r w:rsidRPr="002A7128">
        <w:rPr>
          <w:rFonts w:ascii="Calibri" w:hAnsi="Calibri" w:cs="Calibri"/>
        </w:rPr>
        <w:t xml:space="preserve"> Upon administration of [II] with 0.2 w% albumin, YAP phosphorylation in the cytoplasm can be observed green at 30 min and 1h </w:t>
      </w:r>
      <w:r w:rsidRPr="002A7128">
        <w:rPr>
          <w:rFonts w:ascii="Calibri" w:hAnsi="Calibri" w:cs="Calibri"/>
          <w:b/>
        </w:rPr>
        <w:t>(</w:t>
      </w:r>
      <w:r w:rsidR="00C276EC" w:rsidRPr="002A7128">
        <w:rPr>
          <w:rFonts w:ascii="Calibri" w:hAnsi="Calibri" w:cs="Calibri"/>
          <w:b/>
        </w:rPr>
        <w:fldChar w:fldCharType="begin"/>
      </w:r>
      <w:r w:rsidR="00C276EC" w:rsidRPr="002A7128">
        <w:rPr>
          <w:rFonts w:ascii="Calibri" w:hAnsi="Calibri" w:cs="Calibri"/>
          <w:b/>
        </w:rPr>
        <w:instrText xml:space="preserve"> REF _Ref105238769  \* MERGEFORMAT </w:instrText>
      </w:r>
      <w:r w:rsidR="00C276EC" w:rsidRPr="002A7128">
        <w:rPr>
          <w:rFonts w:ascii="Calibri" w:hAnsi="Calibri" w:cs="Calibri"/>
          <w:b/>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lastRenderedPageBreak/>
        <w:t>16</w:t>
      </w:r>
      <w:r w:rsidR="00C276EC" w:rsidRPr="002A7128">
        <w:rPr>
          <w:rFonts w:ascii="Calibri" w:hAnsi="Calibri" w:cs="Calibri"/>
          <w:b/>
        </w:rPr>
        <w:fldChar w:fldCharType="end"/>
      </w:r>
      <w:r w:rsidR="00C276EC" w:rsidRPr="002A7128">
        <w:rPr>
          <w:rFonts w:ascii="Calibri" w:hAnsi="Calibri" w:cs="Calibri"/>
          <w:b/>
        </w:rPr>
        <w:t>B</w:t>
      </w:r>
      <w:r w:rsidRPr="002A7128">
        <w:rPr>
          <w:rFonts w:ascii="Calibri" w:hAnsi="Calibri" w:cs="Calibri"/>
          <w:b/>
        </w:rPr>
        <w:t xml:space="preserve">, </w:t>
      </w:r>
      <w:r w:rsidR="00C276EC" w:rsidRPr="002A7128">
        <w:rPr>
          <w:rFonts w:ascii="Calibri" w:hAnsi="Calibri" w:cs="Calibri"/>
          <w:b/>
        </w:rPr>
        <w:fldChar w:fldCharType="begin"/>
      </w:r>
      <w:r w:rsidR="00C276EC" w:rsidRPr="002A7128">
        <w:rPr>
          <w:rFonts w:ascii="Calibri" w:hAnsi="Calibri" w:cs="Calibri"/>
          <w:b/>
        </w:rPr>
        <w:instrText xml:space="preserve"> REF _Ref116303038  \* MERGEFORMAT </w:instrText>
      </w:r>
      <w:r w:rsidR="00C276EC" w:rsidRPr="002A7128">
        <w:rPr>
          <w:rFonts w:ascii="Calibri" w:hAnsi="Calibri" w:cs="Calibri"/>
          <w:b/>
        </w:rPr>
        <w:fldChar w:fldCharType="separate"/>
      </w:r>
      <w:r w:rsidR="007D711E" w:rsidRPr="002A7128">
        <w:rPr>
          <w:rFonts w:ascii="Calibri" w:hAnsi="Calibri" w:cs="Calibri"/>
          <w:color w:val="000000" w:themeColor="text1"/>
        </w:rPr>
        <w:t xml:space="preserve">Figure </w:t>
      </w:r>
      <w:r w:rsidR="007D711E" w:rsidRPr="002A7128">
        <w:rPr>
          <w:rFonts w:ascii="Calibri" w:hAnsi="Calibri" w:cs="Calibri"/>
          <w:noProof/>
          <w:color w:val="000000" w:themeColor="text1"/>
        </w:rPr>
        <w:t>17</w:t>
      </w:r>
      <w:r w:rsidR="00C276EC" w:rsidRPr="002A7128">
        <w:rPr>
          <w:rFonts w:ascii="Calibri" w:hAnsi="Calibri" w:cs="Calibri"/>
          <w:b/>
        </w:rPr>
        <w:fldChar w:fldCharType="end"/>
      </w:r>
      <w:r w:rsidRPr="002A7128">
        <w:rPr>
          <w:rFonts w:ascii="Calibri" w:hAnsi="Calibri" w:cs="Calibri"/>
          <w:b/>
        </w:rPr>
        <w:t>)</w:t>
      </w:r>
      <w:r w:rsidRPr="002A7128">
        <w:rPr>
          <w:rFonts w:ascii="Calibri" w:hAnsi="Calibri" w:cs="Calibri"/>
        </w:rPr>
        <w:t xml:space="preserve">. However, after 1h, phosphorylated YAP in the cytoplasm starts to degrade, which is parallel with YAP localization to the cytoplasm at early time points (30 min). Western blot results also conﬁrmed the phosphorylation of YAP and degradation </w:t>
      </w:r>
      <w:r w:rsidRPr="002A7128">
        <w:rPr>
          <w:rFonts w:ascii="Calibri" w:hAnsi="Calibri" w:cs="Calibri"/>
          <w:b/>
        </w:rPr>
        <w:t>(</w:t>
      </w:r>
      <w:r w:rsidR="002F66E8" w:rsidRPr="002A7128">
        <w:rPr>
          <w:rFonts w:ascii="Calibri" w:hAnsi="Calibri" w:cs="Calibri"/>
          <w:b/>
        </w:rPr>
        <w:fldChar w:fldCharType="begin"/>
      </w:r>
      <w:r w:rsidR="002F66E8" w:rsidRPr="002A7128">
        <w:rPr>
          <w:rFonts w:ascii="Calibri" w:hAnsi="Calibri" w:cs="Calibri"/>
          <w:b/>
        </w:rPr>
        <w:instrText xml:space="preserve"> REF _Ref105238769  \* MERGEFORMAT </w:instrText>
      </w:r>
      <w:r w:rsidR="002F66E8" w:rsidRPr="002A7128">
        <w:rPr>
          <w:rFonts w:ascii="Calibri" w:hAnsi="Calibri" w:cs="Calibri"/>
          <w:b/>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16</w:t>
      </w:r>
      <w:r w:rsidR="002F66E8" w:rsidRPr="002A7128">
        <w:rPr>
          <w:rFonts w:ascii="Calibri" w:hAnsi="Calibri" w:cs="Calibri"/>
          <w:b/>
        </w:rPr>
        <w:fldChar w:fldCharType="end"/>
      </w:r>
      <w:r w:rsidR="002F66E8" w:rsidRPr="002A7128">
        <w:rPr>
          <w:rFonts w:ascii="Calibri" w:hAnsi="Calibri" w:cs="Calibri"/>
          <w:b/>
        </w:rPr>
        <w:t>C</w:t>
      </w:r>
      <w:r w:rsidRPr="002A7128">
        <w:rPr>
          <w:rFonts w:ascii="Calibri" w:hAnsi="Calibri" w:cs="Calibri"/>
          <w:b/>
        </w:rPr>
        <w:t>)</w:t>
      </w:r>
      <w:r w:rsidRPr="002A7128">
        <w:rPr>
          <w:rFonts w:ascii="Calibri" w:hAnsi="Calibri" w:cs="Calibri"/>
        </w:rPr>
        <w:t>. Together these results show that [II] aggregation is inducing cytoplasmic localization of YAP through its phosphorylation, thus related to the mechanical stress on the cell membrane.</w:t>
      </w:r>
    </w:p>
    <w:p w14:paraId="7FE796E2" w14:textId="3620A405" w:rsidR="007E6B98" w:rsidRPr="002A7128" w:rsidRDefault="00000000" w:rsidP="007E6B98">
      <w:pPr>
        <w:spacing w:line="480" w:lineRule="auto"/>
        <w:ind w:firstLine="720"/>
        <w:jc w:val="both"/>
        <w:rPr>
          <w:rFonts w:ascii="Calibri" w:hAnsi="Calibri" w:cs="Calibri"/>
        </w:rPr>
      </w:pPr>
      <w:sdt>
        <w:sdtPr>
          <w:rPr>
            <w:rFonts w:ascii="Calibri" w:hAnsi="Calibri" w:cs="Calibri"/>
          </w:rPr>
          <w:tag w:val="goog_rdk_1"/>
          <w:id w:val="1774896096"/>
          <w:showingPlcHdr/>
        </w:sdtPr>
        <w:sdtContent>
          <w:r w:rsidR="007E6B98" w:rsidRPr="002A7128">
            <w:rPr>
              <w:rFonts w:ascii="Calibri" w:hAnsi="Calibri" w:cs="Calibri"/>
            </w:rPr>
            <w:t xml:space="preserve">     </w:t>
          </w:r>
        </w:sdtContent>
      </w:sdt>
      <w:r w:rsidR="007E6B98" w:rsidRPr="002A7128">
        <w:rPr>
          <w:rFonts w:ascii="Calibri" w:hAnsi="Calibri" w:cs="Calibri"/>
        </w:rPr>
        <w:t>eIF2α is another factor integrated into the stress response to external stimuli. Under cell stress, eIF2α gets phosphorylated and initiates the activation of genes responsible for stress response. Phosphorylation of eIF2α is a consistent marker in various neurodegenerative diseases,</w:t>
      </w:r>
      <w:r w:rsidR="007E6B98" w:rsidRPr="002A7128">
        <w:rPr>
          <w:rFonts w:ascii="Calibri" w:hAnsi="Calibri" w:cs="Calibri"/>
        </w:rPr>
        <w:fldChar w:fldCharType="begin"/>
      </w:r>
      <w:r w:rsidR="00A64B61" w:rsidRPr="002A7128">
        <w:rPr>
          <w:rFonts w:ascii="Calibri" w:hAnsi="Calibri" w:cs="Calibri"/>
        </w:rPr>
        <w:instrText xml:space="preserve"> ADDIN ZOTERO_ITEM CSL_CITATION {"citationID":"vnN7irOA","properties":{"formattedCitation":"\\super 224\\nosupersub{}","plainCitation":"224","noteIndex":0},"citationItems":[{"id":10479,"uris":["http://zotero.org/groups/2667333/items/HSN2TUD9"],"itemData":{"id":10479,"type":"article-journal","abstract":"Abstract\n            The proposed molecular mechanisms underlying neurodegenerative pathogenesis are varied, precluding the development of effective therapies for these increasingly prevalent disorders. One of the most consistent observations across neurodegenerative diseases is the phosphorylation of eukaryotic initiation factor 2α (eIF2α). eIF2α is a translation initiation factor, involved in cap-dependent protein translation, which when phosphorylated causes global translation attenuation. eIF2α phosphorylation is mediated by 4 kinases, which, together with their downstream signaling cascades, constitute the integrated stress response (ISR). While the ISR is activated by stresses commonly observed in neurodegeneration, such as oxidative stress, endoplasmic reticulum stress, and inflammation, it is a canonically adaptive signaling cascade. However, chronic activation of the ISR can contribute to neurodegenerative phenotypes such as neuronal death, memory impairments, and protein aggregation via apoptotic induction and other maladaptive outcomes downstream of phospho-eIF2α-mediated translation inhibition, including neuroinflammation and altered amyloidogenic processing, plausibly in a feed-forward manner. This review examines evidence that dysregulated eIF2a phosphorylation acts as a driver of neurodegeneration, including a survey of observations of ISR signaling in human disease, inspection of the overlap between ISR signaling and neurodegenerative phenomenon, and assessment of recent encouraging findings ameliorating neurodegeneration using developing pharmacological agents which target the ISR. In doing so, gaps in the field, including crosstalk of the ISR kinases and consideration of ISR signaling in nonneuronal central nervous system cell types, are highlighted.","container-title":"Journal of Neuropathology &amp; Experimental Neurology","DOI":"10.1093/jnen/nlz129","ISSN":"0022-3069, 1554-6578","issue":"2","language":"en","page":"123-143","source":"DOI.org (Crossref)","title":"The Integrated Stress Response and Phosphorylated Eukaryotic Initiation Factor 2α in Neurodegeneration","URL":"https://academic.oup.com/jnen/article/79/2/123/5698291","volume":"79","author":[{"family":"Bond","given":"Sarah"},{"family":"Lopez-Lloreda","given":"Claudia"},{"family":"Gannon","given":"Patrick J"},{"family":"Akay-Espinoza","given":"Cagla"},{"family":"Jordan-Sciutto","given":"Kelly L"}],"accessed":{"date-parts":[["2022",5,3]]},"issued":{"date-parts":[["2020",2,1]]},"citation-key":"bond_integrated_2020"}}],"schema":"https://github.com/citation-style-language/schema/raw/master/csl-citation.json"} </w:instrText>
      </w:r>
      <w:r w:rsidR="007E6B98" w:rsidRPr="002A7128">
        <w:rPr>
          <w:rFonts w:ascii="Calibri" w:hAnsi="Calibri" w:cs="Calibri"/>
        </w:rPr>
        <w:fldChar w:fldCharType="separate"/>
      </w:r>
      <w:r w:rsidR="00A64B61" w:rsidRPr="002A7128">
        <w:rPr>
          <w:rFonts w:ascii="Calibri" w:hAnsi="Calibri" w:cs="Calibri"/>
          <w:vertAlign w:val="superscript"/>
        </w:rPr>
        <w:t>224</w:t>
      </w:r>
      <w:r w:rsidR="007E6B98" w:rsidRPr="002A7128">
        <w:rPr>
          <w:rFonts w:ascii="Calibri" w:hAnsi="Calibri" w:cs="Calibri"/>
        </w:rPr>
        <w:fldChar w:fldCharType="end"/>
      </w:r>
      <w:r w:rsidR="007E6B98" w:rsidRPr="002A7128">
        <w:rPr>
          <w:rFonts w:ascii="Calibri" w:hAnsi="Calibri" w:cs="Calibri"/>
        </w:rPr>
        <w:t xml:space="preserve"> including AD</w:t>
      </w:r>
      <w:r w:rsidR="007E6B98" w:rsidRPr="002A7128">
        <w:rPr>
          <w:rFonts w:ascii="Calibri" w:hAnsi="Calibri" w:cs="Calibri"/>
        </w:rPr>
        <w:fldChar w:fldCharType="begin"/>
      </w:r>
      <w:r w:rsidR="00A64B61" w:rsidRPr="002A7128">
        <w:rPr>
          <w:rFonts w:ascii="Calibri" w:hAnsi="Calibri" w:cs="Calibri"/>
        </w:rPr>
        <w:instrText xml:space="preserve"> ADDIN ZOTERO_ITEM CSL_CITATION {"citationID":"ukyf3Az6","properties":{"formattedCitation":"\\super 225\\nosupersub{}","plainCitation":"225","noteIndex":0},"citationItems":[{"id":10481,"uris":["http://zotero.org/groups/2667333/items/GYD8JBNU"],"itemData":{"id":10481,"type":"article-journal","container-title":"Frontiers in Molecular Neuroscience","DOI":"10.3389/fnmol.2014.00022","ISSN":"1662-5099","journalAbbreviation":"Front. Mol. Neurosci.","source":"DOI.org (Crossref)","title":"Roles of eIF2Î± kinases in the pathogenesis of Alzheimerâ€™s disease","URL":"http://journal.frontiersin.org/article/10.3389/fnmol.2014.00022/abstract","volume":"7","author":[{"family":"Ohno","given":"Masuo"}],"accessed":{"date-parts":[["2022",5,3]]},"issued":{"date-parts":[["2014",4,16]]},"citation-key":"ohno_roles_2014"}}],"schema":"https://github.com/citation-style-language/schema/raw/master/csl-citation.json"} </w:instrText>
      </w:r>
      <w:r w:rsidR="007E6B98" w:rsidRPr="002A7128">
        <w:rPr>
          <w:rFonts w:ascii="Calibri" w:hAnsi="Calibri" w:cs="Calibri"/>
        </w:rPr>
        <w:fldChar w:fldCharType="separate"/>
      </w:r>
      <w:r w:rsidR="00A64B61" w:rsidRPr="002A7128">
        <w:rPr>
          <w:rFonts w:ascii="Calibri" w:hAnsi="Calibri" w:cs="Calibri"/>
          <w:vertAlign w:val="superscript"/>
        </w:rPr>
        <w:t>225</w:t>
      </w:r>
      <w:r w:rsidR="007E6B98" w:rsidRPr="002A7128">
        <w:rPr>
          <w:rFonts w:ascii="Calibri" w:hAnsi="Calibri" w:cs="Calibri"/>
        </w:rPr>
        <w:fldChar w:fldCharType="end"/>
      </w:r>
      <w:r w:rsidR="001A2A45">
        <w:rPr>
          <w:rFonts w:ascii="Calibri" w:hAnsi="Calibri" w:cs="Calibri"/>
        </w:rPr>
        <w:t>.</w:t>
      </w:r>
      <w:r w:rsidR="007E6B98" w:rsidRPr="002A7128">
        <w:rPr>
          <w:rFonts w:ascii="Calibri" w:hAnsi="Calibri" w:cs="Calibri"/>
        </w:rPr>
        <w:t xml:space="preserve"> Histological analysis on AD patients showed elevated phosphorylation of eIF2α</w:t>
      </w:r>
      <w:r w:rsidR="007E6B98" w:rsidRPr="002A7128">
        <w:rPr>
          <w:rFonts w:ascii="Calibri" w:hAnsi="Calibri" w:cs="Calibri"/>
        </w:rPr>
        <w:fldChar w:fldCharType="begin"/>
      </w:r>
      <w:r w:rsidR="00A64B61" w:rsidRPr="002A7128">
        <w:rPr>
          <w:rFonts w:ascii="Calibri" w:hAnsi="Calibri" w:cs="Calibri"/>
        </w:rPr>
        <w:instrText xml:space="preserve"> ADDIN ZOTERO_ITEM CSL_CITATION {"citationID":"U0OqJJlv","properties":{"formattedCitation":"\\super 123\\nosupersub{}","plainCitation":"123","noteIndex":0},"citationItems":[{"id":10485,"uris":["http://zotero.org/groups/2667333/items/LYC3S65E"],"itemData":{"id":10485,"type":"article-journal","container-title":"NeuroReport","DOI":"10.1097/00001756-200212200-00011","ISSN":"0959-4965","issue":"18","journalAbbreviation":"NeuroReport","language":"en","page":"2429-2432","source":"DOI.org (Crossref)","title":"Phosphorylation of eukaryotic initiation factor-2α (eIF2α) is associated with neuronal degeneration in Alzheimerʼs disease:","title-short":"Phosphorylation of eukaryotic initiation factor-2α (eIF2α) is associated with neuronal degeneration in Alzheimerʼs disease","URL":"http://journals.lww.com/00001756-200212200-00011","volume":"13","author":[{"family":"Chang","given":"Raymond C. C."},{"family":"Wong","given":"Ada K. Y."},{"family":"Ng","given":"Ho-Keung"},{"family":"Hugon","given":"Jacques"}],"accessed":{"date-parts":[["2022",5,3]]},"issued":{"date-parts":[["2002",12]]},"citation-key":"chang_phosphorylation_2002"}}],"schema":"https://github.com/citation-style-language/schema/raw/master/csl-citation.json"} </w:instrText>
      </w:r>
      <w:r w:rsidR="007E6B98" w:rsidRPr="002A7128">
        <w:rPr>
          <w:rFonts w:ascii="Calibri" w:hAnsi="Calibri" w:cs="Calibri"/>
        </w:rPr>
        <w:fldChar w:fldCharType="separate"/>
      </w:r>
      <w:r w:rsidR="00A64B61" w:rsidRPr="002A7128">
        <w:rPr>
          <w:rFonts w:ascii="Calibri" w:hAnsi="Calibri" w:cs="Calibri"/>
          <w:vertAlign w:val="superscript"/>
        </w:rPr>
        <w:t>123</w:t>
      </w:r>
      <w:r w:rsidR="007E6B98" w:rsidRPr="002A7128">
        <w:rPr>
          <w:rFonts w:ascii="Calibri" w:hAnsi="Calibri" w:cs="Calibri"/>
        </w:rPr>
        <w:fldChar w:fldCharType="end"/>
      </w:r>
      <w:r w:rsidR="001A2A45">
        <w:rPr>
          <w:rFonts w:ascii="Calibri" w:hAnsi="Calibri" w:cs="Calibri"/>
        </w:rPr>
        <w:t>.</w:t>
      </w:r>
      <w:r w:rsidR="007E6B98" w:rsidRPr="002A7128">
        <w:rPr>
          <w:rFonts w:ascii="Calibri" w:hAnsi="Calibri" w:cs="Calibri"/>
        </w:rPr>
        <w:t xml:space="preserve"> Moreover, in in vitro studies, Aβ 1-42 was shown to induce eIF2α phosphorylation in human neuroblastoma cells</w:t>
      </w:r>
      <w:r w:rsidR="007E6B98" w:rsidRPr="002A7128">
        <w:rPr>
          <w:rFonts w:ascii="Calibri" w:hAnsi="Calibri" w:cs="Calibri"/>
        </w:rPr>
        <w:fldChar w:fldCharType="begin"/>
      </w:r>
      <w:r w:rsidR="00A64B61" w:rsidRPr="002A7128">
        <w:rPr>
          <w:rFonts w:ascii="Calibri" w:hAnsi="Calibri" w:cs="Calibri"/>
        </w:rPr>
        <w:instrText xml:space="preserve"> ADDIN ZOTERO_ITEM CSL_CITATION {"citationID":"6MC5RSXa","properties":{"formattedCitation":"\\super 122\\nosupersub{}","plainCitation":"122","noteIndex":0},"citationItems":[{"id":10483,"uris":["http://zotero.org/groups/2667333/items/LF5MA9N7"],"itemData":{"id":10483,"type":"article-journal","container-title":"PLoS ONE","DOI":"10.1371/journal.pone.0010489","ISSN":"1932-6203","issue":"5","journalAbbreviation":"PLoS ONE","language":"en","page":"e10489","source":"DOI.org (Crossref)","title":"Activation of PERK Signaling Attenuates Aβ-Mediated ER Stress","URL":"https://dx.plos.org/10.1371/journal.pone.0010489","volume":"5","author":[{"family":"Lee","given":"Do Yeon"},{"family":"Lee","given":"Kyu-Sun"},{"family":"Lee","given":"Hyun Jung"},{"family":"Kim","given":"Do Hee"},{"family":"Noh","given":"Yoo Hun"},{"family":"Yu","given":"Kweon"},{"family":"Jung","given":"Hee-Yeon"},{"family":"Lee","given":"Sang Hyung"},{"family":"Lee","given":"Jun Young"},{"family":"Youn","given":"Young Chul"},{"family":"Jeong","given":"Yoonhwa"},{"family":"Kim","given":"Dae Kyong"},{"family":"Lee","given":"Won Bok"},{"family":"Kim","given":"Sung Su"}],"editor":[{"family":"Feany","given":"Mel B."}],"accessed":{"date-parts":[["2022",5,3]]},"issued":{"date-parts":[["2010",5,5]]},"citation-key":"lee_activation_2010"}}],"schema":"https://github.com/citation-style-language/schema/raw/master/csl-citation.json"} </w:instrText>
      </w:r>
      <w:r w:rsidR="007E6B98" w:rsidRPr="002A7128">
        <w:rPr>
          <w:rFonts w:ascii="Calibri" w:hAnsi="Calibri" w:cs="Calibri"/>
        </w:rPr>
        <w:fldChar w:fldCharType="separate"/>
      </w:r>
      <w:r w:rsidR="00A64B61" w:rsidRPr="002A7128">
        <w:rPr>
          <w:rFonts w:ascii="Calibri" w:hAnsi="Calibri" w:cs="Calibri"/>
          <w:vertAlign w:val="superscript"/>
        </w:rPr>
        <w:t>122</w:t>
      </w:r>
      <w:r w:rsidR="007E6B98" w:rsidRPr="002A7128">
        <w:rPr>
          <w:rFonts w:ascii="Calibri" w:hAnsi="Calibri" w:cs="Calibri"/>
        </w:rPr>
        <w:fldChar w:fldCharType="end"/>
      </w:r>
      <w:r w:rsidR="001A2A45">
        <w:rPr>
          <w:rFonts w:ascii="Calibri" w:hAnsi="Calibri" w:cs="Calibri"/>
        </w:rPr>
        <w:t>.</w:t>
      </w:r>
      <w:r w:rsidR="007E6B98" w:rsidRPr="002A7128">
        <w:rPr>
          <w:rFonts w:ascii="Calibri" w:hAnsi="Calibri" w:cs="Calibri"/>
        </w:rPr>
        <w:t xml:space="preserve"> We analyzed eIF2α phosphorylation for 0.5mM [II] in 0.2w% albumin and 0.5mM [II] in 0% albumin (non-membrane damaging condition). [II] aggregation-induced eIF2α phosphorylation at 1h </w:t>
      </w:r>
      <w:r w:rsidR="007E6B98" w:rsidRPr="002A7128">
        <w:rPr>
          <w:rFonts w:ascii="Calibri" w:hAnsi="Calibri" w:cs="Calibri"/>
          <w:b/>
          <w:bCs/>
        </w:rPr>
        <w:t>(</w:t>
      </w:r>
      <w:r w:rsidR="002F66E8" w:rsidRPr="002A7128">
        <w:rPr>
          <w:rFonts w:ascii="Calibri" w:hAnsi="Calibri" w:cs="Calibri"/>
          <w:b/>
          <w:bCs/>
        </w:rPr>
        <w:fldChar w:fldCharType="begin"/>
      </w:r>
      <w:r w:rsidR="002F66E8" w:rsidRPr="002A7128">
        <w:rPr>
          <w:rFonts w:ascii="Calibri" w:hAnsi="Calibri" w:cs="Calibri"/>
          <w:b/>
          <w:bCs/>
        </w:rPr>
        <w:instrText xml:space="preserve"> REF _Ref105238769  \* MERGEFORMAT </w:instrText>
      </w:r>
      <w:r w:rsidR="002F66E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16</w:t>
      </w:r>
      <w:r w:rsidR="002F66E8" w:rsidRPr="002A7128">
        <w:rPr>
          <w:rFonts w:ascii="Calibri" w:hAnsi="Calibri" w:cs="Calibri"/>
          <w:b/>
          <w:bCs/>
        </w:rPr>
        <w:fldChar w:fldCharType="end"/>
      </w:r>
      <w:r w:rsidR="002F66E8" w:rsidRPr="002A7128">
        <w:rPr>
          <w:rFonts w:ascii="Calibri" w:hAnsi="Calibri" w:cs="Calibri"/>
          <w:b/>
          <w:bCs/>
        </w:rPr>
        <w:t>C</w:t>
      </w:r>
      <w:r w:rsidR="007E6B98" w:rsidRPr="002A7128">
        <w:rPr>
          <w:rFonts w:ascii="Calibri" w:hAnsi="Calibri" w:cs="Calibri"/>
          <w:b/>
          <w:bCs/>
        </w:rPr>
        <w:t xml:space="preserve">) </w:t>
      </w:r>
      <w:r w:rsidR="007E6B98" w:rsidRPr="002A7128">
        <w:rPr>
          <w:rFonts w:ascii="Calibri" w:hAnsi="Calibri" w:cs="Calibri"/>
        </w:rPr>
        <w:t>followed by rapid degradation due to proteasome activity reported previously</w:t>
      </w:r>
      <w:r w:rsidR="007E6B98" w:rsidRPr="002A7128">
        <w:rPr>
          <w:rFonts w:ascii="Calibri" w:hAnsi="Calibri" w:cs="Calibri"/>
        </w:rPr>
        <w:fldChar w:fldCharType="begin"/>
      </w:r>
      <w:r w:rsidR="00A64B61" w:rsidRPr="002A7128">
        <w:rPr>
          <w:rFonts w:ascii="Calibri" w:hAnsi="Calibri" w:cs="Calibri"/>
        </w:rPr>
        <w:instrText xml:space="preserve"> ADDIN ZOTERO_ITEM CSL_CITATION {"citationID":"7i3OcVPG","properties":{"formattedCitation":"\\super 226\\nosupersub{}","plainCitation":"226","noteIndex":0},"citationItems":[{"id":10254,"uris":["http://zotero.org/groups/2667333/items/6VBXHQGZ"],"itemData":{"id":10254,"type":"article-journal","abstract":"The present study demonstrates that even brief inhibition of degradation by the 26S proteasome inhibits global protein synthesis, mediated through increased phosphorylation of eIF2α (eukaryotic translational initiation factor 2α) by the HRI (haem-regulated inhibitor) kinase. Exposure of COS-7 cells to the proteasome inhibitor MG-132 (the proteasome inhibitor carbobenzoxy-L-leucyl-L-leucyl-leucinal) for 4 h resulted in a 55–60% decrease in protein synthesis rate compared with control cells. This repression of protein synthesis after treatment with MG-132 is not due to induction of apoptosis, which is known to occur after longer periods of 26S inhibition. Instead, we observed a significantly increased phosphorylation of eIF2α, which is known to repress global protein synthesis. In three MEF (mouse embryonic fibroblast) knockout cell lines lacking one of the four kinases known to phosphorylate eIF2α, increased phosphorylation of eIF2α still occurred after inhibition of the 26S proteasome. These three cell lines included a deletion of the PKR (double-stranded-RNA-dependent protein kinase); a deletion of the PERK (PKR-like endoplasmic reticulum resident kinase); or a deletion of the GCN2 (positive general control of transcription-2) kinase, indicating that none of these kinases was primarily responsible for the observed phosphorylation of eIF2α. In contrast, in a fourth MEF knockout cell line, HRI−/− cells lacking the HRI kinase failed to increase eIF2α phosphorylation upon proteasome inhibitor treatment (MG-132 or various doses of Bortezomib), indicating that the HRI kinase is the primary kinase activated by brief treatment of MEFs with 26S proteasome inhibitors.","container-title":"Biochemical Journal","DOI":"10.1042/BJ20080324","ISSN":"0264-6021, 1470-8728","issue":"3","language":"en","page":"579-588","source":"DOI.org (Crossref)","title":"Phosphorylation of eIF2α in response to 26S proteasome inhibition is mediated by the haem-regulated inhibitor (HRI) kinase","URL":"https://portlandpress.com/biochemj/article/412/3/579/44624/Phosphorylation-of-eIF2-in-response-to-26S","volume":"412","author":[{"family":"Yerlikaya","given":"Azmi"},{"family":"Kimball","given":"Scot R."},{"family":"Stanley","given":"Bruce A."}],"accessed":{"date-parts":[["2022",4,17]]},"issued":{"date-parts":[["2008",6,15]]},"citation-key":"yerlikaya_phosphorylation_2008"}}],"schema":"https://github.com/citation-style-language/schema/raw/master/csl-citation.json"} </w:instrText>
      </w:r>
      <w:r w:rsidR="007E6B98" w:rsidRPr="002A7128">
        <w:rPr>
          <w:rFonts w:ascii="Calibri" w:hAnsi="Calibri" w:cs="Calibri"/>
        </w:rPr>
        <w:fldChar w:fldCharType="separate"/>
      </w:r>
      <w:r w:rsidR="00A64B61" w:rsidRPr="002A7128">
        <w:rPr>
          <w:rFonts w:ascii="Calibri" w:hAnsi="Calibri" w:cs="Calibri"/>
          <w:vertAlign w:val="superscript"/>
        </w:rPr>
        <w:t>226</w:t>
      </w:r>
      <w:r w:rsidR="007E6B98" w:rsidRPr="002A7128">
        <w:rPr>
          <w:rFonts w:ascii="Calibri" w:hAnsi="Calibri" w:cs="Calibri"/>
        </w:rPr>
        <w:fldChar w:fldCharType="end"/>
      </w:r>
      <w:r w:rsidR="001A2A45">
        <w:rPr>
          <w:rFonts w:ascii="Calibri" w:hAnsi="Calibri" w:cs="Calibri"/>
        </w:rPr>
        <w:t>.</w:t>
      </w:r>
    </w:p>
    <w:p w14:paraId="729460A6" w14:textId="6DB50E3B" w:rsidR="007E6B98" w:rsidRPr="002A7128" w:rsidRDefault="007E6B98" w:rsidP="007E6B98">
      <w:pPr>
        <w:spacing w:line="480" w:lineRule="auto"/>
        <w:ind w:firstLine="720"/>
        <w:jc w:val="both"/>
        <w:rPr>
          <w:rFonts w:ascii="Calibri" w:hAnsi="Calibri" w:cs="Calibri"/>
        </w:rPr>
      </w:pPr>
      <w:r w:rsidRPr="002A7128">
        <w:rPr>
          <w:rFonts w:ascii="Calibri" w:hAnsi="Calibri" w:cs="Calibri"/>
        </w:rPr>
        <w:t xml:space="preserve">Phosphorylation of eIF2α and its downstream eﬀect on </w:t>
      </w:r>
      <w:r w:rsidR="00AD6EF4">
        <w:rPr>
          <w:rFonts w:ascii="Calibri" w:hAnsi="Calibri" w:cs="Calibri"/>
        </w:rPr>
        <w:t>CRT</w:t>
      </w:r>
      <w:r w:rsidRPr="002A7128">
        <w:rPr>
          <w:rFonts w:ascii="Calibri" w:hAnsi="Calibri" w:cs="Calibri"/>
        </w:rPr>
        <w:t xml:space="preserve"> cell surface localization are identiﬁed as hallmarks of ICD</w:t>
      </w:r>
      <w:r w:rsidRPr="002A7128">
        <w:rPr>
          <w:rFonts w:ascii="Calibri" w:hAnsi="Calibri" w:cs="Calibri"/>
        </w:rPr>
        <w:fldChar w:fldCharType="begin"/>
      </w:r>
      <w:r w:rsidR="00317E7D" w:rsidRPr="002A7128">
        <w:rPr>
          <w:rFonts w:ascii="Calibri" w:hAnsi="Calibri" w:cs="Calibri"/>
        </w:rPr>
        <w:instrText xml:space="preserve"> ADDIN ZOTERO_ITEM CSL_CITATION {"citationID":"mKjTufIL","properties":{"formattedCitation":"\\super 54\\nosupersub{}","plainCitation":"54","noteIndex":0},"citationItems":[{"id":10265,"uris":["http://zotero.org/groups/2667333/items/GSRJJ3GT"],"itemData":{"id":10265,"type":"article-journal","container-title":"Cell Death &amp; Differentiation","DOI":"10.1038/s41418-017-0044-9","ISSN":"1350-9047, 1476-5403","issue":"8","journalAbbreviation":"Cell Death Differ","language":"en","page":"1375-1393","source":"DOI.org (Crossref)","title":"eIF2α phosphorylation is pathognomonic for immunogenic cell death","URL":"http://www.nature.com/articles/s41418-017-0044-9","volume":"25","author":[{"family":"Bezu","given":"Lucillia"},{"family":"Sauvat","given":"Allan"},{"family":"Humeau","given":"Juliette"},{"family":"Gomes-da-Silva","given":"Lígia C."},{"family":"Iribarren","given":"Kristina"},{"family":"Forveille","given":"Sabrina"},{"family":"Garcia","given":"Pauline"},{"family":"Zhao","given":"Liwei"},{"family":"Liu","given":"Peng"},{"family":"Zitvogel","given":"Laurence"},{"family":"Senovilla","given":"Laura"},{"family":"Kepp","given":"Oliver"},{"family":"Kroemer","given":"Guido"}],"accessed":{"date-parts":[["2022",4,18]]},"issued":{"date-parts":[["2018",8]]},"citation-key":"bezu_eif2_2018"}}],"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54</w:t>
      </w:r>
      <w:r w:rsidRPr="002A7128">
        <w:rPr>
          <w:rFonts w:ascii="Calibri" w:hAnsi="Calibri" w:cs="Calibri"/>
        </w:rPr>
        <w:fldChar w:fldCharType="end"/>
      </w:r>
      <w:r w:rsidR="001A2A45">
        <w:rPr>
          <w:rFonts w:ascii="Calibri" w:hAnsi="Calibri" w:cs="Calibri"/>
        </w:rPr>
        <w:t>.</w:t>
      </w:r>
      <w:r w:rsidRPr="002A7128">
        <w:rPr>
          <w:rFonts w:ascii="Calibri" w:hAnsi="Calibri" w:cs="Calibri"/>
        </w:rPr>
        <w:t xml:space="preserve"> Cell membrane-localized </w:t>
      </w:r>
      <w:r w:rsidR="00AD6EF4">
        <w:rPr>
          <w:rFonts w:ascii="Calibri" w:hAnsi="Calibri" w:cs="Calibri"/>
        </w:rPr>
        <w:t>CRT</w:t>
      </w:r>
      <w:r w:rsidRPr="002A7128">
        <w:rPr>
          <w:rFonts w:ascii="Calibri" w:hAnsi="Calibri" w:cs="Calibri"/>
        </w:rPr>
        <w:t xml:space="preserve"> contributes to the immunogenicity of dying cancer cells, serving as an "eat me" signal to facilitate phagocytosis</w:t>
      </w:r>
      <w:r w:rsidRPr="002A7128">
        <w:rPr>
          <w:rFonts w:ascii="Calibri" w:hAnsi="Calibri" w:cs="Calibri"/>
        </w:rPr>
        <w:fldChar w:fldCharType="begin"/>
      </w:r>
      <w:r w:rsidR="00317E7D" w:rsidRPr="002A7128">
        <w:rPr>
          <w:rFonts w:ascii="Calibri" w:hAnsi="Calibri" w:cs="Calibri"/>
        </w:rPr>
        <w:instrText xml:space="preserve"> ADDIN ZOTERO_ITEM CSL_CITATION {"citationID":"foGQL6Td","properties":{"formattedCitation":"\\super 22,86\\nosupersub{}","plainCitation":"22,86","noteIndex":0},"citationItems":[{"id":6095,"uris":["http://zotero.org/groups/2667333/items/2X6CVY6N"],"itemData":{"id":6095,"type":"article-journal","container-title":"Cell Death and Differentiation","DOI":"10.1038/sj.cdd.4402201","ISSN":"1350-9047","issue":"10","journalAbbreviation":"Cell Death Differ","language":"eng","note":"PMID: 17657249\ntex.ids= obeid_calreticulin_2007-2","page":"1848-1850","source":"PubMed","title":"Calreticulin exposure is required for the immunogenicity of gamma-irradiation and UVC light-induced apoptosis","volume":"14","author":[{"family":"Obeid","given":"M."},{"family":"Panaretakis","given":"T."},{"family":"Joza","given":"N."},{"family":"Tufi","given":"R."},{"family":"Tesniere","given":"A."},{"family":"Endert","given":"P.","non-dropping-particle":"van"},{"family":"Zitvogel","given":"L."},{"family":"Kroemer","given":"G."}],"issued":{"date-parts":[["2007",10]]},"citation-key":"obeid_calreticulin_2007"}},{"id":6674,"uris":["http://zotero.org/groups/2667333/items/5CPZ44BT"],"itemData":{"id":6674,"type":"article-journal","abstract":"Chemotherapy, radiation therapy, as well as targeted anticancer agents can induce clinically relevant tumor-targeting immune responses, which critically rely on the antigenicity of malignant cells and their capacity to generate adjuvant signals. In particular, immunogenic cell death (ICD) is accompanied by the exposure and release of numerous damage-associated molecular patterns (DAMPs), which altogether confer a robust adjuvanticity to dying cancer cells, as they favor the recruitment and activation of antigen-presenting cells. ICD-associated DAMPs include surface-exposed calreticulin (CALR) as well as secreted ATP, annexin A1 (ANXA1), type I interferon, and high-mobility group box 1 (HMGB1). Additional hallmarks of ICD encompass the phosphorylation of eukaryotic translation initiation factor 2 subunit-α (EIF2S1, better known as eIF2α), the activation of autophagy, and a global arrest in transcription and translation. Here, we outline methodological approaches for measuring ICD markers in vitro and ex vivo for the discovery of next-generation antineoplastic agents, the development of personalized anticancer regimens, and the identification of optimal therapeutic combinations for the clinical management of cancer.","container-title":"Cell Death &amp; Disease","DOI":"10.1038/s41419-020-03221-2","ISSN":"2041-4889","issue":"11","journalAbbreviation":"Cell Death Dis","language":"en","license":"2020 The Author(s)","note":"number: 11\npublisher: Nature Publishing Group","page":"1-13","source":"www.nature.com","title":"Detection of immunogenic cell death and its relevance for cancer therapy","URL":"https://www.nature.com/articles/s41419-020-03221-2","volume":"11","author":[{"family":"Fucikova","given":"Jitka"},{"family":"Kepp","given":"Oliver"},{"family":"Kasikova","given":"Lenka"},{"family":"Petroni","given":"Giulia"},{"family":"Yamazaki","given":"Takahiro"},{"family":"Liu","given":"Peng"},{"family":"Zhao","given":"Liwei"},{"family":"Spisek","given":"Radek"},{"family":"Kroemer","given":"Guido"},{"family":"Galluzzi","given":"Lorenzo"}],"accessed":{"date-parts":[["2021",6,8]]},"issued":{"date-parts":[["2020",11,26]]},"citation-key":"fucikova_detection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22,86</w:t>
      </w:r>
      <w:r w:rsidRPr="002A7128">
        <w:rPr>
          <w:rFonts w:ascii="Calibri" w:hAnsi="Calibri" w:cs="Calibri"/>
        </w:rPr>
        <w:fldChar w:fldCharType="end"/>
      </w:r>
      <w:r w:rsidR="001A2A45">
        <w:rPr>
          <w:rFonts w:ascii="Calibri" w:hAnsi="Calibri" w:cs="Calibri"/>
        </w:rPr>
        <w:t>.</w:t>
      </w:r>
      <w:r w:rsidRPr="002A7128">
        <w:rPr>
          <w:rFonts w:ascii="Calibri" w:hAnsi="Calibri" w:cs="Calibri"/>
        </w:rPr>
        <w:t xml:space="preserve"> We previously showed that [II] aggregation-induced cell death is ICD through the release of DAMPs in multiple cell lines</w:t>
      </w:r>
      <w:r w:rsidRPr="002A7128">
        <w:rPr>
          <w:rFonts w:ascii="Calibri" w:hAnsi="Calibri" w:cs="Calibri"/>
        </w:rPr>
        <w:fldChar w:fldCharType="begin"/>
      </w:r>
      <w:r w:rsidR="00A64B61" w:rsidRPr="002A7128">
        <w:rPr>
          <w:rFonts w:ascii="Calibri" w:hAnsi="Calibri" w:cs="Calibri"/>
        </w:rPr>
        <w:instrText xml:space="preserve"> ADDIN ZOTERO_ITEM CSL_CITATION {"citationID":"RrF5zU9C","properties":{"formattedCitation":"\\super 218\\nosupersub{}","plainCitation":"218","noteIndex":0},"citationItems":[{"id":10653,"uris":["http://zotero.org/groups/2667333/items/Y7SGNY6E"],"itemData":{"id":10653,"type":"article-journal","abstract":"Immunogenic cell death (ICD) arises when cells are under stress, and their membranes are damaged. They release damage-associated molecular patterns (DAMPs) that stimulate and drive the type and magnitude of the immune response. In the presence of an antigen, DAMPs ride the longevity and efficacy of antigen-specific immunity. Yet, no tool can induce the controlled ICD with predictable results. A peptide-based tool, [II], is designed that aggregates in the cell and causes cell membrane damage, generates ICD and DAMPs release on various cell types, and hence can act as an adjuvant. An influenza vaccine is prepared by combining [II] with influenza hemagglutinin (HA) subunit antigens. The results show that [II] induced significantly higher HA-specific immunoglobulin G1 (IgG1) and IgG2a antibodies than HA-only immunized mice, while the peptide itself did not elicit antibodies. This paper demonstrates the first peptide-aggregation induced immunogenic rupture (PAIIR) approach as a vaccine adjuvant. PAIIR is a promising adjuvant with a high potential to promote universal protection upon influenza HA vaccination.","container-title":"Advanced Science","DOI":"10.1002/advs.202105868","ISSN":"2198-3844","issue":"n/a","language":"en","note":"_eprint: https://onlinelibrary.wiley.com/doi/pdf/10.1002/advs.202105868","page":"2105868","source":"Wiley Online Library","title":"Peptide Aggregation Induced Immunogenic Rupture (PAIIR)","URL":"https://onlinelibrary.wiley.com/doi/abs/10.1002/advs.202105868","volume":"n/a","author":[{"family":"Gunay","given":"Gokhan"},{"family":"Hamsici","given":"Seren"},{"family":"Lang","given":"Gillian A."},{"family":"Lang","given":"Mark L."},{"family":"Kovats","given":"Susan"},{"family":"Acar","given":"Handan"}],"accessed":{"date-parts":[["2022",5,28]]},"issued":{"date-parts":[["2022"]]},"citation-key":"gunay_peptide_2022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218</w:t>
      </w:r>
      <w:r w:rsidRPr="002A7128">
        <w:rPr>
          <w:rFonts w:ascii="Calibri" w:hAnsi="Calibri" w:cs="Calibri"/>
        </w:rPr>
        <w:fldChar w:fldCharType="end"/>
      </w:r>
      <w:r w:rsidR="001A2A45">
        <w:rPr>
          <w:rFonts w:ascii="Calibri" w:hAnsi="Calibri" w:cs="Calibri"/>
        </w:rPr>
        <w:t>.</w:t>
      </w:r>
      <w:r w:rsidRPr="002A7128">
        <w:rPr>
          <w:rFonts w:ascii="Calibri" w:hAnsi="Calibri" w:cs="Calibri"/>
        </w:rPr>
        <w:t xml:space="preserve"> Given that eIF2α phosphorylation results in </w:t>
      </w:r>
      <w:r w:rsidR="00AD6EF4">
        <w:rPr>
          <w:rFonts w:ascii="Calibri" w:hAnsi="Calibri" w:cs="Calibri"/>
        </w:rPr>
        <w:t>CRT</w:t>
      </w:r>
      <w:r w:rsidRPr="002A7128">
        <w:rPr>
          <w:rFonts w:ascii="Calibri" w:hAnsi="Calibri" w:cs="Calibri"/>
        </w:rPr>
        <w:t xml:space="preserve"> surface localization, we identiﬁed the localization of </w:t>
      </w:r>
      <w:r w:rsidR="00AD6EF4">
        <w:rPr>
          <w:rFonts w:ascii="Calibri" w:hAnsi="Calibri" w:cs="Calibri"/>
        </w:rPr>
        <w:t>CRT</w:t>
      </w:r>
      <w:r w:rsidRPr="002A7128">
        <w:rPr>
          <w:rFonts w:ascii="Calibri" w:hAnsi="Calibri" w:cs="Calibri"/>
        </w:rPr>
        <w:t xml:space="preserve"> within the cells incubated with [II]. </w:t>
      </w:r>
      <w:r w:rsidR="00AD6EF4">
        <w:rPr>
          <w:rFonts w:ascii="Calibri" w:hAnsi="Calibri" w:cs="Calibri"/>
        </w:rPr>
        <w:t>CRT</w:t>
      </w:r>
      <w:r w:rsidRPr="002A7128">
        <w:rPr>
          <w:rFonts w:ascii="Calibri" w:hAnsi="Calibri" w:cs="Calibri"/>
        </w:rPr>
        <w:t xml:space="preserve"> was observed only intracellularly in control cells and cells treated with 0.5mM [II] in 0% albumin. However, </w:t>
      </w:r>
      <w:r w:rsidR="00AD6EF4">
        <w:rPr>
          <w:rFonts w:ascii="Calibri" w:hAnsi="Calibri" w:cs="Calibri"/>
        </w:rPr>
        <w:t>CRT</w:t>
      </w:r>
      <w:r w:rsidRPr="002A7128">
        <w:rPr>
          <w:rFonts w:ascii="Calibri" w:hAnsi="Calibri" w:cs="Calibri"/>
        </w:rPr>
        <w:t xml:space="preserve"> localized to the cell membrane starting at 2h in cells treated with 0.5mM [II] in 0.2 w% albumin </w:t>
      </w:r>
      <w:r w:rsidRPr="002A7128">
        <w:rPr>
          <w:rFonts w:ascii="Calibri" w:hAnsi="Calibri" w:cs="Calibri"/>
          <w:b/>
          <w:bCs/>
        </w:rPr>
        <w:t>(</w:t>
      </w:r>
      <w:r w:rsidR="002F66E8" w:rsidRPr="002A7128">
        <w:rPr>
          <w:rFonts w:ascii="Calibri" w:hAnsi="Calibri" w:cs="Calibri"/>
          <w:b/>
          <w:bCs/>
          <w:color w:val="000000" w:themeColor="text1"/>
        </w:rPr>
        <w:fldChar w:fldCharType="begin"/>
      </w:r>
      <w:r w:rsidR="002F66E8" w:rsidRPr="002A7128">
        <w:rPr>
          <w:rFonts w:ascii="Calibri" w:hAnsi="Calibri" w:cs="Calibri"/>
          <w:b/>
          <w:bCs/>
          <w:color w:val="000000" w:themeColor="text1"/>
        </w:rPr>
        <w:instrText xml:space="preserve"> REF _Ref105238769  \* MERGEFORMAT </w:instrText>
      </w:r>
      <w:r w:rsidR="002F66E8" w:rsidRPr="002A7128">
        <w:rPr>
          <w:rFonts w:ascii="Calibri" w:hAnsi="Calibri" w:cs="Calibri"/>
          <w:b/>
          <w:bCs/>
          <w:color w:val="000000" w:themeColor="text1"/>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16</w:t>
      </w:r>
      <w:r w:rsidR="002F66E8" w:rsidRPr="002A7128">
        <w:rPr>
          <w:rFonts w:ascii="Calibri" w:hAnsi="Calibri" w:cs="Calibri"/>
          <w:b/>
          <w:bCs/>
          <w:color w:val="000000" w:themeColor="text1"/>
        </w:rPr>
        <w:fldChar w:fldCharType="end"/>
      </w:r>
      <w:r w:rsidR="002F66E8" w:rsidRPr="002A7128">
        <w:rPr>
          <w:rFonts w:ascii="Calibri" w:hAnsi="Calibri" w:cs="Calibri"/>
          <w:b/>
          <w:bCs/>
          <w:color w:val="000000" w:themeColor="text1"/>
        </w:rPr>
        <w:t xml:space="preserve">D, </w:t>
      </w:r>
      <w:r w:rsidR="002F66E8" w:rsidRPr="002A7128">
        <w:rPr>
          <w:rFonts w:ascii="Calibri" w:hAnsi="Calibri" w:cs="Calibri"/>
          <w:b/>
          <w:bCs/>
          <w:color w:val="000000" w:themeColor="text1"/>
        </w:rPr>
        <w:lastRenderedPageBreak/>
        <w:fldChar w:fldCharType="begin"/>
      </w:r>
      <w:r w:rsidR="002F66E8" w:rsidRPr="002A7128">
        <w:rPr>
          <w:rFonts w:ascii="Calibri" w:hAnsi="Calibri" w:cs="Calibri"/>
          <w:b/>
          <w:bCs/>
          <w:color w:val="000000" w:themeColor="text1"/>
        </w:rPr>
        <w:instrText xml:space="preserve"> REF _Ref116303464  \* MERGEFORMAT </w:instrText>
      </w:r>
      <w:r w:rsidR="002F66E8" w:rsidRPr="002A7128">
        <w:rPr>
          <w:rFonts w:ascii="Calibri" w:hAnsi="Calibri" w:cs="Calibri"/>
          <w:b/>
          <w:bCs/>
          <w:color w:val="000000" w:themeColor="text1"/>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18</w:t>
      </w:r>
      <w:r w:rsidR="002F66E8" w:rsidRPr="002A7128">
        <w:rPr>
          <w:rFonts w:ascii="Calibri" w:hAnsi="Calibri" w:cs="Calibri"/>
          <w:b/>
          <w:bCs/>
          <w:color w:val="000000" w:themeColor="text1"/>
        </w:rPr>
        <w:fldChar w:fldCharType="end"/>
      </w:r>
      <w:r w:rsidRPr="002A7128">
        <w:rPr>
          <w:rFonts w:ascii="Calibri" w:hAnsi="Calibri" w:cs="Calibri"/>
          <w:b/>
          <w:bCs/>
        </w:rPr>
        <w:t>)</w:t>
      </w:r>
      <w:r w:rsidRPr="002A7128">
        <w:rPr>
          <w:rFonts w:ascii="Calibri" w:hAnsi="Calibri" w:cs="Calibri"/>
        </w:rPr>
        <w:t xml:space="preserve">. Moreover, membrane </w:t>
      </w:r>
      <w:r w:rsidR="00AD6EF4">
        <w:rPr>
          <w:rFonts w:ascii="Calibri" w:hAnsi="Calibri" w:cs="Calibri"/>
        </w:rPr>
        <w:t>CRT</w:t>
      </w:r>
      <w:r w:rsidRPr="002A7128">
        <w:rPr>
          <w:rFonts w:ascii="Calibri" w:hAnsi="Calibri" w:cs="Calibri"/>
        </w:rPr>
        <w:t xml:space="preserve"> fluorescent intensity was increased upon [II] aggregation </w:t>
      </w:r>
      <w:r w:rsidRPr="002A7128">
        <w:rPr>
          <w:rFonts w:ascii="Calibri" w:hAnsi="Calibri" w:cs="Calibri"/>
          <w:b/>
          <w:bCs/>
        </w:rPr>
        <w:t>(</w:t>
      </w:r>
      <w:r w:rsidR="002F66E8" w:rsidRPr="002A7128">
        <w:rPr>
          <w:rFonts w:ascii="Calibri" w:hAnsi="Calibri" w:cs="Calibri"/>
          <w:b/>
          <w:bCs/>
        </w:rPr>
        <w:fldChar w:fldCharType="begin"/>
      </w:r>
      <w:r w:rsidR="002F66E8" w:rsidRPr="002A7128">
        <w:rPr>
          <w:rFonts w:ascii="Calibri" w:hAnsi="Calibri" w:cs="Calibri"/>
          <w:b/>
          <w:bCs/>
        </w:rPr>
        <w:instrText xml:space="preserve"> REF _Ref116303542  \* MERGEFORMAT </w:instrText>
      </w:r>
      <w:r w:rsidR="002F66E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19</w:t>
      </w:r>
      <w:r w:rsidR="002F66E8" w:rsidRPr="002A7128">
        <w:rPr>
          <w:rFonts w:ascii="Calibri" w:hAnsi="Calibri" w:cs="Calibri"/>
          <w:b/>
          <w:bCs/>
        </w:rPr>
        <w:fldChar w:fldCharType="end"/>
      </w:r>
      <w:r w:rsidRPr="002A7128">
        <w:rPr>
          <w:rFonts w:ascii="Calibri" w:hAnsi="Calibri" w:cs="Calibri"/>
          <w:b/>
          <w:bCs/>
        </w:rPr>
        <w:t>)</w:t>
      </w:r>
      <w:r w:rsidRPr="002A7128">
        <w:rPr>
          <w:rFonts w:ascii="Calibri" w:hAnsi="Calibri" w:cs="Calibri"/>
        </w:rPr>
        <w:t xml:space="preserve">. These results show that [II] aggregation-induced cell death involves the phosphorylation of eIF2α, followed by </w:t>
      </w:r>
      <w:r w:rsidR="00AD6EF4">
        <w:rPr>
          <w:rFonts w:ascii="Calibri" w:hAnsi="Calibri" w:cs="Calibri"/>
        </w:rPr>
        <w:t>CRT</w:t>
      </w:r>
      <w:r w:rsidRPr="002A7128">
        <w:rPr>
          <w:rFonts w:ascii="Calibri" w:hAnsi="Calibri" w:cs="Calibri"/>
        </w:rPr>
        <w:t xml:space="preserve"> surface localization, indicating that the observed ICD is due to the stress on the cell membrane with [II] aggregation.</w:t>
      </w:r>
    </w:p>
    <w:p w14:paraId="4D69D0ED" w14:textId="414CA695" w:rsidR="002212F0" w:rsidRPr="002A7128" w:rsidRDefault="002212F0" w:rsidP="007E6B98">
      <w:pPr>
        <w:spacing w:line="480" w:lineRule="auto"/>
        <w:ind w:firstLine="720"/>
        <w:jc w:val="both"/>
        <w:rPr>
          <w:rFonts w:ascii="Calibri" w:hAnsi="Calibri" w:cs="Calibri"/>
        </w:rPr>
      </w:pPr>
    </w:p>
    <w:p w14:paraId="3E9F9418" w14:textId="0B013BCE" w:rsidR="002212F0" w:rsidRPr="002A7128" w:rsidRDefault="002212F0" w:rsidP="00F675B4">
      <w:pPr>
        <w:spacing w:line="480" w:lineRule="auto"/>
        <w:ind w:firstLine="720"/>
        <w:jc w:val="both"/>
        <w:rPr>
          <w:rFonts w:ascii="Calibri" w:hAnsi="Calibri" w:cs="Calibri"/>
        </w:rPr>
      </w:pPr>
    </w:p>
    <w:p w14:paraId="55890748" w14:textId="33914EDF" w:rsidR="00346B43" w:rsidRPr="002A7128" w:rsidRDefault="00346B43" w:rsidP="00242A8A">
      <w:pPr>
        <w:spacing w:line="480" w:lineRule="auto"/>
        <w:jc w:val="both"/>
        <w:rPr>
          <w:rFonts w:ascii="Calibri" w:hAnsi="Calibri" w:cs="Calibri"/>
        </w:rPr>
      </w:pPr>
    </w:p>
    <w:p w14:paraId="4D93AC3B" w14:textId="77777777" w:rsidR="00D20B04" w:rsidRPr="002A7128" w:rsidRDefault="00680AEB" w:rsidP="00F675B4">
      <w:pPr>
        <w:keepNext/>
        <w:spacing w:line="480" w:lineRule="auto"/>
        <w:jc w:val="center"/>
        <w:rPr>
          <w:rFonts w:ascii="Calibri" w:hAnsi="Calibri" w:cs="Calibri"/>
        </w:rPr>
      </w:pPr>
      <w:r w:rsidRPr="002A7128">
        <w:rPr>
          <w:rFonts w:ascii="Calibri" w:hAnsi="Calibri" w:cs="Calibri"/>
          <w:noProof/>
          <w:sz w:val="20"/>
        </w:rPr>
        <w:lastRenderedPageBreak/>
        <w:drawing>
          <wp:inline distT="0" distB="0" distL="0" distR="0" wp14:anchorId="71918F79" wp14:editId="783A01AD">
            <wp:extent cx="4997108" cy="6753885"/>
            <wp:effectExtent l="0" t="0" r="0" b="2540"/>
            <wp:docPr id="25" name="image5.png"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descr="A screenshot of a video game&#10;&#10;Description automatically generated with medium confidence"/>
                    <pic:cNvPicPr/>
                  </pic:nvPicPr>
                  <pic:blipFill>
                    <a:blip r:embed="rId25" cstate="print"/>
                    <a:stretch>
                      <a:fillRect/>
                    </a:stretch>
                  </pic:blipFill>
                  <pic:spPr>
                    <a:xfrm>
                      <a:off x="0" y="0"/>
                      <a:ext cx="5052388" cy="6828599"/>
                    </a:xfrm>
                    <a:prstGeom prst="rect">
                      <a:avLst/>
                    </a:prstGeom>
                  </pic:spPr>
                </pic:pic>
              </a:graphicData>
            </a:graphic>
          </wp:inline>
        </w:drawing>
      </w:r>
    </w:p>
    <w:p w14:paraId="228749D1" w14:textId="062F96D3" w:rsidR="00680AEB" w:rsidRPr="002A7128" w:rsidRDefault="00D20B04" w:rsidP="00242A8A">
      <w:pPr>
        <w:pStyle w:val="Caption"/>
        <w:spacing w:line="480" w:lineRule="auto"/>
        <w:jc w:val="both"/>
        <w:rPr>
          <w:rFonts w:ascii="Calibri" w:hAnsi="Calibri" w:cs="Calibri"/>
          <w:i w:val="0"/>
          <w:iCs w:val="0"/>
          <w:color w:val="000000" w:themeColor="text1"/>
          <w:sz w:val="24"/>
          <w:szCs w:val="24"/>
        </w:rPr>
      </w:pPr>
      <w:bookmarkStart w:id="100" w:name="_Ref105238769"/>
      <w:bookmarkStart w:id="101" w:name="_Toc120789434"/>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16</w:t>
      </w:r>
      <w:r w:rsidRPr="002A7128">
        <w:rPr>
          <w:rFonts w:ascii="Calibri" w:hAnsi="Calibri" w:cs="Calibri"/>
          <w:b/>
          <w:bCs/>
          <w:i w:val="0"/>
          <w:iCs w:val="0"/>
          <w:color w:val="000000" w:themeColor="text1"/>
          <w:sz w:val="24"/>
          <w:szCs w:val="24"/>
        </w:rPr>
        <w:fldChar w:fldCharType="end"/>
      </w:r>
      <w:bookmarkEnd w:id="100"/>
      <w:r w:rsidRPr="002A7128">
        <w:rPr>
          <w:rFonts w:ascii="Calibri" w:hAnsi="Calibri" w:cs="Calibri"/>
          <w:b/>
          <w:bCs/>
          <w:i w:val="0"/>
          <w:iCs w:val="0"/>
          <w:color w:val="000000" w:themeColor="text1"/>
          <w:sz w:val="24"/>
          <w:szCs w:val="24"/>
        </w:rPr>
        <w:t xml:space="preserve"> [II] aggregation on the cell membrane induces cell stress</w:t>
      </w:r>
      <w:r w:rsidRPr="002A7128">
        <w:rPr>
          <w:rFonts w:ascii="Calibri" w:hAnsi="Calibri" w:cs="Calibri"/>
          <w:i w:val="0"/>
          <w:iCs w:val="0"/>
          <w:color w:val="000000" w:themeColor="text1"/>
          <w:sz w:val="24"/>
          <w:szCs w:val="24"/>
        </w:rPr>
        <w:t xml:space="preserve"> (A) Immunocytochemistry of YAP localization (YAP = green, Actin = red, Nuclei = blue) (B) and phosphorylation based on aggregation (YAP-P = green). (C) Western blot analysis of YAP, YAP phosphorylation, eIF2α, and eIF2α phosphorylation in diﬀerent time points, β -actin was used as an internal loading control. </w:t>
      </w:r>
      <w:r w:rsidRPr="002A7128">
        <w:rPr>
          <w:rFonts w:ascii="Calibri" w:hAnsi="Calibri" w:cs="Calibri"/>
          <w:i w:val="0"/>
          <w:iCs w:val="0"/>
          <w:color w:val="000000" w:themeColor="text1"/>
          <w:sz w:val="24"/>
          <w:szCs w:val="24"/>
        </w:rPr>
        <w:lastRenderedPageBreak/>
        <w:t xml:space="preserve">(D) Immunocytochemistry of </w:t>
      </w:r>
      <w:r w:rsidR="00AD6EF4">
        <w:rPr>
          <w:rFonts w:ascii="Calibri" w:hAnsi="Calibri" w:cs="Calibri"/>
          <w:i w:val="0"/>
          <w:iCs w:val="0"/>
          <w:color w:val="000000" w:themeColor="text1"/>
          <w:sz w:val="24"/>
          <w:szCs w:val="24"/>
        </w:rPr>
        <w:t>CRT</w:t>
      </w:r>
      <w:r w:rsidRPr="002A7128">
        <w:rPr>
          <w:rFonts w:ascii="Calibri" w:hAnsi="Calibri" w:cs="Calibri"/>
          <w:i w:val="0"/>
          <w:iCs w:val="0"/>
          <w:color w:val="000000" w:themeColor="text1"/>
          <w:sz w:val="24"/>
          <w:szCs w:val="24"/>
        </w:rPr>
        <w:t xml:space="preserve"> cell surface localization (</w:t>
      </w:r>
      <w:r w:rsidR="00AD6EF4">
        <w:rPr>
          <w:rFonts w:ascii="Calibri" w:hAnsi="Calibri" w:cs="Calibri"/>
          <w:i w:val="0"/>
          <w:iCs w:val="0"/>
          <w:color w:val="000000" w:themeColor="text1"/>
          <w:sz w:val="24"/>
          <w:szCs w:val="24"/>
        </w:rPr>
        <w:t>CRT</w:t>
      </w:r>
      <w:r w:rsidRPr="002A7128">
        <w:rPr>
          <w:rFonts w:ascii="Calibri" w:hAnsi="Calibri" w:cs="Calibri"/>
          <w:i w:val="0"/>
          <w:iCs w:val="0"/>
          <w:color w:val="000000" w:themeColor="text1"/>
          <w:sz w:val="24"/>
          <w:szCs w:val="24"/>
        </w:rPr>
        <w:t xml:space="preserve"> = green, Actin = red, Nuclei = blue). Scale bars = 20 µm</w:t>
      </w:r>
      <w:bookmarkEnd w:id="101"/>
    </w:p>
    <w:p w14:paraId="500A5E79" w14:textId="77777777" w:rsidR="006308B2" w:rsidRPr="002A7128" w:rsidRDefault="006308B2" w:rsidP="006308B2">
      <w:pPr>
        <w:rPr>
          <w:rFonts w:ascii="Calibri" w:hAnsi="Calibri" w:cs="Calibri"/>
        </w:rPr>
      </w:pPr>
    </w:p>
    <w:p w14:paraId="3FCEDA7D" w14:textId="7DA0B470" w:rsidR="00077DB9" w:rsidRPr="002A7128" w:rsidRDefault="00077DB9" w:rsidP="00077DB9">
      <w:pPr>
        <w:rPr>
          <w:rFonts w:ascii="Calibri" w:hAnsi="Calibri" w:cs="Calibri"/>
        </w:rPr>
      </w:pPr>
    </w:p>
    <w:p w14:paraId="6BBCAD1A" w14:textId="77777777" w:rsidR="00AB4789" w:rsidRPr="002A7128" w:rsidRDefault="00AB4789" w:rsidP="00AB4789">
      <w:pPr>
        <w:keepNext/>
        <w:rPr>
          <w:rFonts w:ascii="Calibri" w:hAnsi="Calibri" w:cs="Calibri"/>
        </w:rPr>
      </w:pPr>
      <w:r w:rsidRPr="002A7128">
        <w:rPr>
          <w:rFonts w:ascii="Calibri" w:hAnsi="Calibri" w:cs="Calibri"/>
          <w:noProof/>
        </w:rPr>
        <w:drawing>
          <wp:inline distT="0" distB="0" distL="0" distR="0" wp14:anchorId="063E5DF5" wp14:editId="06CEDCE6">
            <wp:extent cx="5474043" cy="3827152"/>
            <wp:effectExtent l="0" t="0" r="0" b="0"/>
            <wp:docPr id="32" name="Picture 32"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indoo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79323" cy="3830844"/>
                    </a:xfrm>
                    <a:prstGeom prst="rect">
                      <a:avLst/>
                    </a:prstGeom>
                  </pic:spPr>
                </pic:pic>
              </a:graphicData>
            </a:graphic>
          </wp:inline>
        </w:drawing>
      </w:r>
    </w:p>
    <w:p w14:paraId="19373463" w14:textId="247D4AE4" w:rsidR="00077DB9" w:rsidRPr="002A7128" w:rsidRDefault="00AB4789" w:rsidP="00200C1D">
      <w:pPr>
        <w:pStyle w:val="Caption"/>
        <w:spacing w:line="480" w:lineRule="auto"/>
        <w:jc w:val="both"/>
        <w:rPr>
          <w:rFonts w:ascii="Calibri" w:hAnsi="Calibri" w:cs="Calibri"/>
          <w:i w:val="0"/>
          <w:iCs w:val="0"/>
          <w:color w:val="000000" w:themeColor="text1"/>
          <w:sz w:val="24"/>
          <w:szCs w:val="24"/>
        </w:rPr>
      </w:pPr>
      <w:bookmarkStart w:id="102" w:name="_Ref116303038"/>
      <w:bookmarkStart w:id="103" w:name="_Toc120789435"/>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17</w:t>
      </w:r>
      <w:r w:rsidRPr="002A7128">
        <w:rPr>
          <w:rFonts w:ascii="Calibri" w:hAnsi="Calibri" w:cs="Calibri"/>
          <w:b/>
          <w:bCs/>
          <w:i w:val="0"/>
          <w:iCs w:val="0"/>
          <w:color w:val="000000" w:themeColor="text1"/>
          <w:sz w:val="24"/>
          <w:szCs w:val="24"/>
        </w:rPr>
        <w:fldChar w:fldCharType="end"/>
      </w:r>
      <w:bookmarkEnd w:id="102"/>
      <w:r w:rsidR="00242A8A" w:rsidRPr="002A7128">
        <w:rPr>
          <w:rFonts w:ascii="Calibri" w:hAnsi="Calibri" w:cs="Calibri"/>
          <w:b/>
          <w:bCs/>
          <w:i w:val="0"/>
          <w:iCs w:val="0"/>
          <w:color w:val="000000" w:themeColor="text1"/>
          <w:sz w:val="24"/>
          <w:szCs w:val="24"/>
        </w:rPr>
        <w:t xml:space="preserve"> </w:t>
      </w:r>
      <w:r w:rsidRPr="002A7128">
        <w:rPr>
          <w:rFonts w:ascii="Calibri" w:hAnsi="Calibri" w:cs="Calibri"/>
          <w:b/>
          <w:bCs/>
          <w:i w:val="0"/>
          <w:iCs w:val="0"/>
          <w:color w:val="000000" w:themeColor="text1"/>
          <w:sz w:val="24"/>
          <w:szCs w:val="24"/>
        </w:rPr>
        <w:t>[II] aggregation on YAP phosphorylation localization</w:t>
      </w:r>
      <w:r w:rsidRPr="002A7128">
        <w:rPr>
          <w:rFonts w:ascii="Calibri" w:hAnsi="Calibri" w:cs="Calibri"/>
          <w:i w:val="0"/>
          <w:iCs w:val="0"/>
          <w:color w:val="000000" w:themeColor="text1"/>
          <w:sz w:val="24"/>
          <w:szCs w:val="24"/>
        </w:rPr>
        <w:t>.</w:t>
      </w:r>
      <w:r w:rsidR="00242A8A" w:rsidRPr="002A7128">
        <w:rPr>
          <w:rFonts w:ascii="Calibri" w:hAnsi="Calibri" w:cs="Calibri"/>
          <w:i w:val="0"/>
          <w:iCs w:val="0"/>
          <w:color w:val="000000" w:themeColor="text1"/>
          <w:sz w:val="24"/>
          <w:szCs w:val="24"/>
        </w:rPr>
        <w:t xml:space="preserve"> </w:t>
      </w:r>
      <w:r w:rsidRPr="002A7128">
        <w:rPr>
          <w:rFonts w:ascii="Calibri" w:hAnsi="Calibri" w:cs="Calibri"/>
          <w:i w:val="0"/>
          <w:iCs w:val="0"/>
          <w:color w:val="000000" w:themeColor="text1"/>
          <w:sz w:val="24"/>
          <w:szCs w:val="24"/>
        </w:rPr>
        <w:t xml:space="preserve">Immunocytochemistry of </w:t>
      </w:r>
      <w:r w:rsidR="00AD6EF4">
        <w:rPr>
          <w:rFonts w:ascii="Calibri" w:hAnsi="Calibri" w:cs="Calibri"/>
          <w:i w:val="0"/>
          <w:iCs w:val="0"/>
          <w:color w:val="000000" w:themeColor="text1"/>
          <w:sz w:val="24"/>
          <w:szCs w:val="24"/>
        </w:rPr>
        <w:t>CRT</w:t>
      </w:r>
      <w:r w:rsidRPr="002A7128">
        <w:rPr>
          <w:rFonts w:ascii="Calibri" w:hAnsi="Calibri" w:cs="Calibri"/>
          <w:i w:val="0"/>
          <w:iCs w:val="0"/>
          <w:color w:val="000000" w:themeColor="text1"/>
          <w:sz w:val="24"/>
          <w:szCs w:val="24"/>
        </w:rPr>
        <w:t xml:space="preserve"> cell surface localization (YAP phosphorylation = green, Actin = red, Nuclei = blue). Scale bar = 20 µm</w:t>
      </w:r>
      <w:bookmarkEnd w:id="103"/>
    </w:p>
    <w:p w14:paraId="63EB5CD3" w14:textId="5754FA5F" w:rsidR="00077DB9" w:rsidRPr="002A7128" w:rsidRDefault="00077DB9" w:rsidP="00077DB9">
      <w:pPr>
        <w:rPr>
          <w:rFonts w:ascii="Calibri" w:hAnsi="Calibri" w:cs="Calibri"/>
        </w:rPr>
      </w:pPr>
    </w:p>
    <w:p w14:paraId="381378AC" w14:textId="77777777" w:rsidR="002F66E8" w:rsidRPr="002A7128" w:rsidRDefault="002F66E8" w:rsidP="00200C1D">
      <w:pPr>
        <w:keepNext/>
        <w:jc w:val="both"/>
        <w:rPr>
          <w:rFonts w:ascii="Calibri" w:hAnsi="Calibri" w:cs="Calibri"/>
        </w:rPr>
      </w:pPr>
      <w:r w:rsidRPr="002A7128">
        <w:rPr>
          <w:rFonts w:ascii="Calibri" w:hAnsi="Calibri" w:cs="Calibri"/>
          <w:i/>
          <w:iCs/>
          <w:noProof/>
          <w:color w:val="2F5496" w:themeColor="accent1" w:themeShade="BF"/>
        </w:rPr>
        <w:lastRenderedPageBreak/>
        <w:drawing>
          <wp:inline distT="0" distB="0" distL="0" distR="0" wp14:anchorId="3835A050" wp14:editId="4C0B400E">
            <wp:extent cx="5684108" cy="3762078"/>
            <wp:effectExtent l="0" t="0" r="5715" b="0"/>
            <wp:docPr id="33" name="Picture 3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with low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86086" cy="3763387"/>
                    </a:xfrm>
                    <a:prstGeom prst="rect">
                      <a:avLst/>
                    </a:prstGeom>
                  </pic:spPr>
                </pic:pic>
              </a:graphicData>
            </a:graphic>
          </wp:inline>
        </w:drawing>
      </w:r>
    </w:p>
    <w:p w14:paraId="7215E1AE" w14:textId="28D436D0" w:rsidR="00077DB9" w:rsidRPr="002A7128" w:rsidRDefault="002F66E8" w:rsidP="00200C1D">
      <w:pPr>
        <w:pStyle w:val="Caption"/>
        <w:spacing w:line="480" w:lineRule="auto"/>
        <w:jc w:val="both"/>
        <w:rPr>
          <w:rFonts w:ascii="Calibri" w:hAnsi="Calibri" w:cs="Calibri"/>
          <w:i w:val="0"/>
          <w:iCs w:val="0"/>
          <w:color w:val="000000" w:themeColor="text1"/>
          <w:sz w:val="24"/>
          <w:szCs w:val="24"/>
        </w:rPr>
      </w:pPr>
      <w:bookmarkStart w:id="104" w:name="_Ref116303464"/>
      <w:bookmarkStart w:id="105" w:name="_Toc120789436"/>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18</w:t>
      </w:r>
      <w:r w:rsidRPr="002A7128">
        <w:rPr>
          <w:rFonts w:ascii="Calibri" w:hAnsi="Calibri" w:cs="Calibri"/>
          <w:b/>
          <w:bCs/>
          <w:i w:val="0"/>
          <w:iCs w:val="0"/>
          <w:color w:val="000000" w:themeColor="text1"/>
          <w:sz w:val="24"/>
          <w:szCs w:val="24"/>
        </w:rPr>
        <w:fldChar w:fldCharType="end"/>
      </w:r>
      <w:bookmarkEnd w:id="104"/>
      <w:r w:rsidRPr="002A7128">
        <w:rPr>
          <w:rFonts w:ascii="Calibri" w:hAnsi="Calibri" w:cs="Calibri"/>
          <w:b/>
          <w:bCs/>
          <w:i w:val="0"/>
          <w:iCs w:val="0"/>
          <w:color w:val="000000" w:themeColor="text1"/>
          <w:sz w:val="24"/>
          <w:szCs w:val="24"/>
        </w:rPr>
        <w:t xml:space="preserve"> [II] aggregation on </w:t>
      </w:r>
      <w:r w:rsidR="00AD6EF4">
        <w:rPr>
          <w:rFonts w:ascii="Calibri" w:hAnsi="Calibri" w:cs="Calibri"/>
          <w:b/>
          <w:bCs/>
          <w:i w:val="0"/>
          <w:iCs w:val="0"/>
          <w:color w:val="000000" w:themeColor="text1"/>
          <w:sz w:val="24"/>
          <w:szCs w:val="24"/>
        </w:rPr>
        <w:t>CRT</w:t>
      </w:r>
      <w:r w:rsidRPr="002A7128">
        <w:rPr>
          <w:rFonts w:ascii="Calibri" w:hAnsi="Calibri" w:cs="Calibri"/>
          <w:b/>
          <w:bCs/>
          <w:i w:val="0"/>
          <w:iCs w:val="0"/>
          <w:color w:val="000000" w:themeColor="text1"/>
          <w:sz w:val="24"/>
          <w:szCs w:val="24"/>
        </w:rPr>
        <w:t xml:space="preserve"> localization.</w:t>
      </w:r>
      <w:r w:rsidRPr="002A7128">
        <w:rPr>
          <w:rFonts w:ascii="Calibri" w:hAnsi="Calibri" w:cs="Calibri"/>
          <w:i w:val="0"/>
          <w:iCs w:val="0"/>
          <w:color w:val="000000" w:themeColor="text1"/>
          <w:sz w:val="24"/>
          <w:szCs w:val="24"/>
        </w:rPr>
        <w:t xml:space="preserve"> Immunocytochemistry of </w:t>
      </w:r>
      <w:r w:rsidR="00AD6EF4">
        <w:rPr>
          <w:rFonts w:ascii="Calibri" w:hAnsi="Calibri" w:cs="Calibri"/>
          <w:i w:val="0"/>
          <w:iCs w:val="0"/>
          <w:color w:val="000000" w:themeColor="text1"/>
          <w:sz w:val="24"/>
          <w:szCs w:val="24"/>
        </w:rPr>
        <w:t>CRT</w:t>
      </w:r>
      <w:r w:rsidRPr="002A7128">
        <w:rPr>
          <w:rFonts w:ascii="Calibri" w:hAnsi="Calibri" w:cs="Calibri"/>
          <w:i w:val="0"/>
          <w:iCs w:val="0"/>
          <w:color w:val="000000" w:themeColor="text1"/>
          <w:sz w:val="24"/>
          <w:szCs w:val="24"/>
        </w:rPr>
        <w:t xml:space="preserve"> cell surface localization (</w:t>
      </w:r>
      <w:r w:rsidR="00AD6EF4">
        <w:rPr>
          <w:rFonts w:ascii="Calibri" w:hAnsi="Calibri" w:cs="Calibri"/>
          <w:i w:val="0"/>
          <w:iCs w:val="0"/>
          <w:color w:val="000000" w:themeColor="text1"/>
          <w:sz w:val="24"/>
          <w:szCs w:val="24"/>
        </w:rPr>
        <w:t>CRT</w:t>
      </w:r>
      <w:r w:rsidRPr="002A7128">
        <w:rPr>
          <w:rFonts w:ascii="Calibri" w:hAnsi="Calibri" w:cs="Calibri"/>
          <w:i w:val="0"/>
          <w:iCs w:val="0"/>
          <w:color w:val="000000" w:themeColor="text1"/>
          <w:sz w:val="24"/>
          <w:szCs w:val="24"/>
        </w:rPr>
        <w:t xml:space="preserve"> = green, Actin = red, Nuclei = blue). Scale bar = 20 µm</w:t>
      </w:r>
      <w:bookmarkEnd w:id="105"/>
    </w:p>
    <w:p w14:paraId="3F1DF34E" w14:textId="77777777" w:rsidR="002F66E8" w:rsidRPr="002A7128" w:rsidRDefault="002F66E8" w:rsidP="00200C1D">
      <w:pPr>
        <w:jc w:val="both"/>
        <w:rPr>
          <w:rFonts w:ascii="Calibri" w:hAnsi="Calibri" w:cs="Calibri"/>
        </w:rPr>
      </w:pPr>
    </w:p>
    <w:p w14:paraId="7E0FADEE" w14:textId="77777777" w:rsidR="002F66E8" w:rsidRPr="002A7128" w:rsidRDefault="002F66E8" w:rsidP="00200C1D">
      <w:pPr>
        <w:keepNext/>
        <w:spacing w:line="480" w:lineRule="auto"/>
        <w:jc w:val="both"/>
        <w:rPr>
          <w:rFonts w:ascii="Calibri" w:hAnsi="Calibri" w:cs="Calibri"/>
        </w:rPr>
      </w:pPr>
      <w:r w:rsidRPr="002A7128">
        <w:rPr>
          <w:rFonts w:ascii="Calibri" w:hAnsi="Calibri" w:cs="Calibri"/>
          <w:noProof/>
        </w:rPr>
        <w:drawing>
          <wp:inline distT="0" distB="0" distL="0" distR="0" wp14:anchorId="29A914CD" wp14:editId="444E838F">
            <wp:extent cx="5387546" cy="177109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398065" cy="1774556"/>
                    </a:xfrm>
                    <a:prstGeom prst="rect">
                      <a:avLst/>
                    </a:prstGeom>
                  </pic:spPr>
                </pic:pic>
              </a:graphicData>
            </a:graphic>
          </wp:inline>
        </w:drawing>
      </w:r>
    </w:p>
    <w:p w14:paraId="68AD6D02" w14:textId="68E1B0C5" w:rsidR="00D24606" w:rsidRPr="002A7128" w:rsidRDefault="002F66E8" w:rsidP="00200C1D">
      <w:pPr>
        <w:pStyle w:val="Caption"/>
        <w:spacing w:line="480" w:lineRule="auto"/>
        <w:jc w:val="both"/>
        <w:rPr>
          <w:rFonts w:ascii="Calibri" w:hAnsi="Calibri" w:cs="Calibri"/>
          <w:i w:val="0"/>
          <w:iCs w:val="0"/>
          <w:color w:val="000000" w:themeColor="text1"/>
          <w:sz w:val="24"/>
          <w:szCs w:val="24"/>
        </w:rPr>
      </w:pPr>
      <w:bookmarkStart w:id="106" w:name="_Ref116303542"/>
      <w:bookmarkStart w:id="107" w:name="_Toc120789437"/>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19</w:t>
      </w:r>
      <w:r w:rsidRPr="002A7128">
        <w:rPr>
          <w:rFonts w:ascii="Calibri" w:hAnsi="Calibri" w:cs="Calibri"/>
          <w:b/>
          <w:bCs/>
          <w:i w:val="0"/>
          <w:iCs w:val="0"/>
          <w:color w:val="000000" w:themeColor="text1"/>
          <w:sz w:val="24"/>
          <w:szCs w:val="24"/>
        </w:rPr>
        <w:fldChar w:fldCharType="end"/>
      </w:r>
      <w:bookmarkEnd w:id="106"/>
      <w:r w:rsidRPr="002A7128">
        <w:rPr>
          <w:rFonts w:ascii="Calibri" w:hAnsi="Calibri" w:cs="Calibri"/>
          <w:b/>
          <w:bCs/>
          <w:i w:val="0"/>
          <w:iCs w:val="0"/>
          <w:color w:val="000000" w:themeColor="text1"/>
          <w:sz w:val="24"/>
          <w:szCs w:val="24"/>
        </w:rPr>
        <w:t xml:space="preserve"> Quantification on </w:t>
      </w:r>
      <w:r w:rsidR="00AD6EF4">
        <w:rPr>
          <w:rFonts w:ascii="Calibri" w:hAnsi="Calibri" w:cs="Calibri"/>
          <w:b/>
          <w:bCs/>
          <w:i w:val="0"/>
          <w:iCs w:val="0"/>
          <w:color w:val="000000" w:themeColor="text1"/>
          <w:sz w:val="24"/>
          <w:szCs w:val="24"/>
        </w:rPr>
        <w:t>CRT</w:t>
      </w:r>
      <w:r w:rsidRPr="002A7128">
        <w:rPr>
          <w:rFonts w:ascii="Calibri" w:hAnsi="Calibri" w:cs="Calibri"/>
          <w:b/>
          <w:bCs/>
          <w:i w:val="0"/>
          <w:iCs w:val="0"/>
          <w:color w:val="000000" w:themeColor="text1"/>
          <w:sz w:val="24"/>
          <w:szCs w:val="24"/>
        </w:rPr>
        <w:t xml:space="preserve"> intensity on the cell membrane.</w:t>
      </w:r>
      <w:r w:rsidRPr="002A7128">
        <w:rPr>
          <w:rFonts w:ascii="Calibri" w:hAnsi="Calibri" w:cs="Calibri"/>
          <w:i w:val="0"/>
          <w:iCs w:val="0"/>
          <w:color w:val="000000" w:themeColor="text1"/>
          <w:sz w:val="24"/>
          <w:szCs w:val="24"/>
        </w:rPr>
        <w:t xml:space="preserve"> Five random cells were selected and analyzed through ImageJ by measuring mean fluorescence intensity.</w:t>
      </w:r>
      <w:bookmarkEnd w:id="107"/>
    </w:p>
    <w:p w14:paraId="637F03B5" w14:textId="1ABE158A" w:rsidR="002F66E8" w:rsidRPr="002A7128" w:rsidRDefault="002F66E8" w:rsidP="00F675B4">
      <w:pPr>
        <w:spacing w:line="480" w:lineRule="auto"/>
        <w:rPr>
          <w:rFonts w:ascii="Calibri" w:hAnsi="Calibri" w:cs="Calibri"/>
        </w:rPr>
      </w:pPr>
    </w:p>
    <w:p w14:paraId="094D205C" w14:textId="42A4894C" w:rsidR="002F66E8" w:rsidRPr="002A7128" w:rsidRDefault="002F66E8" w:rsidP="00F675B4">
      <w:pPr>
        <w:spacing w:line="480" w:lineRule="auto"/>
        <w:rPr>
          <w:rFonts w:ascii="Calibri" w:hAnsi="Calibri" w:cs="Calibri"/>
        </w:rPr>
      </w:pPr>
    </w:p>
    <w:p w14:paraId="3D33F15E" w14:textId="1D751BC5" w:rsidR="002F66E8" w:rsidRPr="002A7128" w:rsidRDefault="002F66E8" w:rsidP="00F675B4">
      <w:pPr>
        <w:spacing w:line="480" w:lineRule="auto"/>
        <w:rPr>
          <w:rFonts w:ascii="Calibri" w:hAnsi="Calibri" w:cs="Calibri"/>
        </w:rPr>
      </w:pPr>
    </w:p>
    <w:p w14:paraId="30B728F0" w14:textId="70A92532" w:rsidR="00206DE1" w:rsidRPr="002A7128" w:rsidRDefault="00C92790">
      <w:pPr>
        <w:pStyle w:val="Heading2"/>
        <w:numPr>
          <w:ilvl w:val="2"/>
          <w:numId w:val="8"/>
        </w:numPr>
        <w:rPr>
          <w:rFonts w:ascii="Calibri" w:hAnsi="Calibri" w:cs="Calibri"/>
        </w:rPr>
      </w:pPr>
      <w:bookmarkStart w:id="108" w:name="_Toc120794169"/>
      <w:r w:rsidRPr="002A7128">
        <w:rPr>
          <w:rFonts w:ascii="Calibri" w:hAnsi="Calibri" w:cs="Calibri"/>
        </w:rPr>
        <w:t>[II] aggregation induced ICD can be modulated</w:t>
      </w:r>
      <w:bookmarkEnd w:id="108"/>
    </w:p>
    <w:p w14:paraId="2404DE49" w14:textId="69D05861" w:rsidR="00C92790" w:rsidRPr="002A7128" w:rsidRDefault="00C92790" w:rsidP="00C92790">
      <w:pPr>
        <w:rPr>
          <w:rFonts w:ascii="Calibri" w:hAnsi="Calibri" w:cs="Calibri"/>
        </w:rPr>
      </w:pPr>
    </w:p>
    <w:p w14:paraId="24EA9090" w14:textId="2CBE45AF" w:rsidR="00C112F6" w:rsidRPr="002A7128" w:rsidRDefault="00C92790" w:rsidP="00C92790">
      <w:pPr>
        <w:spacing w:line="480" w:lineRule="auto"/>
        <w:jc w:val="both"/>
        <w:rPr>
          <w:rFonts w:ascii="Calibri" w:hAnsi="Calibri" w:cs="Calibri"/>
        </w:rPr>
      </w:pPr>
      <w:r w:rsidRPr="002A7128">
        <w:rPr>
          <w:rFonts w:ascii="Calibri" w:hAnsi="Calibri" w:cs="Calibri"/>
        </w:rPr>
        <w:t>Control of [II] aggregation through albumin leads to different structures like fibrils or oligomer-like structures (</w:t>
      </w:r>
      <w:r w:rsidRPr="002A7128">
        <w:rPr>
          <w:rFonts w:ascii="Calibri" w:hAnsi="Calibri" w:cs="Calibri"/>
        </w:rPr>
        <w:fldChar w:fldCharType="begin"/>
      </w:r>
      <w:r w:rsidRPr="002A7128">
        <w:rPr>
          <w:rFonts w:ascii="Calibri" w:hAnsi="Calibri" w:cs="Calibri"/>
        </w:rPr>
        <w:instrText xml:space="preserve"> REF _Ref116305126  \* MERGEFORMAT </w:instrText>
      </w:r>
      <w:r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15</w:t>
      </w:r>
      <w:r w:rsidRPr="002A7128">
        <w:rPr>
          <w:rFonts w:ascii="Calibri" w:hAnsi="Calibri" w:cs="Calibri"/>
        </w:rPr>
        <w:fldChar w:fldCharType="end"/>
      </w:r>
      <w:r w:rsidRPr="002A7128">
        <w:rPr>
          <w:rFonts w:ascii="Calibri" w:hAnsi="Calibri" w:cs="Calibri"/>
        </w:rPr>
        <w:t xml:space="preserve">). Moreover, oligomer-like structures induce cell stress and display </w:t>
      </w:r>
      <w:r w:rsidR="00AD6EF4">
        <w:rPr>
          <w:rFonts w:ascii="Calibri" w:hAnsi="Calibri" w:cs="Calibri"/>
        </w:rPr>
        <w:t>CRT</w:t>
      </w:r>
      <w:r w:rsidRPr="002A7128">
        <w:rPr>
          <w:rFonts w:ascii="Calibri" w:hAnsi="Calibri" w:cs="Calibri"/>
        </w:rPr>
        <w:t xml:space="preserve"> outer membrane localization, a hallmark of ICD (</w:t>
      </w:r>
      <w:r w:rsidRPr="002A7128">
        <w:rPr>
          <w:rFonts w:ascii="Calibri" w:hAnsi="Calibri" w:cs="Calibri"/>
        </w:rPr>
        <w:fldChar w:fldCharType="begin"/>
      </w:r>
      <w:r w:rsidRPr="002A7128">
        <w:rPr>
          <w:rFonts w:ascii="Calibri" w:hAnsi="Calibri" w:cs="Calibri"/>
        </w:rPr>
        <w:instrText xml:space="preserve"> REF _Ref116303464  \* MERGEFORMAT </w:instrText>
      </w:r>
      <w:r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18</w:t>
      </w:r>
      <w:r w:rsidRPr="002A7128">
        <w:rPr>
          <w:rFonts w:ascii="Calibri" w:hAnsi="Calibri" w:cs="Calibri"/>
        </w:rPr>
        <w:fldChar w:fldCharType="end"/>
      </w:r>
      <w:r w:rsidRPr="002A7128">
        <w:rPr>
          <w:rFonts w:ascii="Calibri" w:hAnsi="Calibri" w:cs="Calibri"/>
        </w:rPr>
        <w:t xml:space="preserve">). </w:t>
      </w:r>
      <w:r w:rsidR="00C112F6" w:rsidRPr="002A7128">
        <w:rPr>
          <w:rFonts w:ascii="Calibri" w:hAnsi="Calibri" w:cs="Calibri"/>
        </w:rPr>
        <w:t>To understand the effect of different aggregation profiles on cell membrane damage and ICD, we tested HEK293T cells with [II] peptide prepared in varying concentrations of albumin and measured the membrane damage at different time points. Increase in oligomer-like structures increased the release of LDH to the extracellular environment, indicating higher membrane damage (</w:t>
      </w:r>
      <w:r w:rsidR="00C112F6" w:rsidRPr="002A7128">
        <w:rPr>
          <w:rFonts w:ascii="Calibri" w:hAnsi="Calibri" w:cs="Calibri"/>
        </w:rPr>
        <w:fldChar w:fldCharType="begin"/>
      </w:r>
      <w:r w:rsidR="00C112F6" w:rsidRPr="002A7128">
        <w:rPr>
          <w:rFonts w:ascii="Calibri" w:hAnsi="Calibri" w:cs="Calibri"/>
        </w:rPr>
        <w:instrText xml:space="preserve"> REF _Ref116306056  \* MERGEFORMAT </w:instrText>
      </w:r>
      <w:r w:rsidR="00C112F6"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20</w:t>
      </w:r>
      <w:r w:rsidR="00C112F6" w:rsidRPr="002A7128">
        <w:rPr>
          <w:rFonts w:ascii="Calibri" w:hAnsi="Calibri" w:cs="Calibri"/>
        </w:rPr>
        <w:fldChar w:fldCharType="end"/>
      </w:r>
      <w:r w:rsidR="00C112F6" w:rsidRPr="002A7128">
        <w:rPr>
          <w:rFonts w:ascii="Calibri" w:hAnsi="Calibri" w:cs="Calibri"/>
        </w:rPr>
        <w:t>A). As, oligomer-like structures increase, cell membrane damage increases as well, while fibrillar structures had minimal to no cell membrane damage (</w:t>
      </w:r>
      <w:r w:rsidR="00C112F6" w:rsidRPr="002A7128">
        <w:rPr>
          <w:rFonts w:ascii="Calibri" w:hAnsi="Calibri" w:cs="Calibri"/>
        </w:rPr>
        <w:fldChar w:fldCharType="begin"/>
      </w:r>
      <w:r w:rsidR="00C112F6" w:rsidRPr="002A7128">
        <w:rPr>
          <w:rFonts w:ascii="Calibri" w:hAnsi="Calibri" w:cs="Calibri"/>
        </w:rPr>
        <w:instrText xml:space="preserve"> REF _Ref116306056  \* MERGEFORMAT </w:instrText>
      </w:r>
      <w:r w:rsidR="00C112F6"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20</w:t>
      </w:r>
      <w:r w:rsidR="00C112F6" w:rsidRPr="002A7128">
        <w:rPr>
          <w:rFonts w:ascii="Calibri" w:hAnsi="Calibri" w:cs="Calibri"/>
        </w:rPr>
        <w:fldChar w:fldCharType="end"/>
      </w:r>
      <w:r w:rsidR="00C112F6" w:rsidRPr="002A7128">
        <w:rPr>
          <w:rFonts w:ascii="Calibri" w:hAnsi="Calibri" w:cs="Calibri"/>
        </w:rPr>
        <w:t>B).</w:t>
      </w:r>
    </w:p>
    <w:p w14:paraId="1EBFFEB7" w14:textId="77777777" w:rsidR="00C112F6" w:rsidRPr="002A7128" w:rsidRDefault="00C112F6" w:rsidP="00C112F6">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2F5A809D" wp14:editId="7A8E624E">
            <wp:extent cx="5943600" cy="4000500"/>
            <wp:effectExtent l="0" t="0" r="0" b="0"/>
            <wp:docPr id="36" name="Picture 36"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calendar&#10;&#10;Description automatically generated"/>
                    <pic:cNvPicPr/>
                  </pic:nvPicPr>
                  <pic:blipFill rotWithShape="1">
                    <a:blip r:embed="rId29" cstate="print">
                      <a:extLst>
                        <a:ext uri="{28A0092B-C50C-407E-A947-70E740481C1C}">
                          <a14:useLocalDpi xmlns:a14="http://schemas.microsoft.com/office/drawing/2010/main" val="0"/>
                        </a:ext>
                      </a:extLst>
                    </a:blip>
                    <a:srcRect b="34701"/>
                    <a:stretch/>
                  </pic:blipFill>
                  <pic:spPr bwMode="auto">
                    <a:xfrm>
                      <a:off x="0" y="0"/>
                      <a:ext cx="5943600" cy="4000500"/>
                    </a:xfrm>
                    <a:prstGeom prst="rect">
                      <a:avLst/>
                    </a:prstGeom>
                    <a:ln>
                      <a:noFill/>
                    </a:ln>
                    <a:extLst>
                      <a:ext uri="{53640926-AAD7-44D8-BBD7-CCE9431645EC}">
                        <a14:shadowObscured xmlns:a14="http://schemas.microsoft.com/office/drawing/2010/main"/>
                      </a:ext>
                    </a:extLst>
                  </pic:spPr>
                </pic:pic>
              </a:graphicData>
            </a:graphic>
          </wp:inline>
        </w:drawing>
      </w:r>
    </w:p>
    <w:p w14:paraId="7936A2B8" w14:textId="61114AC3" w:rsidR="00C112F6" w:rsidRPr="002A7128" w:rsidRDefault="00C112F6" w:rsidP="00200C1D">
      <w:pPr>
        <w:pStyle w:val="Caption"/>
        <w:spacing w:line="480" w:lineRule="auto"/>
        <w:jc w:val="both"/>
        <w:rPr>
          <w:rFonts w:ascii="Calibri" w:hAnsi="Calibri" w:cs="Calibri"/>
          <w:i w:val="0"/>
          <w:iCs w:val="0"/>
          <w:color w:val="000000" w:themeColor="text1"/>
          <w:sz w:val="24"/>
          <w:szCs w:val="24"/>
        </w:rPr>
      </w:pPr>
      <w:bookmarkStart w:id="109" w:name="_Ref116306056"/>
      <w:bookmarkStart w:id="110" w:name="_Toc120789438"/>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20</w:t>
      </w:r>
      <w:r w:rsidRPr="002A7128">
        <w:rPr>
          <w:rFonts w:ascii="Calibri" w:hAnsi="Calibri" w:cs="Calibri"/>
          <w:b/>
          <w:bCs/>
          <w:i w:val="0"/>
          <w:iCs w:val="0"/>
          <w:color w:val="000000" w:themeColor="text1"/>
          <w:sz w:val="24"/>
          <w:szCs w:val="24"/>
        </w:rPr>
        <w:fldChar w:fldCharType="end"/>
      </w:r>
      <w:bookmarkEnd w:id="109"/>
      <w:r w:rsidRPr="002A7128">
        <w:rPr>
          <w:rFonts w:ascii="Calibri" w:hAnsi="Calibri" w:cs="Calibri"/>
          <w:b/>
          <w:bCs/>
          <w:i w:val="0"/>
          <w:iCs w:val="0"/>
          <w:color w:val="000000" w:themeColor="text1"/>
          <w:sz w:val="24"/>
          <w:szCs w:val="24"/>
        </w:rPr>
        <w:t xml:space="preserve"> Cell membrane damage can be modulated through control of [II] peptide aggregation. </w:t>
      </w:r>
      <w:r w:rsidRPr="002A7128">
        <w:rPr>
          <w:rFonts w:ascii="Calibri" w:hAnsi="Calibri" w:cs="Calibri"/>
          <w:i w:val="0"/>
          <w:iCs w:val="0"/>
          <w:color w:val="000000" w:themeColor="text1"/>
          <w:sz w:val="24"/>
          <w:szCs w:val="24"/>
        </w:rPr>
        <w:t xml:space="preserve">(A) LDH release of cells treated with 0.5 mM [II] peptide prepared in indicated albumin %s for 3, 6 and 24h. (B) Schematic illustration showing the effect of fibrillar and oligomer-like structures on the membrane damage. (C) Propidium iodide uptake of cells treated with 0.5 mM [II] peptide prepared in indicated albumin %s for 3, 6 and 24h. The scale bar is 50 </w:t>
      </w:r>
      <w:r w:rsidRPr="00FD1007">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m.</w:t>
      </w:r>
      <w:bookmarkEnd w:id="110"/>
      <w:r w:rsidRPr="002A7128">
        <w:rPr>
          <w:rFonts w:ascii="Calibri" w:hAnsi="Calibri" w:cs="Calibri"/>
          <w:i w:val="0"/>
          <w:iCs w:val="0"/>
          <w:color w:val="000000" w:themeColor="text1"/>
          <w:sz w:val="24"/>
          <w:szCs w:val="24"/>
        </w:rPr>
        <w:t xml:space="preserve"> </w:t>
      </w:r>
    </w:p>
    <w:p w14:paraId="5DA75C7B" w14:textId="1CDBA70F" w:rsidR="00C112F6" w:rsidRPr="002A7128" w:rsidRDefault="00C112F6" w:rsidP="00C92790">
      <w:pPr>
        <w:spacing w:line="480" w:lineRule="auto"/>
        <w:jc w:val="both"/>
        <w:rPr>
          <w:rFonts w:ascii="Calibri" w:hAnsi="Calibri" w:cs="Calibri"/>
        </w:rPr>
      </w:pPr>
    </w:p>
    <w:p w14:paraId="31A49DC7" w14:textId="6508DAC2" w:rsidR="00A926F1" w:rsidRPr="002A7128" w:rsidRDefault="00A926F1" w:rsidP="00C92790">
      <w:pPr>
        <w:spacing w:line="480" w:lineRule="auto"/>
        <w:jc w:val="both"/>
        <w:rPr>
          <w:rFonts w:ascii="Calibri" w:hAnsi="Calibri" w:cs="Calibri"/>
        </w:rPr>
      </w:pPr>
      <w:r w:rsidRPr="002A7128">
        <w:rPr>
          <w:rFonts w:ascii="Calibri" w:hAnsi="Calibri" w:cs="Calibri"/>
        </w:rPr>
        <w:t>Propidium iodide uptake analysis also showed that, as the oligomer-like structures increase, cell membrane increases (</w:t>
      </w:r>
      <w:r w:rsidRPr="002A7128">
        <w:rPr>
          <w:rFonts w:ascii="Calibri" w:hAnsi="Calibri" w:cs="Calibri"/>
        </w:rPr>
        <w:fldChar w:fldCharType="begin"/>
      </w:r>
      <w:r w:rsidRPr="002A7128">
        <w:rPr>
          <w:rFonts w:ascii="Calibri" w:hAnsi="Calibri" w:cs="Calibri"/>
        </w:rPr>
        <w:instrText xml:space="preserve"> REF _Ref116306056  \* MERGEFORMAT </w:instrText>
      </w:r>
      <w:r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20</w:t>
      </w:r>
      <w:r w:rsidRPr="002A7128">
        <w:rPr>
          <w:rFonts w:ascii="Calibri" w:hAnsi="Calibri" w:cs="Calibri"/>
        </w:rPr>
        <w:fldChar w:fldCharType="end"/>
      </w:r>
      <w:r w:rsidRPr="002A7128">
        <w:rPr>
          <w:rFonts w:ascii="Calibri" w:hAnsi="Calibri" w:cs="Calibri"/>
        </w:rPr>
        <w:t>C). These results clearly demonstrate that changing the aggregation profile of [II] peptide alters the membrane damage.</w:t>
      </w:r>
      <w:r w:rsidR="00B126F5" w:rsidRPr="002A7128">
        <w:rPr>
          <w:rFonts w:ascii="Calibri" w:hAnsi="Calibri" w:cs="Calibri"/>
        </w:rPr>
        <w:t xml:space="preserve"> Additionally, regardless of the aggregation status, the eventual cellular outcome is membrane damage for different [II] oligomer-like structures. </w:t>
      </w:r>
    </w:p>
    <w:p w14:paraId="441C1001" w14:textId="039EC126" w:rsidR="00B126F5" w:rsidRPr="002A7128" w:rsidRDefault="00B126F5" w:rsidP="00C92790">
      <w:pPr>
        <w:spacing w:line="480" w:lineRule="auto"/>
        <w:jc w:val="both"/>
        <w:rPr>
          <w:rFonts w:ascii="Calibri" w:hAnsi="Calibri" w:cs="Calibri"/>
        </w:rPr>
      </w:pPr>
    </w:p>
    <w:p w14:paraId="7C647D8E" w14:textId="7627A99F" w:rsidR="00B126F5" w:rsidRPr="002A7128" w:rsidRDefault="00B126F5">
      <w:pPr>
        <w:pStyle w:val="Heading2"/>
        <w:numPr>
          <w:ilvl w:val="2"/>
          <w:numId w:val="8"/>
        </w:numPr>
        <w:rPr>
          <w:rFonts w:ascii="Calibri" w:hAnsi="Calibri" w:cs="Calibri"/>
        </w:rPr>
      </w:pPr>
      <w:bookmarkStart w:id="111" w:name="_Toc120794170"/>
      <w:r w:rsidRPr="002A7128">
        <w:rPr>
          <w:rFonts w:ascii="Calibri" w:hAnsi="Calibri" w:cs="Calibri"/>
        </w:rPr>
        <w:t>[II] aggregation induced ICD induces protective immunity</w:t>
      </w:r>
      <w:bookmarkEnd w:id="111"/>
    </w:p>
    <w:p w14:paraId="6AA32FBF" w14:textId="116B9D50" w:rsidR="00B126F5" w:rsidRPr="002A7128" w:rsidRDefault="00B126F5" w:rsidP="00B126F5">
      <w:pPr>
        <w:rPr>
          <w:rFonts w:ascii="Calibri" w:hAnsi="Calibri" w:cs="Calibri"/>
        </w:rPr>
      </w:pPr>
    </w:p>
    <w:p w14:paraId="76AF9FAA" w14:textId="28E64D32" w:rsidR="00206DE1" w:rsidRPr="002A7128" w:rsidRDefault="00B126F5" w:rsidP="00C92790">
      <w:pPr>
        <w:spacing w:line="480" w:lineRule="auto"/>
        <w:jc w:val="both"/>
        <w:rPr>
          <w:rFonts w:ascii="Calibri" w:hAnsi="Calibri" w:cs="Calibri"/>
        </w:rPr>
      </w:pPr>
      <w:r w:rsidRPr="002A7128">
        <w:rPr>
          <w:rFonts w:ascii="Calibri" w:hAnsi="Calibri" w:cs="Calibri"/>
        </w:rPr>
        <w:t>Different stages of dying cells alter the protective capacity of prophylactic vaccines</w:t>
      </w:r>
      <w:r w:rsidRPr="002A7128">
        <w:rPr>
          <w:rFonts w:ascii="Calibri" w:hAnsi="Calibri" w:cs="Calibri"/>
        </w:rPr>
        <w:fldChar w:fldCharType="begin"/>
      </w:r>
      <w:r w:rsidR="00317E7D" w:rsidRPr="002A7128">
        <w:rPr>
          <w:rFonts w:ascii="Calibri" w:hAnsi="Calibri" w:cs="Calibri"/>
        </w:rPr>
        <w:instrText xml:space="preserve"> ADDIN ZOTERO_ITEM CSL_CITATION {"citationID":"a8ui3rojhf","properties":{"formattedCitation":"\\super 51\\nosupersub{}","plainCitation":"51","noteIndex":0},"citationItems":[{"id":9877,"uris":["http://zotero.org/groups/2667333/items/AJSMBY7R"],"itemData":{"id":9877,"type":"article-journal","abstract":"Background\n              Immunotherapy represents the future of clinical cancer treatment. The type of cancer cell death determines the antitumor immune response and thereby contributes to the efficacy of anticancer therapy and long-term survival of patients. Induction of immunogenic apoptosis or necroptosis in cancer cells does activate antitumor immunity, but resistance to these cell death modalities is common. Therefore, it is of great importance to find other ways to kill tumor cells. Recently, ferroptosis has been identified as a novel, iron-dependent form of regulated cell death but whether ferroptotic cancer cells are immunogenic is unknown.\n            \n            \n              Methods\n              \n                Ferroptotic cell death in murine fibrosarcoma MCA205 or glioma GL261 cells was induced by RAS-selective lethal 3 and ferroptosis was analyzed by flow cytometry, atomic force and confocal microscopy. ATP and high-mobility group box 1 (HMGB1) release were detected by luminescence and ELISA assays, respectively. Immunogenicity in vitro was analyzed by coculturing of ferroptotic cancer cells with bone-marrow derived dendritic cells (BMDCs) and rate of phagocytosis and activation/maturation of BMDCs (CD11c\n                +\n                CD86\n                +\n                , CD11c\n                +\n                CD40\n                +\n                , CD11c\n                +\n                MHCII\n                +\n                , IL-6, RNAseq analysis). The tumor prophylactic vaccination model in immune-competent and immune compromised (Rag-2\n                −/−\n                ) mice was used to analyze ferroptosis immunogenicity.\n              \n            \n            \n              Results\n              \n                Ferroptosis can be induced in cancer cells by inhibition of glutathione peroxidase 4, as evidenced by confocal and atomic force microscopy and inhibitors’ analysis. We demonstrate for the first time that ferroptosis is immunogenic in vitro and in vivo. Early, but not late, ferroptotic cells promote the phenotypic maturation of BMDCs and elicit a vaccination-like effect in immune-competent mice but not in Rag-2\n                −/−\n                mice, suggesting that the mechanism of immunogenicity is very tightly regulated by the adaptive immune system and is time dependent. Also, ATP and HMGB1, the best-characterized damage-associated molecular patterns involved in immunogenic cell death, have proven to be passively released along the timeline of ferroptosis and act as immunogenic signal associated with the immunogenicity of early ferroptotic cancer cells.\n              \n            \n            \n              Conclusions\n              These results pave the way for the development of new therapeutic strategies for cancers based on induction of ferroptosis, and thus broadens the current concept of immunogenic cell death and opens the door for the development of new strategies in cancer immunotherapy.","container-title":"Journal for ImmunoTherapy of Cancer","DOI":"10.1136/jitc-2020-001369","ISSN":"2051-1426","issue":"2","journalAbbreviation":"J Immunother Cancer","language":"en","page":"e001369","source":"DOI.org (Crossref)","title":"Vaccination with early ferroptotic cancer cells induces efficient antitumor immunity","URL":"https://jitc.bmj.com/lookup/doi/10.1136/jitc-2020-001369","volume":"8","author":[{"family":"Efimova","given":"Iuliia"},{"family":"Catanzaro","given":"Elena"},{"family":"Van der Meeren","given":"Louis"},{"family":"Turubanova","given":"Victoria D"},{"family":"Hammad","given":"Hamida"},{"family":"Mishchenko","given":"Tatiana A"},{"family":"Vedunova","given":"Maria V"},{"family":"Fimognari","given":"Carmela"},{"family":"Bachert","given":"Claus"},{"family":"Coppieters","given":"Frauke"},{"family":"Lefever","given":"Steve"},{"family":"Skirtach","given":"Andre G"},{"family":"Krysko","given":"Olga"},{"family":"Krysko","given":"Dmitri V"}],"accessed":{"date-parts":[["2022",1,6]]},"issued":{"date-parts":[["2020",11]]},"citation-key":"efimova_vaccination_2020"}}],"schema":"https://github.com/citation-style-language/schema/raw/master/csl-citation.json"}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51</w:t>
      </w:r>
      <w:r w:rsidRPr="002A7128">
        <w:rPr>
          <w:rFonts w:ascii="Calibri" w:hAnsi="Calibri" w:cs="Calibri"/>
        </w:rPr>
        <w:fldChar w:fldCharType="end"/>
      </w:r>
      <w:r w:rsidRPr="002A7128">
        <w:rPr>
          <w:rFonts w:ascii="Calibri" w:hAnsi="Calibri" w:cs="Calibri"/>
        </w:rPr>
        <w:t xml:space="preserve">. Given that [II] aggregation induces different cell membrane damage, we cultured EMT6 breast cancer cells with 0.5 mM [II] peptide prepared in 0.02%, 0.2% and 2% of albumin and transferred tumor-conditioned medium onto bone marrow derived DCs (BMDCs). We hypothesized that as the cell death progresses in the presence of oligomer-like structures, DAMPs will be differentially release and activate BMDC at different time points. </w:t>
      </w:r>
      <w:r w:rsidR="00F26762" w:rsidRPr="002A7128">
        <w:rPr>
          <w:rFonts w:ascii="Calibri" w:hAnsi="Calibri" w:cs="Calibri"/>
        </w:rPr>
        <w:t>We analyzed the activation of BMDCs by checking IL-1</w:t>
      </w:r>
      <w:r w:rsidR="00F26762" w:rsidRPr="005140F7">
        <w:rPr>
          <w:rFonts w:ascii="Symbol" w:hAnsi="Symbol" w:cs="Calibri"/>
        </w:rPr>
        <w:t>b</w:t>
      </w:r>
      <w:r w:rsidR="00F26762" w:rsidRPr="002A7128">
        <w:rPr>
          <w:rFonts w:ascii="Calibri" w:hAnsi="Calibri" w:cs="Calibri"/>
        </w:rPr>
        <w:t xml:space="preserve"> release at 24h (</w:t>
      </w:r>
      <w:r w:rsidR="00F26762" w:rsidRPr="002A7128">
        <w:rPr>
          <w:rFonts w:ascii="Calibri" w:hAnsi="Calibri" w:cs="Calibri"/>
        </w:rPr>
        <w:fldChar w:fldCharType="begin"/>
      </w:r>
      <w:r w:rsidR="00F26762" w:rsidRPr="002A7128">
        <w:rPr>
          <w:rFonts w:ascii="Calibri" w:hAnsi="Calibri" w:cs="Calibri"/>
        </w:rPr>
        <w:instrText xml:space="preserve"> REF _Ref116307831  \* MERGEFORMAT </w:instrText>
      </w:r>
      <w:r w:rsidR="00F26762"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21</w:t>
      </w:r>
      <w:r w:rsidR="00F26762" w:rsidRPr="002A7128">
        <w:rPr>
          <w:rFonts w:ascii="Calibri" w:hAnsi="Calibri" w:cs="Calibri"/>
        </w:rPr>
        <w:fldChar w:fldCharType="end"/>
      </w:r>
      <w:r w:rsidR="00063EA1" w:rsidRPr="002A7128">
        <w:rPr>
          <w:rFonts w:ascii="Calibri" w:hAnsi="Calibri" w:cs="Calibri"/>
        </w:rPr>
        <w:t>A</w:t>
      </w:r>
      <w:r w:rsidR="00F26762" w:rsidRPr="002A7128">
        <w:rPr>
          <w:rFonts w:ascii="Calibri" w:hAnsi="Calibri" w:cs="Calibri"/>
        </w:rPr>
        <w:t>).</w:t>
      </w:r>
      <w:r w:rsidR="00063EA1" w:rsidRPr="002A7128">
        <w:rPr>
          <w:rFonts w:ascii="Calibri" w:hAnsi="Calibri" w:cs="Calibri"/>
        </w:rPr>
        <w:t xml:space="preserve"> BMDC activation in terms of IL-1</w:t>
      </w:r>
      <w:r w:rsidR="00063EA1" w:rsidRPr="005140F7">
        <w:rPr>
          <w:rFonts w:ascii="Symbol" w:hAnsi="Symbol" w:cs="Calibri"/>
        </w:rPr>
        <w:t>b</w:t>
      </w:r>
      <w:r w:rsidR="00063EA1" w:rsidRPr="002A7128">
        <w:rPr>
          <w:rFonts w:ascii="Calibri" w:hAnsi="Calibri" w:cs="Calibri"/>
        </w:rPr>
        <w:t xml:space="preserve"> release was significantly higher when the supernatant of EMT6 cells treated with 0.5 mM [II] in 0.2% albumin at 3h and 0.5 mM [II] in 2% albumin at 1.5h (</w:t>
      </w:r>
      <w:r w:rsidR="00063EA1" w:rsidRPr="002A7128">
        <w:rPr>
          <w:rFonts w:ascii="Calibri" w:hAnsi="Calibri" w:cs="Calibri"/>
        </w:rPr>
        <w:fldChar w:fldCharType="begin"/>
      </w:r>
      <w:r w:rsidR="00063EA1" w:rsidRPr="002A7128">
        <w:rPr>
          <w:rFonts w:ascii="Calibri" w:hAnsi="Calibri" w:cs="Calibri"/>
        </w:rPr>
        <w:instrText xml:space="preserve"> REF _Ref116307831  \* MERGEFORMAT </w:instrText>
      </w:r>
      <w:r w:rsidR="00063EA1"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21</w:t>
      </w:r>
      <w:r w:rsidR="00063EA1" w:rsidRPr="002A7128">
        <w:rPr>
          <w:rFonts w:ascii="Calibri" w:hAnsi="Calibri" w:cs="Calibri"/>
        </w:rPr>
        <w:fldChar w:fldCharType="end"/>
      </w:r>
      <w:r w:rsidR="00063EA1" w:rsidRPr="002A7128">
        <w:rPr>
          <w:rFonts w:ascii="Calibri" w:hAnsi="Calibri" w:cs="Calibri"/>
        </w:rPr>
        <w:t xml:space="preserve">B). </w:t>
      </w:r>
      <w:r w:rsidR="0072453A" w:rsidRPr="002A7128">
        <w:rPr>
          <w:rFonts w:ascii="Calibri" w:hAnsi="Calibri" w:cs="Calibri"/>
        </w:rPr>
        <w:t xml:space="preserve"> IL-1</w:t>
      </w:r>
      <w:r w:rsidR="0072453A" w:rsidRPr="005140F7">
        <w:rPr>
          <w:rFonts w:ascii="Symbol" w:hAnsi="Symbol" w:cs="Calibri"/>
        </w:rPr>
        <w:t>b</w:t>
      </w:r>
      <w:r w:rsidR="0072453A" w:rsidRPr="002A7128">
        <w:rPr>
          <w:rFonts w:ascii="Calibri" w:hAnsi="Calibri" w:cs="Calibri"/>
        </w:rPr>
        <w:t xml:space="preserve"> release is critical for the formation of protective anti-tumor immunity</w:t>
      </w:r>
      <w:r w:rsidR="0072453A" w:rsidRPr="002A7128">
        <w:rPr>
          <w:rFonts w:ascii="Calibri" w:hAnsi="Calibri" w:cs="Calibri"/>
        </w:rPr>
        <w:fldChar w:fldCharType="begin"/>
      </w:r>
      <w:r w:rsidR="00317E7D" w:rsidRPr="002A7128">
        <w:rPr>
          <w:rFonts w:ascii="Calibri" w:hAnsi="Calibri" w:cs="Calibri"/>
        </w:rPr>
        <w:instrText xml:space="preserve"> ADDIN ZOTERO_ITEM CSL_CITATION {"citationID":"act40p4p89","properties":{"formattedCitation":"\\super 20\\nosupersub{}","plainCitation":"20","noteIndex":0},"citationItems":[{"id":6657,"uris":["http://zotero.org/groups/2667333/items/KQE4FK7H"],"itemData":{"id":6657,"type":"article-journal","abstract":"Dying tumor cells release ATP, which activates the NLRP3 inflammasome in dendritic cells, enabling the secretion of interleukin-1β and the subsequent priming of tumor-specific interferon-γ-producing T lymphocytes.","container-title":"Nature Medicine","DOI":"10.1038/nm.2028","ISSN":"1546-170X","issue":"10","journalAbbreviation":"Nat Med","language":"en","license":"2009 Nature Publishing Group","note":"number: 10\npublisher: Nature Publishing Group","page":"1170-1178","source":"www.nature.com","title":"Activation of the NLRP3 inflammasome in dendritic cells induces IL-1β–dependent adaptive immunity against tumors","URL":"https://www.nature.com/articles/nm.2028","volume":"15","author":[{"family":"Ghiringhelli","given":"François"},{"family":"Apetoh","given":"Lionel"},{"family":"Tesniere","given":"Antoine"},{"family":"Aymeric","given":"Laetitia"},{"family":"Ma","given":"Yuting"},{"family":"Ortiz","given":"Carla"},{"family":"Vermaelen","given":"Karim"},{"family":"Panaretakis","given":"Theocharis"},{"family":"Mignot","given":"Grégoire"},{"family":"Ullrich","given":"Evelyn"},{"family":"Perfettini","given":"Jean-Luc"},{"family":"Schlemmer","given":"Frédéric"},{"family":"Tasdemir","given":"Ezgi"},{"family":"Uhl","given":"Martin"},{"family":"Génin","given":"Pierre"},{"family":"Civas","given":"Ahmet"},{"family":"Ryffel","given":"Bernhard"},{"family":"Kanellopoulos","given":"Jean"},{"family":"Tschopp","given":"Jürg"},{"family":"André","given":"Fabrice"},{"family":"Lidereau","given":"Rosette"},{"family":"McLaughlin","given":"Nicole M."},{"family":"Haynes","given":"Nicole M."},{"family":"Smyth","given":"Mark J."},{"family":"Kroemer","given":"Guido"},{"family":"Zitvogel","given":"Laurence"}],"accessed":{"date-parts":[["2021",6,8]]},"issued":{"date-parts":[["2009",10]]},"citation-key":"ghiringhelli_activation_2009"}}],"schema":"https://github.com/citation-style-language/schema/raw/master/csl-citation.json"} </w:instrText>
      </w:r>
      <w:r w:rsidR="0072453A" w:rsidRPr="002A7128">
        <w:rPr>
          <w:rFonts w:ascii="Calibri" w:hAnsi="Calibri" w:cs="Calibri"/>
        </w:rPr>
        <w:fldChar w:fldCharType="separate"/>
      </w:r>
      <w:r w:rsidR="00317E7D" w:rsidRPr="002A7128">
        <w:rPr>
          <w:rFonts w:ascii="Calibri" w:hAnsi="Calibri" w:cs="Calibri"/>
          <w:vertAlign w:val="superscript"/>
        </w:rPr>
        <w:t>20</w:t>
      </w:r>
      <w:r w:rsidR="0072453A" w:rsidRPr="002A7128">
        <w:rPr>
          <w:rFonts w:ascii="Calibri" w:hAnsi="Calibri" w:cs="Calibri"/>
        </w:rPr>
        <w:fldChar w:fldCharType="end"/>
      </w:r>
      <w:r w:rsidR="0072453A" w:rsidRPr="002A7128">
        <w:rPr>
          <w:rFonts w:ascii="Calibri" w:hAnsi="Calibri" w:cs="Calibri"/>
        </w:rPr>
        <w:t xml:space="preserve"> and g</w:t>
      </w:r>
      <w:r w:rsidR="00063EA1" w:rsidRPr="002A7128">
        <w:rPr>
          <w:rFonts w:ascii="Calibri" w:hAnsi="Calibri" w:cs="Calibri"/>
        </w:rPr>
        <w:t>iven these two conditions activate the BMDCs the most, we designed a prophylactic vaccination model in which the mice were vaccinated with dying cells followed by challenge with live EMT6 cells (</w:t>
      </w:r>
      <w:r w:rsidR="00063EA1" w:rsidRPr="002A7128">
        <w:rPr>
          <w:rFonts w:ascii="Calibri" w:hAnsi="Calibri" w:cs="Calibri"/>
        </w:rPr>
        <w:fldChar w:fldCharType="begin"/>
      </w:r>
      <w:r w:rsidR="00063EA1" w:rsidRPr="002A7128">
        <w:rPr>
          <w:rFonts w:ascii="Calibri" w:hAnsi="Calibri" w:cs="Calibri"/>
        </w:rPr>
        <w:instrText xml:space="preserve"> REF _Ref116307831  \* MERGEFORMAT </w:instrText>
      </w:r>
      <w:r w:rsidR="00063EA1"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21</w:t>
      </w:r>
      <w:r w:rsidR="00063EA1" w:rsidRPr="002A7128">
        <w:rPr>
          <w:rFonts w:ascii="Calibri" w:hAnsi="Calibri" w:cs="Calibri"/>
        </w:rPr>
        <w:fldChar w:fldCharType="end"/>
      </w:r>
      <w:r w:rsidR="00470F4A" w:rsidRPr="002A7128">
        <w:rPr>
          <w:rFonts w:ascii="Calibri" w:hAnsi="Calibri" w:cs="Calibri"/>
        </w:rPr>
        <w:t>E</w:t>
      </w:r>
      <w:r w:rsidR="00063EA1" w:rsidRPr="002A7128">
        <w:rPr>
          <w:rFonts w:ascii="Calibri" w:hAnsi="Calibri" w:cs="Calibri"/>
        </w:rPr>
        <w:t xml:space="preserve">). </w:t>
      </w:r>
      <w:r w:rsidR="00470F4A" w:rsidRPr="002A7128">
        <w:rPr>
          <w:rFonts w:ascii="Calibri" w:hAnsi="Calibri" w:cs="Calibri"/>
        </w:rPr>
        <w:t>Prior to injection, we analyzed the viability of dying cells and found that treatment with 0.5 mM [II] peptide in 0.2% for 3h and in 2% for 1.5h resulted in similar cell death, analyzed by propidium iodide uptake and intracellular ATP measurement (</w:t>
      </w:r>
      <w:r w:rsidR="00470F4A" w:rsidRPr="002A7128">
        <w:rPr>
          <w:rFonts w:ascii="Calibri" w:hAnsi="Calibri" w:cs="Calibri"/>
        </w:rPr>
        <w:fldChar w:fldCharType="begin"/>
      </w:r>
      <w:r w:rsidR="00470F4A" w:rsidRPr="002A7128">
        <w:rPr>
          <w:rFonts w:ascii="Calibri" w:hAnsi="Calibri" w:cs="Calibri"/>
        </w:rPr>
        <w:instrText xml:space="preserve"> REF _Ref116307831  \* MERGEFORMAT </w:instrText>
      </w:r>
      <w:r w:rsidR="00470F4A"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21</w:t>
      </w:r>
      <w:r w:rsidR="00470F4A" w:rsidRPr="002A7128">
        <w:rPr>
          <w:rFonts w:ascii="Calibri" w:hAnsi="Calibri" w:cs="Calibri"/>
        </w:rPr>
        <w:fldChar w:fldCharType="end"/>
      </w:r>
      <w:r w:rsidR="00470F4A" w:rsidRPr="002A7128">
        <w:rPr>
          <w:rFonts w:ascii="Calibri" w:hAnsi="Calibri" w:cs="Calibri"/>
        </w:rPr>
        <w:t>C and D). Control mice, which were vaccinated with only PBS had palpable tumor as early as day 5 and by day 7 all the mice in the control group had tumors. By day 10, 4 mice from 0.5 mM [II] in 2% MSA treated EMT6 cells had tumor, while one mouse had complete protection (20%) throughout the study. Complete protection was 40% when the vaccination was carried out with EMT6 cells treated with 0.5 mM [II] in 0.2% MSA (</w:t>
      </w:r>
      <w:r w:rsidR="00470F4A" w:rsidRPr="002A7128">
        <w:rPr>
          <w:rFonts w:ascii="Calibri" w:hAnsi="Calibri" w:cs="Calibri"/>
        </w:rPr>
        <w:fldChar w:fldCharType="begin"/>
      </w:r>
      <w:r w:rsidR="00470F4A" w:rsidRPr="002A7128">
        <w:rPr>
          <w:rFonts w:ascii="Calibri" w:hAnsi="Calibri" w:cs="Calibri"/>
        </w:rPr>
        <w:instrText xml:space="preserve"> REF _Ref116307831  \* MERGEFORMAT </w:instrText>
      </w:r>
      <w:r w:rsidR="00470F4A" w:rsidRPr="002A7128">
        <w:rPr>
          <w:rFonts w:ascii="Calibri" w:hAnsi="Calibri" w:cs="Calibri"/>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21</w:t>
      </w:r>
      <w:r w:rsidR="00470F4A" w:rsidRPr="002A7128">
        <w:rPr>
          <w:rFonts w:ascii="Calibri" w:hAnsi="Calibri" w:cs="Calibri"/>
        </w:rPr>
        <w:fldChar w:fldCharType="end"/>
      </w:r>
      <w:r w:rsidR="00470F4A" w:rsidRPr="002A7128">
        <w:rPr>
          <w:rFonts w:ascii="Calibri" w:hAnsi="Calibri" w:cs="Calibri"/>
        </w:rPr>
        <w:t xml:space="preserve">F).  </w:t>
      </w:r>
    </w:p>
    <w:p w14:paraId="737A01E6" w14:textId="77777777" w:rsidR="00CE648D" w:rsidRPr="002A7128" w:rsidRDefault="00CE648D" w:rsidP="00CE648D">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2B81D5E4" wp14:editId="5F9FC5BE">
            <wp:extent cx="5346700" cy="5276850"/>
            <wp:effectExtent l="0" t="0" r="0" b="0"/>
            <wp:docPr id="37" name="Picture 3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Graphical user interface&#10;&#10;Description automatically generated"/>
                    <pic:cNvPicPr/>
                  </pic:nvPicPr>
                  <pic:blipFill rotWithShape="1">
                    <a:blip r:embed="rId30" cstate="print">
                      <a:extLst>
                        <a:ext uri="{28A0092B-C50C-407E-A947-70E740481C1C}">
                          <a14:useLocalDpi xmlns:a14="http://schemas.microsoft.com/office/drawing/2010/main" val="0"/>
                        </a:ext>
                      </a:extLst>
                    </a:blip>
                    <a:srcRect b="6629"/>
                    <a:stretch/>
                  </pic:blipFill>
                  <pic:spPr bwMode="auto">
                    <a:xfrm>
                      <a:off x="0" y="0"/>
                      <a:ext cx="5346700" cy="5276850"/>
                    </a:xfrm>
                    <a:prstGeom prst="rect">
                      <a:avLst/>
                    </a:prstGeom>
                    <a:ln>
                      <a:noFill/>
                    </a:ln>
                    <a:extLst>
                      <a:ext uri="{53640926-AAD7-44D8-BBD7-CCE9431645EC}">
                        <a14:shadowObscured xmlns:a14="http://schemas.microsoft.com/office/drawing/2010/main"/>
                      </a:ext>
                    </a:extLst>
                  </pic:spPr>
                </pic:pic>
              </a:graphicData>
            </a:graphic>
          </wp:inline>
        </w:drawing>
      </w:r>
    </w:p>
    <w:p w14:paraId="2EAEB37F" w14:textId="77777777" w:rsidR="007D2ECB" w:rsidRPr="002A7128" w:rsidRDefault="00CE648D" w:rsidP="007D2ECB">
      <w:pPr>
        <w:pStyle w:val="Caption"/>
        <w:spacing w:line="480" w:lineRule="auto"/>
        <w:jc w:val="both"/>
        <w:rPr>
          <w:rFonts w:ascii="Calibri" w:hAnsi="Calibri" w:cs="Calibri"/>
          <w:i w:val="0"/>
          <w:iCs w:val="0"/>
          <w:color w:val="000000" w:themeColor="text1"/>
          <w:sz w:val="24"/>
          <w:szCs w:val="24"/>
        </w:rPr>
      </w:pPr>
      <w:bookmarkStart w:id="112" w:name="_Ref116307831"/>
      <w:bookmarkStart w:id="113" w:name="_Toc120789439"/>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21</w:t>
      </w:r>
      <w:r w:rsidRPr="002A7128">
        <w:rPr>
          <w:rFonts w:ascii="Calibri" w:hAnsi="Calibri" w:cs="Calibri"/>
          <w:b/>
          <w:bCs/>
          <w:i w:val="0"/>
          <w:iCs w:val="0"/>
          <w:color w:val="000000" w:themeColor="text1"/>
          <w:sz w:val="24"/>
          <w:szCs w:val="24"/>
        </w:rPr>
        <w:fldChar w:fldCharType="end"/>
      </w:r>
      <w:bookmarkEnd w:id="112"/>
      <w:r w:rsidRPr="002A7128">
        <w:rPr>
          <w:rFonts w:ascii="Calibri" w:hAnsi="Calibri" w:cs="Calibri"/>
          <w:b/>
          <w:bCs/>
          <w:i w:val="0"/>
          <w:iCs w:val="0"/>
          <w:color w:val="000000" w:themeColor="text1"/>
          <w:sz w:val="24"/>
          <w:szCs w:val="24"/>
        </w:rPr>
        <w:t xml:space="preserve"> [II] peptide aggregation induced cell death stages effect immunogenicity. </w:t>
      </w:r>
      <w:r w:rsidRPr="002A7128">
        <w:rPr>
          <w:rFonts w:ascii="Calibri" w:hAnsi="Calibri" w:cs="Calibri"/>
          <w:i w:val="0"/>
          <w:iCs w:val="0"/>
          <w:color w:val="000000" w:themeColor="text1"/>
          <w:sz w:val="24"/>
          <w:szCs w:val="24"/>
        </w:rPr>
        <w:t>Experimental design involving the treatment of EMT6 cells for 1.5 and 3h with 0.5 mM [II] peptide prepared in 0.02%, 0.2% and 2% albumin, transfer of supernatant onto BMDCs and analysis of IL-1</w:t>
      </w:r>
      <w:r w:rsidRPr="00FD1007">
        <w:rPr>
          <w:rFonts w:ascii="Symbol" w:hAnsi="Symbol" w:cs="Calibri"/>
          <w:i w:val="0"/>
          <w:iCs w:val="0"/>
          <w:color w:val="000000" w:themeColor="text1"/>
          <w:sz w:val="24"/>
          <w:szCs w:val="24"/>
        </w:rPr>
        <w:t>b</w:t>
      </w:r>
      <w:r w:rsidRPr="002A7128">
        <w:rPr>
          <w:rFonts w:ascii="Calibri" w:hAnsi="Calibri" w:cs="Calibri"/>
          <w:i w:val="0"/>
          <w:iCs w:val="0"/>
          <w:color w:val="000000" w:themeColor="text1"/>
          <w:sz w:val="24"/>
          <w:szCs w:val="24"/>
        </w:rPr>
        <w:t xml:space="preserve"> release 24h later (A). Rele</w:t>
      </w:r>
      <w:r w:rsidR="006A66A7" w:rsidRPr="002A7128">
        <w:rPr>
          <w:rFonts w:ascii="Calibri" w:hAnsi="Calibri" w:cs="Calibri"/>
          <w:i w:val="0"/>
          <w:iCs w:val="0"/>
          <w:color w:val="000000" w:themeColor="text1"/>
          <w:sz w:val="24"/>
          <w:szCs w:val="24"/>
        </w:rPr>
        <w:t>a</w:t>
      </w:r>
      <w:r w:rsidRPr="002A7128">
        <w:rPr>
          <w:rFonts w:ascii="Calibri" w:hAnsi="Calibri" w:cs="Calibri"/>
          <w:i w:val="0"/>
          <w:iCs w:val="0"/>
          <w:color w:val="000000" w:themeColor="text1"/>
          <w:sz w:val="24"/>
          <w:szCs w:val="24"/>
        </w:rPr>
        <w:t>se of IL-1</w:t>
      </w:r>
      <w:r w:rsidR="006A66A7" w:rsidRPr="00FD1007">
        <w:rPr>
          <w:rFonts w:ascii="Symbol" w:hAnsi="Symbol" w:cs="Calibri"/>
          <w:i w:val="0"/>
          <w:iCs w:val="0"/>
          <w:color w:val="000000" w:themeColor="text1"/>
          <w:sz w:val="24"/>
          <w:szCs w:val="24"/>
        </w:rPr>
        <w:t>b</w:t>
      </w:r>
      <w:r w:rsidR="006A66A7" w:rsidRPr="002A7128">
        <w:rPr>
          <w:rFonts w:ascii="Calibri" w:hAnsi="Calibri" w:cs="Calibri"/>
          <w:i w:val="0"/>
          <w:iCs w:val="0"/>
          <w:color w:val="000000" w:themeColor="text1"/>
          <w:sz w:val="24"/>
          <w:szCs w:val="24"/>
        </w:rPr>
        <w:t xml:space="preserve"> </w:t>
      </w:r>
      <w:r w:rsidRPr="002A7128">
        <w:rPr>
          <w:rFonts w:ascii="Calibri" w:hAnsi="Calibri" w:cs="Calibri"/>
          <w:i w:val="0"/>
          <w:iCs w:val="0"/>
          <w:color w:val="000000" w:themeColor="text1"/>
          <w:sz w:val="24"/>
          <w:szCs w:val="24"/>
        </w:rPr>
        <w:t>from BMDCs at 24h (B). Propidium iodide (C) and ATP analysis (D) of dying cells prior to injection. Experimental design for prophylactic vaccination (E). Tumor-free mice survival graph (F)</w:t>
      </w:r>
      <w:r w:rsidR="007D2ECB" w:rsidRPr="002A7128">
        <w:rPr>
          <w:rFonts w:ascii="Calibri" w:hAnsi="Calibri" w:cs="Calibri"/>
          <w:i w:val="0"/>
          <w:iCs w:val="0"/>
          <w:color w:val="000000" w:themeColor="text1"/>
          <w:sz w:val="24"/>
          <w:szCs w:val="24"/>
        </w:rPr>
        <w:t xml:space="preserve"> This figure is prepared using </w:t>
      </w:r>
      <w:proofErr w:type="spellStart"/>
      <w:r w:rsidR="007D2ECB" w:rsidRPr="002A7128">
        <w:rPr>
          <w:rFonts w:ascii="Calibri" w:hAnsi="Calibri" w:cs="Calibri"/>
          <w:i w:val="0"/>
          <w:iCs w:val="0"/>
          <w:color w:val="000000" w:themeColor="text1"/>
          <w:sz w:val="24"/>
          <w:szCs w:val="24"/>
        </w:rPr>
        <w:t>BioRender</w:t>
      </w:r>
      <w:proofErr w:type="spellEnd"/>
      <w:r w:rsidR="007D2ECB" w:rsidRPr="002A7128">
        <w:rPr>
          <w:rFonts w:ascii="Calibri" w:hAnsi="Calibri" w:cs="Calibri"/>
          <w:i w:val="0"/>
          <w:iCs w:val="0"/>
          <w:color w:val="000000" w:themeColor="text1"/>
          <w:sz w:val="24"/>
          <w:szCs w:val="24"/>
        </w:rPr>
        <w:t>.</w:t>
      </w:r>
      <w:bookmarkEnd w:id="113"/>
    </w:p>
    <w:p w14:paraId="5657967B" w14:textId="7F28D6FD" w:rsidR="00206DE1" w:rsidRPr="002A7128" w:rsidRDefault="00206DE1" w:rsidP="000A41EE">
      <w:pPr>
        <w:pStyle w:val="Caption"/>
        <w:spacing w:line="480" w:lineRule="auto"/>
        <w:jc w:val="both"/>
        <w:rPr>
          <w:rFonts w:ascii="Calibri" w:hAnsi="Calibri" w:cs="Calibri"/>
          <w:i w:val="0"/>
          <w:iCs w:val="0"/>
          <w:color w:val="000000" w:themeColor="text1"/>
          <w:sz w:val="24"/>
          <w:szCs w:val="24"/>
        </w:rPr>
      </w:pPr>
    </w:p>
    <w:p w14:paraId="0AA707B0" w14:textId="7FFC0A6A" w:rsidR="00206DE1" w:rsidRPr="002A7128" w:rsidRDefault="00206DE1" w:rsidP="00C92790">
      <w:pPr>
        <w:spacing w:line="480" w:lineRule="auto"/>
        <w:jc w:val="both"/>
        <w:rPr>
          <w:rFonts w:ascii="Calibri" w:hAnsi="Calibri" w:cs="Calibri"/>
        </w:rPr>
      </w:pPr>
    </w:p>
    <w:p w14:paraId="1857D377" w14:textId="23A34810" w:rsidR="00206DE1" w:rsidRPr="002A7128" w:rsidRDefault="00CE6EC4" w:rsidP="00D26013">
      <w:pPr>
        <w:spacing w:line="480" w:lineRule="auto"/>
        <w:jc w:val="both"/>
        <w:rPr>
          <w:rFonts w:ascii="Calibri" w:hAnsi="Calibri" w:cs="Calibri"/>
        </w:rPr>
      </w:pPr>
      <w:r w:rsidRPr="002A7128">
        <w:rPr>
          <w:rFonts w:ascii="Calibri" w:hAnsi="Calibri" w:cs="Calibri"/>
        </w:rPr>
        <w:t xml:space="preserve">These results indicate that dying cells through [II] treatment is potentially protective against live challenge. Modulation of aggregation using albumin, results in different cell death profiles which ultimately changes the protective capacity of the vaccine. </w:t>
      </w:r>
    </w:p>
    <w:p w14:paraId="6438D757" w14:textId="530CB0F5" w:rsidR="002212F0" w:rsidRPr="002A7128" w:rsidRDefault="002212F0">
      <w:pPr>
        <w:pStyle w:val="Heading2"/>
        <w:numPr>
          <w:ilvl w:val="1"/>
          <w:numId w:val="8"/>
        </w:numPr>
        <w:spacing w:line="480" w:lineRule="auto"/>
        <w:rPr>
          <w:rFonts w:ascii="Calibri" w:hAnsi="Calibri" w:cs="Calibri"/>
        </w:rPr>
      </w:pPr>
      <w:bookmarkStart w:id="114" w:name="_Toc120794171"/>
      <w:r w:rsidRPr="002A7128">
        <w:rPr>
          <w:rFonts w:ascii="Calibri" w:hAnsi="Calibri" w:cs="Calibri"/>
        </w:rPr>
        <w:t>Conclusions</w:t>
      </w:r>
      <w:bookmarkEnd w:id="114"/>
      <w:r w:rsidRPr="002A7128">
        <w:rPr>
          <w:rFonts w:ascii="Calibri" w:hAnsi="Calibri" w:cs="Calibri"/>
        </w:rPr>
        <w:t xml:space="preserve"> </w:t>
      </w:r>
    </w:p>
    <w:p w14:paraId="73AA0B08" w14:textId="58989DA6" w:rsidR="002212F0" w:rsidRPr="002A7128" w:rsidRDefault="002212F0" w:rsidP="00F675B4">
      <w:pPr>
        <w:spacing w:line="480" w:lineRule="auto"/>
        <w:ind w:firstLine="720"/>
        <w:jc w:val="both"/>
        <w:rPr>
          <w:rFonts w:ascii="Calibri" w:hAnsi="Calibri" w:cs="Calibri"/>
        </w:rPr>
      </w:pPr>
      <w:r w:rsidRPr="002A7128">
        <w:rPr>
          <w:rFonts w:ascii="Calibri" w:hAnsi="Calibri" w:cs="Calibri"/>
        </w:rPr>
        <w:t xml:space="preserve">Here we show that [II] aggregation induces cell membrane damage and engages cell stress markers as in a variety of neurodegenerative disorders. Furthermore, we showed that this aggregation can be controlled by using albumin. [II] aggregation-induced the phosphorylation of eIF2α and </w:t>
      </w:r>
      <w:r w:rsidR="00AD6EF4">
        <w:rPr>
          <w:rFonts w:ascii="Calibri" w:hAnsi="Calibri" w:cs="Calibri"/>
        </w:rPr>
        <w:t>CRT</w:t>
      </w:r>
      <w:r w:rsidRPr="002A7128">
        <w:rPr>
          <w:rFonts w:ascii="Calibri" w:hAnsi="Calibri" w:cs="Calibri"/>
        </w:rPr>
        <w:t xml:space="preserve"> surface localization, which highlighted ICD. </w:t>
      </w:r>
      <w:r w:rsidR="00CE6EC4" w:rsidRPr="002A7128">
        <w:rPr>
          <w:rFonts w:ascii="Calibri" w:hAnsi="Calibri" w:cs="Calibri"/>
        </w:rPr>
        <w:t>T</w:t>
      </w:r>
      <w:r w:rsidRPr="002A7128">
        <w:rPr>
          <w:rFonts w:ascii="Calibri" w:hAnsi="Calibri" w:cs="Calibri"/>
        </w:rPr>
        <w:t>he modulation of peptide aggregation presented here, allows us to control cell membrane damage and oﬀers us to modulate immunogenic cell death.</w:t>
      </w:r>
      <w:r w:rsidR="00CE6EC4" w:rsidRPr="002A7128">
        <w:rPr>
          <w:rFonts w:ascii="Calibri" w:hAnsi="Calibri" w:cs="Calibri"/>
        </w:rPr>
        <w:t xml:space="preserve"> Additionally, different [II] aggregation profiles enabled different levels of protection in a breast cancer prophylactic vaccination model. </w:t>
      </w:r>
    </w:p>
    <w:p w14:paraId="5D76175C" w14:textId="0DD7E25C" w:rsidR="002212F0" w:rsidRPr="002A7128" w:rsidRDefault="002212F0" w:rsidP="00F675B4">
      <w:pPr>
        <w:spacing w:line="480" w:lineRule="auto"/>
        <w:ind w:firstLine="720"/>
        <w:jc w:val="both"/>
        <w:rPr>
          <w:rFonts w:ascii="Calibri" w:hAnsi="Calibri" w:cs="Calibri"/>
        </w:rPr>
      </w:pPr>
      <w:r w:rsidRPr="002A7128">
        <w:rPr>
          <w:rFonts w:ascii="Calibri" w:hAnsi="Calibri" w:cs="Calibri"/>
        </w:rPr>
        <w:t>Protein and peptide aggregation is a phenomenon that can be seen in both pathogenic conditions and during developmental stages of amyloid proteins</w:t>
      </w:r>
      <w:r w:rsidR="001A2A45">
        <w:rPr>
          <w:rFonts w:ascii="Calibri" w:hAnsi="Calibri" w:cs="Calibri"/>
        </w:rPr>
        <w:t>.</w:t>
      </w:r>
      <w:r w:rsidRPr="002A7128">
        <w:rPr>
          <w:rFonts w:ascii="Calibri" w:hAnsi="Calibri" w:cs="Calibri"/>
        </w:rPr>
        <w:t xml:space="preserve"> Oligomeric species form transiently during the aggregation process and not only act as essential intermediates but also represent major pathogenic agents in disorders</w:t>
      </w:r>
      <w:r w:rsidR="001A2A45">
        <w:rPr>
          <w:rFonts w:ascii="Calibri" w:hAnsi="Calibri" w:cs="Calibri"/>
        </w:rPr>
        <w:t>.</w:t>
      </w:r>
      <w:r w:rsidRPr="002A7128">
        <w:rPr>
          <w:rFonts w:ascii="Calibri" w:hAnsi="Calibri" w:cs="Calibri"/>
        </w:rPr>
        <w:t xml:space="preserve"> However, the transient and complex structures and aggregates of oligomers create confusing results and challenge in drug development</w:t>
      </w:r>
      <w:r w:rsidR="001A2A45">
        <w:rPr>
          <w:rFonts w:ascii="Calibri" w:hAnsi="Calibri" w:cs="Calibri"/>
        </w:rPr>
        <w:t>.</w:t>
      </w:r>
      <w:r w:rsidRPr="002A7128">
        <w:rPr>
          <w:rFonts w:ascii="Calibri" w:hAnsi="Calibri" w:cs="Calibri"/>
        </w:rPr>
        <w:t xml:space="preserve"> In this study, we showed an engineered peptide complex via </w:t>
      </w:r>
      <w:proofErr w:type="spellStart"/>
      <w:r w:rsidRPr="002A7128">
        <w:rPr>
          <w:rFonts w:ascii="Calibri" w:hAnsi="Calibri" w:cs="Calibri"/>
        </w:rPr>
        <w:t>CoOP</w:t>
      </w:r>
      <w:proofErr w:type="spellEnd"/>
      <w:r w:rsidRPr="002A7128">
        <w:rPr>
          <w:rFonts w:ascii="Calibri" w:hAnsi="Calibri" w:cs="Calibri"/>
        </w:rPr>
        <w:t xml:space="preserve"> strategy as a synthetic and simple tool to study the amyloid aggregation mechanism into ordered assemblies (ﬁbrils) and disordered aggregates (oligomers) with the presence of </w:t>
      </w:r>
      <w:proofErr w:type="gramStart"/>
      <w:r w:rsidRPr="002A7128">
        <w:rPr>
          <w:rFonts w:ascii="Calibri" w:hAnsi="Calibri" w:cs="Calibri"/>
        </w:rPr>
        <w:t>albumin, and</w:t>
      </w:r>
      <w:proofErr w:type="gramEnd"/>
      <w:r w:rsidRPr="002A7128">
        <w:rPr>
          <w:rFonts w:ascii="Calibri" w:hAnsi="Calibri" w:cs="Calibri"/>
        </w:rPr>
        <w:t xml:space="preserve"> correlate it to its toxicity. Importantly, we showed that, albumin can control the aggregation kinetics of [II], which induce mechanical </w:t>
      </w:r>
      <w:r w:rsidRPr="002A7128">
        <w:rPr>
          <w:rFonts w:ascii="Calibri" w:hAnsi="Calibri" w:cs="Calibri"/>
        </w:rPr>
        <w:lastRenderedPageBreak/>
        <w:t>stress on the cells and ICD. The immune response against ICD is potent. Controlling ICD means control over the immune response and progress of amyloidosis-related diseases.</w:t>
      </w:r>
    </w:p>
    <w:p w14:paraId="09721D95" w14:textId="0200130A" w:rsidR="002212F0" w:rsidRPr="002A7128" w:rsidRDefault="002212F0" w:rsidP="007678DF">
      <w:pPr>
        <w:spacing w:line="480" w:lineRule="auto"/>
        <w:ind w:firstLine="720"/>
        <w:jc w:val="both"/>
        <w:rPr>
          <w:rFonts w:ascii="Calibri" w:hAnsi="Calibri" w:cs="Calibri"/>
        </w:rPr>
      </w:pPr>
      <w:r w:rsidRPr="002A7128">
        <w:rPr>
          <w:rFonts w:ascii="Calibri" w:hAnsi="Calibri" w:cs="Calibri"/>
        </w:rPr>
        <w:t>Overall, [II] oﬀers a unique engineered platform to study aggregation kinetics of amyloidosis. The simplicity of [II] as an engineered tool allowed the detailed characterization of disorganized structures to ﬁbril aggregation kinetics and the eﬀects of each step on cell. Studies with [II] can serve to establish clear and direct results for drug development with amyloidosis.</w:t>
      </w:r>
    </w:p>
    <w:p w14:paraId="26A22F8E" w14:textId="1C23C9B8" w:rsidR="002212F0" w:rsidRPr="002A7128" w:rsidRDefault="002212F0">
      <w:pPr>
        <w:pStyle w:val="Heading2"/>
        <w:numPr>
          <w:ilvl w:val="1"/>
          <w:numId w:val="8"/>
        </w:numPr>
        <w:spacing w:line="480" w:lineRule="auto"/>
        <w:rPr>
          <w:rFonts w:ascii="Calibri" w:hAnsi="Calibri" w:cs="Calibri"/>
        </w:rPr>
      </w:pPr>
      <w:bookmarkStart w:id="115" w:name="_Toc120794172"/>
      <w:r w:rsidRPr="002A7128">
        <w:rPr>
          <w:rFonts w:ascii="Calibri" w:hAnsi="Calibri" w:cs="Calibri"/>
        </w:rPr>
        <w:t>Experimental section</w:t>
      </w:r>
      <w:bookmarkEnd w:id="115"/>
    </w:p>
    <w:p w14:paraId="5705D697" w14:textId="7B1CE366" w:rsidR="002212F0" w:rsidRPr="002A7128" w:rsidRDefault="002212F0">
      <w:pPr>
        <w:pStyle w:val="Heading2"/>
        <w:numPr>
          <w:ilvl w:val="2"/>
          <w:numId w:val="8"/>
        </w:numPr>
        <w:spacing w:line="480" w:lineRule="auto"/>
        <w:rPr>
          <w:rFonts w:ascii="Calibri" w:hAnsi="Calibri" w:cs="Calibri"/>
        </w:rPr>
      </w:pPr>
      <w:bookmarkStart w:id="116" w:name="_Toc120794173"/>
      <w:r w:rsidRPr="002A7128">
        <w:rPr>
          <w:rFonts w:ascii="Calibri" w:hAnsi="Calibri" w:cs="Calibri"/>
        </w:rPr>
        <w:t>Peptide Synthesis</w:t>
      </w:r>
      <w:bookmarkEnd w:id="116"/>
    </w:p>
    <w:p w14:paraId="49BF30FE" w14:textId="258AC074" w:rsidR="002212F0" w:rsidRPr="002A7128" w:rsidRDefault="002212F0" w:rsidP="007678DF">
      <w:pPr>
        <w:spacing w:line="480" w:lineRule="auto"/>
        <w:jc w:val="both"/>
        <w:rPr>
          <w:rFonts w:ascii="Calibri" w:hAnsi="Calibri" w:cs="Calibri"/>
        </w:rPr>
      </w:pPr>
      <w:r w:rsidRPr="002A7128">
        <w:rPr>
          <w:rFonts w:ascii="Calibri" w:hAnsi="Calibri" w:cs="Calibri"/>
        </w:rPr>
        <w:t xml:space="preserve">KFFIIK and EFFIIE peptides were synthesized via solid phase peptide synthesis with </w:t>
      </w:r>
      <w:proofErr w:type="spellStart"/>
      <w:r w:rsidRPr="002A7128">
        <w:rPr>
          <w:rFonts w:ascii="Calibri" w:hAnsi="Calibri" w:cs="Calibri"/>
        </w:rPr>
        <w:t>PreludeX</w:t>
      </w:r>
      <w:proofErr w:type="spellEnd"/>
      <w:r w:rsidRPr="002A7128">
        <w:rPr>
          <w:rFonts w:ascii="Calibri" w:hAnsi="Calibri" w:cs="Calibri"/>
        </w:rPr>
        <w:t xml:space="preserve"> automatic peptide synthesizer (Protein Technologies, Inc., Tucson, AZ). They were prepared on a 0.25 scale by repeated amino acid couplings using Fmoc protected amino acid (3 eq. 1mL), DIC (7.5 eq. 1mL) and </w:t>
      </w:r>
      <w:proofErr w:type="spellStart"/>
      <w:r w:rsidRPr="002A7128">
        <w:rPr>
          <w:rFonts w:ascii="Calibri" w:hAnsi="Calibri" w:cs="Calibri"/>
        </w:rPr>
        <w:t>Oxyma</w:t>
      </w:r>
      <w:proofErr w:type="spellEnd"/>
      <w:r w:rsidRPr="002A7128">
        <w:rPr>
          <w:rFonts w:ascii="Calibri" w:hAnsi="Calibri" w:cs="Calibri"/>
        </w:rPr>
        <w:t xml:space="preserve"> (7.5 eq. 1mL). MBHA Rink Amide resin (High-Loaded, Gyros Protein Technologies) was used as solid support to construct the peptides. Fmoc protected amino acids (Gyros Protein Technologies) were removed through treatment with 20% piperidine/DMF solution for 45 min (three times for 15 min) at 80°C. All the peptide conjugation was performed for 2h at 80°C and acetylated with a treatment with 10% acetonitrile/DMF solution for 15 min twice. Cleavage of the peptides from resin and deprotection of acid labile protected amino acids were carried out with a mixture of TFA/ TIS/ water in a ratio of 95:2.5:2.5 for 3 h at room temperature. Excess TFA and organic solvents were removed by evaporation and the remaining peptide was precipitated using diethyl ether at 80°C by using 1:4 volume ratio and stayed overnight. After precipitation, peptides in ether solutions were centrifuged at 8000 rpm for 15 min. Peptide precipitates were collected and ether was removed. The centrifuged white peptide </w:t>
      </w:r>
      <w:r w:rsidRPr="002A7128">
        <w:rPr>
          <w:rFonts w:ascii="Calibri" w:hAnsi="Calibri" w:cs="Calibri"/>
        </w:rPr>
        <w:lastRenderedPageBreak/>
        <w:t>precipitate was dissolved in either (0.1% formic acid in water for KFFIIK peptide) or (0.1% ammonium hydroxide in water for EFFIIE peptide). Peptides were puriﬁed with preparative HPLC (Agilent 1260) with Agilent ZORBAX 300 SB-C18 (9.4 x 250 mm) column with a mobile phase of water/acetonitrile mixture (0.1% ammonium hydroxide) used for negatively charged peptides; water/acetonitrile mixture (0.1% formic acid) was used for positively charged peptides. All peptides were tested with a purity &gt;95%. HPLC run started with 100% water for 3 min, followed by a gradient increase in acetonitrile from 0% to 100% over 25 min, followed 100% acetonitrile for 3 min, and ended with 100% for 2 min. The ﬂow rate is 2 mL/min and injection volumes are 10 µL.</w:t>
      </w:r>
    </w:p>
    <w:p w14:paraId="7F4DB315" w14:textId="420946B3" w:rsidR="002212F0" w:rsidRPr="002A7128" w:rsidRDefault="001043C8">
      <w:pPr>
        <w:pStyle w:val="Heading2"/>
        <w:numPr>
          <w:ilvl w:val="2"/>
          <w:numId w:val="8"/>
        </w:numPr>
        <w:rPr>
          <w:rFonts w:ascii="Calibri" w:hAnsi="Calibri" w:cs="Calibri"/>
          <w:szCs w:val="24"/>
        </w:rPr>
      </w:pPr>
      <w:bookmarkStart w:id="117" w:name="_Toc120794174"/>
      <w:r w:rsidRPr="002A7128">
        <w:rPr>
          <w:rFonts w:ascii="Calibri" w:hAnsi="Calibri" w:cs="Calibri"/>
          <w:szCs w:val="24"/>
        </w:rPr>
        <w:t>Atomic Force Microscopy</w:t>
      </w:r>
      <w:bookmarkEnd w:id="117"/>
    </w:p>
    <w:p w14:paraId="78EA0895" w14:textId="455827E0" w:rsidR="001043C8" w:rsidRPr="002A7128" w:rsidRDefault="001043C8" w:rsidP="001043C8">
      <w:pPr>
        <w:rPr>
          <w:rFonts w:ascii="Calibri" w:hAnsi="Calibri" w:cs="Calibri"/>
        </w:rPr>
      </w:pPr>
    </w:p>
    <w:p w14:paraId="085B8066" w14:textId="77777777" w:rsidR="001043C8" w:rsidRPr="002A7128" w:rsidRDefault="001043C8" w:rsidP="001043C8">
      <w:pPr>
        <w:spacing w:line="480" w:lineRule="auto"/>
        <w:jc w:val="both"/>
        <w:rPr>
          <w:rFonts w:ascii="Calibri" w:hAnsi="Calibri" w:cs="Calibri"/>
        </w:rPr>
      </w:pPr>
      <w:r w:rsidRPr="002A7128">
        <w:rPr>
          <w:rFonts w:ascii="Calibri" w:hAnsi="Calibri" w:cs="Calibri"/>
        </w:rPr>
        <w:t xml:space="preserve">Morphological characterization of [II] was performed with AFM (NX-10 Park Systems Corp) with a non-contact mode by using a cantilever probe (OMCL-AC160TS 5M). Peptide were prepared by either with albumin (0.002 w%, 0.02 w%, 0.2 w%, 2 w%) or without albumin (0 w%) in PBS. At first, 0.5 mM KFFIIK (50 </w:t>
      </w:r>
      <w:proofErr w:type="spellStart"/>
      <w:r w:rsidRPr="002A7128">
        <w:rPr>
          <w:rFonts w:ascii="Calibri" w:hAnsi="Calibri" w:cs="Calibri"/>
          <w:color w:val="000000" w:themeColor="text1"/>
        </w:rPr>
        <w:t>μ</w:t>
      </w:r>
      <w:r w:rsidRPr="002A7128">
        <w:rPr>
          <w:rFonts w:ascii="Calibri" w:hAnsi="Calibri" w:cs="Calibri"/>
        </w:rPr>
        <w:t>L</w:t>
      </w:r>
      <w:proofErr w:type="spellEnd"/>
      <w:r w:rsidRPr="002A7128">
        <w:rPr>
          <w:rFonts w:ascii="Calibri" w:hAnsi="Calibri" w:cs="Calibri"/>
        </w:rPr>
        <w:t xml:space="preserve">) was prepared with or without albumin, and 0.5 mM EFFIIE (50 </w:t>
      </w:r>
      <w:proofErr w:type="spellStart"/>
      <w:r w:rsidRPr="002A7128">
        <w:rPr>
          <w:rFonts w:ascii="Calibri" w:hAnsi="Calibri" w:cs="Calibri"/>
          <w:color w:val="000000" w:themeColor="text1"/>
        </w:rPr>
        <w:t>μ</w:t>
      </w:r>
      <w:r w:rsidRPr="002A7128">
        <w:rPr>
          <w:rFonts w:ascii="Calibri" w:hAnsi="Calibri" w:cs="Calibri"/>
        </w:rPr>
        <w:t>L</w:t>
      </w:r>
      <w:proofErr w:type="spellEnd"/>
      <w:r w:rsidRPr="002A7128">
        <w:rPr>
          <w:rFonts w:ascii="Calibri" w:hAnsi="Calibri" w:cs="Calibri"/>
        </w:rPr>
        <w:t xml:space="preserve">) was prepared with or without albumin in PBS. Then, two oppositely charged peptides were mixed and incubated overnight (~ 20h). For sample preparation, mixed samples were diluted to 0.1 mM with water, and 20 </w:t>
      </w:r>
      <w:proofErr w:type="spellStart"/>
      <w:r w:rsidRPr="002A7128">
        <w:rPr>
          <w:rFonts w:ascii="Calibri" w:hAnsi="Calibri" w:cs="Calibri"/>
          <w:color w:val="000000" w:themeColor="text1"/>
        </w:rPr>
        <w:t>μ</w:t>
      </w:r>
      <w:r w:rsidRPr="002A7128">
        <w:rPr>
          <w:rFonts w:ascii="Calibri" w:hAnsi="Calibri" w:cs="Calibri"/>
        </w:rPr>
        <w:t>L</w:t>
      </w:r>
      <w:proofErr w:type="spellEnd"/>
      <w:r w:rsidRPr="002A7128">
        <w:rPr>
          <w:rFonts w:ascii="Calibri" w:hAnsi="Calibri" w:cs="Calibri"/>
        </w:rPr>
        <w:t xml:space="preserve"> dropped onto a silicon wafer. Prepared samples were dried at room temperature and imaged with a 1 kHz scanning frequency. Data points were taken in a 256 x 256 grid over a 5 </w:t>
      </w:r>
      <w:proofErr w:type="spellStart"/>
      <w:r w:rsidRPr="002A7128">
        <w:rPr>
          <w:rFonts w:ascii="Calibri" w:hAnsi="Calibri" w:cs="Calibri"/>
        </w:rPr>
        <w:t>μm</w:t>
      </w:r>
      <w:proofErr w:type="spellEnd"/>
      <w:r w:rsidRPr="002A7128">
        <w:rPr>
          <w:rFonts w:ascii="Calibri" w:hAnsi="Calibri" w:cs="Calibri"/>
        </w:rPr>
        <w:t xml:space="preserve">–by–5 </w:t>
      </w:r>
      <w:proofErr w:type="spellStart"/>
      <w:r w:rsidRPr="002A7128">
        <w:rPr>
          <w:rFonts w:ascii="Calibri" w:hAnsi="Calibri" w:cs="Calibri"/>
        </w:rPr>
        <w:t>μm</w:t>
      </w:r>
      <w:proofErr w:type="spellEnd"/>
      <w:r w:rsidRPr="002A7128">
        <w:rPr>
          <w:rFonts w:ascii="Calibri" w:hAnsi="Calibri" w:cs="Calibri"/>
        </w:rPr>
        <w:t xml:space="preserve"> area.</w:t>
      </w:r>
    </w:p>
    <w:p w14:paraId="61FE9E01" w14:textId="77777777" w:rsidR="001043C8" w:rsidRPr="002A7128" w:rsidRDefault="001043C8" w:rsidP="001043C8">
      <w:pPr>
        <w:rPr>
          <w:rFonts w:ascii="Calibri" w:hAnsi="Calibri" w:cs="Calibri"/>
        </w:rPr>
      </w:pPr>
    </w:p>
    <w:p w14:paraId="7184A398" w14:textId="1BAB27DA" w:rsidR="002212F0" w:rsidRPr="002A7128" w:rsidRDefault="002212F0">
      <w:pPr>
        <w:pStyle w:val="Heading2"/>
        <w:numPr>
          <w:ilvl w:val="2"/>
          <w:numId w:val="8"/>
        </w:numPr>
        <w:spacing w:line="480" w:lineRule="auto"/>
        <w:rPr>
          <w:rFonts w:ascii="Calibri" w:hAnsi="Calibri" w:cs="Calibri"/>
          <w:szCs w:val="24"/>
        </w:rPr>
      </w:pPr>
      <w:bookmarkStart w:id="118" w:name="_Toc120794175"/>
      <w:r w:rsidRPr="002A7128">
        <w:rPr>
          <w:rFonts w:ascii="Calibri" w:hAnsi="Calibri" w:cs="Calibri"/>
          <w:szCs w:val="24"/>
        </w:rPr>
        <w:lastRenderedPageBreak/>
        <w:t>Cell Culture</w:t>
      </w:r>
      <w:bookmarkEnd w:id="118"/>
    </w:p>
    <w:p w14:paraId="09221F23" w14:textId="1EC59CC2" w:rsidR="00692208" w:rsidRPr="002A7128" w:rsidRDefault="002212F0" w:rsidP="00F675B4">
      <w:pPr>
        <w:spacing w:line="480" w:lineRule="auto"/>
        <w:jc w:val="both"/>
        <w:rPr>
          <w:rFonts w:ascii="Calibri" w:hAnsi="Calibri" w:cs="Calibri"/>
        </w:rPr>
      </w:pPr>
      <w:r w:rsidRPr="002A7128">
        <w:rPr>
          <w:rFonts w:ascii="Calibri" w:hAnsi="Calibri" w:cs="Calibri"/>
        </w:rPr>
        <w:t>EMT6 cells were cultured in Roswell Park Memorial Institute (RPMI) 1640 Medium, supplemented with 10% FBS (</w:t>
      </w:r>
      <w:proofErr w:type="spellStart"/>
      <w:r w:rsidRPr="002A7128">
        <w:rPr>
          <w:rFonts w:ascii="Calibri" w:hAnsi="Calibri" w:cs="Calibri"/>
        </w:rPr>
        <w:t>Hyclone</w:t>
      </w:r>
      <w:proofErr w:type="spellEnd"/>
      <w:r w:rsidRPr="002A7128">
        <w:rPr>
          <w:rFonts w:ascii="Calibri" w:hAnsi="Calibri" w:cs="Calibri"/>
        </w:rPr>
        <w:t xml:space="preserve"> SH30910.03) and 1% antibiotics; penicillin (100 U/mL), and streptomycin (100 µg/mL) (</w:t>
      </w:r>
      <w:proofErr w:type="spellStart"/>
      <w:r w:rsidRPr="002A7128">
        <w:rPr>
          <w:rFonts w:ascii="Calibri" w:hAnsi="Calibri" w:cs="Calibri"/>
        </w:rPr>
        <w:t>Thermo</w:t>
      </w:r>
      <w:proofErr w:type="spellEnd"/>
      <w:r w:rsidRPr="002A7128">
        <w:rPr>
          <w:rFonts w:ascii="Calibri" w:hAnsi="Calibri" w:cs="Calibri"/>
        </w:rPr>
        <w:t xml:space="preserve"> Fisher 15240062) according to the manufacturer’s instructions. Cells were cultured in a humidiﬁed incubator at 37</w:t>
      </w:r>
      <w:r w:rsidR="00FD1007">
        <w:rPr>
          <w:rFonts w:ascii="Calibri" w:hAnsi="Calibri" w:cs="Calibri"/>
        </w:rPr>
        <w:sym w:font="Symbol" w:char="F0B0"/>
      </w:r>
      <w:r w:rsidRPr="002A7128">
        <w:rPr>
          <w:rFonts w:ascii="Calibri" w:hAnsi="Calibri" w:cs="Calibri"/>
        </w:rPr>
        <w:t>C supplied with 5% CO2. T75 ﬂasks (TPP 90076) were used for culturing and cells were passaged upon 85% conﬂuency by using trypsin (Sigma 59418C). Cell culture media was changed every 2 days.</w:t>
      </w:r>
    </w:p>
    <w:p w14:paraId="4D451B99" w14:textId="072ACA91" w:rsidR="002212F0" w:rsidRPr="002A7128" w:rsidRDefault="002212F0">
      <w:pPr>
        <w:pStyle w:val="Heading2"/>
        <w:numPr>
          <w:ilvl w:val="2"/>
          <w:numId w:val="8"/>
        </w:numPr>
        <w:spacing w:line="480" w:lineRule="auto"/>
        <w:rPr>
          <w:rFonts w:ascii="Calibri" w:hAnsi="Calibri" w:cs="Calibri"/>
          <w:szCs w:val="24"/>
        </w:rPr>
      </w:pPr>
      <w:bookmarkStart w:id="119" w:name="_Toc120794176"/>
      <w:r w:rsidRPr="002A7128">
        <w:rPr>
          <w:rFonts w:ascii="Calibri" w:hAnsi="Calibri" w:cs="Calibri"/>
          <w:szCs w:val="24"/>
        </w:rPr>
        <w:t>Peptide Preparation for in vitro Experiments</w:t>
      </w:r>
      <w:bookmarkEnd w:id="119"/>
    </w:p>
    <w:p w14:paraId="166C3EE9" w14:textId="1E1B87AF" w:rsidR="00692208" w:rsidRPr="002A7128" w:rsidRDefault="002212F0" w:rsidP="00F675B4">
      <w:pPr>
        <w:spacing w:line="480" w:lineRule="auto"/>
        <w:jc w:val="both"/>
        <w:rPr>
          <w:rFonts w:ascii="Calibri" w:hAnsi="Calibri" w:cs="Calibri"/>
        </w:rPr>
      </w:pPr>
      <w:r w:rsidRPr="002A7128">
        <w:rPr>
          <w:rFonts w:ascii="Calibri" w:hAnsi="Calibri" w:cs="Calibri"/>
        </w:rPr>
        <w:t>[II] peptides were prepared in either 0.2 w% albumin or 0 w% albumin for in vitro conditions. First, albumin was pre- pared as a stock solution in 2% (20 mg in 1 mL the RPMI medium). Then, was diluted 1:10 to reach 0.2w% in the RPMI medium. The prepared KFFIIK and EFFIIE stock peptides (10 mM in water) were diluted to 0.5 mM separately into 0.2w% albumin/medium. For 0w% albumin condition, KFFIIK and EFFIIE stock peptides 10 mM in water) were diluted to 0.5 mM separately into albumin/medium. For 96 well plate, each well consisted of 100 µL of peptide having 50 µL EFFIIE and 50 µL KFFIIK in either only RPMI medium (0 w% albumin) or 0.2 w% albumin in RPMI medium.</w:t>
      </w:r>
    </w:p>
    <w:p w14:paraId="5F9C38E1" w14:textId="785522ED" w:rsidR="002212F0" w:rsidRPr="002A7128" w:rsidRDefault="002212F0">
      <w:pPr>
        <w:pStyle w:val="Heading2"/>
        <w:numPr>
          <w:ilvl w:val="2"/>
          <w:numId w:val="8"/>
        </w:numPr>
        <w:spacing w:line="480" w:lineRule="auto"/>
        <w:rPr>
          <w:rFonts w:ascii="Calibri" w:hAnsi="Calibri" w:cs="Calibri"/>
          <w:szCs w:val="24"/>
        </w:rPr>
      </w:pPr>
      <w:bookmarkStart w:id="120" w:name="_Toc120794177"/>
      <w:r w:rsidRPr="002A7128">
        <w:rPr>
          <w:rFonts w:ascii="Calibri" w:hAnsi="Calibri" w:cs="Calibri"/>
          <w:szCs w:val="24"/>
        </w:rPr>
        <w:t>Immunoblotting, Reagents</w:t>
      </w:r>
      <w:bookmarkEnd w:id="120"/>
    </w:p>
    <w:p w14:paraId="49C5D139" w14:textId="72CF241E" w:rsidR="002212F0" w:rsidRPr="002A7128" w:rsidRDefault="002212F0" w:rsidP="00F675B4">
      <w:pPr>
        <w:spacing w:line="480" w:lineRule="auto"/>
        <w:jc w:val="both"/>
        <w:rPr>
          <w:rFonts w:ascii="Calibri" w:hAnsi="Calibri" w:cs="Calibri"/>
        </w:rPr>
      </w:pPr>
      <w:r w:rsidRPr="002A7128">
        <w:rPr>
          <w:rFonts w:ascii="Calibri" w:hAnsi="Calibri" w:cs="Calibri"/>
        </w:rPr>
        <w:t>Acrylamide/Bis-acrylamide, 30 w% solution (Sigma A3699), 1.5 M Tris-HCl, pH 8.8 (</w:t>
      </w:r>
      <w:proofErr w:type="spellStart"/>
      <w:r w:rsidRPr="002A7128">
        <w:rPr>
          <w:rFonts w:ascii="Calibri" w:hAnsi="Calibri" w:cs="Calibri"/>
        </w:rPr>
        <w:t>Teknova</w:t>
      </w:r>
      <w:proofErr w:type="spellEnd"/>
      <w:r w:rsidRPr="002A7128">
        <w:rPr>
          <w:rFonts w:ascii="Calibri" w:hAnsi="Calibri" w:cs="Calibri"/>
        </w:rPr>
        <w:t xml:space="preserve"> T1588), Tris HCl Buﬀer 0.5 M solution, sterile pH 6.8 (Bio Basic SD8122), Ammonium persulfate (Sigma A3678), </w:t>
      </w:r>
      <w:proofErr w:type="spellStart"/>
      <w:r w:rsidRPr="002A7128">
        <w:rPr>
          <w:rFonts w:ascii="Calibri" w:hAnsi="Calibri" w:cs="Calibri"/>
        </w:rPr>
        <w:t>UltraPure</w:t>
      </w:r>
      <w:proofErr w:type="spellEnd"/>
      <w:r w:rsidRPr="002A7128">
        <w:rPr>
          <w:rFonts w:ascii="Calibri" w:hAnsi="Calibri" w:cs="Calibri"/>
        </w:rPr>
        <w:t xml:space="preserve"> 10% SDS (Invitrogen 15553-027), TEMED (</w:t>
      </w:r>
      <w:proofErr w:type="spellStart"/>
      <w:r w:rsidRPr="002A7128">
        <w:rPr>
          <w:rFonts w:ascii="Calibri" w:hAnsi="Calibri" w:cs="Calibri"/>
        </w:rPr>
        <w:t>Thermo</w:t>
      </w:r>
      <w:proofErr w:type="spellEnd"/>
      <w:r w:rsidRPr="002A7128">
        <w:rPr>
          <w:rFonts w:ascii="Calibri" w:hAnsi="Calibri" w:cs="Calibri"/>
        </w:rPr>
        <w:t xml:space="preserve"> Fisher Scientiﬁc 17919), Dithiothreitol (DTT) (BIO-RAD 1610610) Tris Base (Fisher Bioreagents BP152), Glycine (Fisher Bioreagents BP381), 4x </w:t>
      </w:r>
      <w:proofErr w:type="spellStart"/>
      <w:r w:rsidRPr="002A7128">
        <w:rPr>
          <w:rFonts w:ascii="Calibri" w:hAnsi="Calibri" w:cs="Calibri"/>
        </w:rPr>
        <w:t>Laemmli</w:t>
      </w:r>
      <w:proofErr w:type="spellEnd"/>
      <w:r w:rsidRPr="002A7128">
        <w:rPr>
          <w:rFonts w:ascii="Calibri" w:hAnsi="Calibri" w:cs="Calibri"/>
        </w:rPr>
        <w:t xml:space="preserve"> sample buﬀer (BIO-RAD 1610747), TWEEN 20 (Sigma </w:t>
      </w:r>
      <w:r w:rsidRPr="002A7128">
        <w:rPr>
          <w:rFonts w:ascii="Calibri" w:hAnsi="Calibri" w:cs="Calibri"/>
        </w:rPr>
        <w:lastRenderedPageBreak/>
        <w:t xml:space="preserve">P9416), Mini Trans-Blot ﬁlter paper (BIO-RAD 1703932), Nitrocellulose Membranes 0.45 µm (BIO-RAD 1620115), </w:t>
      </w:r>
      <w:proofErr w:type="spellStart"/>
      <w:r w:rsidRPr="002A7128">
        <w:rPr>
          <w:rFonts w:ascii="Calibri" w:hAnsi="Calibri" w:cs="Calibri"/>
        </w:rPr>
        <w:t>EveryBlot</w:t>
      </w:r>
      <w:proofErr w:type="spellEnd"/>
      <w:r w:rsidRPr="002A7128">
        <w:rPr>
          <w:rFonts w:ascii="Calibri" w:hAnsi="Calibri" w:cs="Calibri"/>
        </w:rPr>
        <w:t xml:space="preserve"> Blocking Buﬀer (BIO-RAD 12010020), Clarity Western ECL Substrate (BIO-RAD 170-5060).</w:t>
      </w:r>
    </w:p>
    <w:p w14:paraId="1972FE6A" w14:textId="158488F8" w:rsidR="002212F0" w:rsidRPr="002A7128" w:rsidRDefault="002212F0">
      <w:pPr>
        <w:pStyle w:val="Heading2"/>
        <w:numPr>
          <w:ilvl w:val="2"/>
          <w:numId w:val="8"/>
        </w:numPr>
        <w:spacing w:line="480" w:lineRule="auto"/>
        <w:rPr>
          <w:rFonts w:ascii="Calibri" w:hAnsi="Calibri" w:cs="Calibri"/>
          <w:szCs w:val="24"/>
        </w:rPr>
      </w:pPr>
      <w:bookmarkStart w:id="121" w:name="_Toc120794178"/>
      <w:r w:rsidRPr="002A7128">
        <w:rPr>
          <w:rFonts w:ascii="Calibri" w:hAnsi="Calibri" w:cs="Calibri"/>
          <w:szCs w:val="24"/>
        </w:rPr>
        <w:t>Procedure</w:t>
      </w:r>
      <w:bookmarkEnd w:id="121"/>
    </w:p>
    <w:p w14:paraId="328AE427" w14:textId="4EB2CD26" w:rsidR="00692208" w:rsidRPr="002A7128" w:rsidRDefault="004247BE" w:rsidP="00250FBA">
      <w:pPr>
        <w:spacing w:line="480" w:lineRule="auto"/>
        <w:jc w:val="both"/>
        <w:rPr>
          <w:rFonts w:ascii="Calibri" w:hAnsi="Calibri" w:cs="Calibri"/>
        </w:rPr>
      </w:pPr>
      <w:r w:rsidRPr="002A7128">
        <w:rPr>
          <w:rFonts w:ascii="Calibri" w:hAnsi="Calibri" w:cs="Calibri"/>
        </w:rPr>
        <w:t xml:space="preserve">Protein isolation was carried out using RIPA lysis buffer, supplemented with Protease and Phosphatase inhibitor cocktail. Supernatants were collected after 10 min of centrifuge at 14000g and stored at -80 </w:t>
      </w:r>
      <w:r w:rsidRPr="002A7128">
        <w:rPr>
          <w:rFonts w:ascii="Calibri" w:hAnsi="Calibri" w:cs="Calibri"/>
        </w:rPr>
        <w:sym w:font="Symbol" w:char="F0B0"/>
      </w:r>
      <w:r w:rsidRPr="002A7128">
        <w:rPr>
          <w:rFonts w:ascii="Calibri" w:hAnsi="Calibri" w:cs="Calibri"/>
        </w:rPr>
        <w:t>C. Protein concentrations were determined by using BCA protein assay kit (</w:t>
      </w:r>
      <w:proofErr w:type="spellStart"/>
      <w:r w:rsidRPr="002A7128">
        <w:rPr>
          <w:rFonts w:ascii="Calibri" w:hAnsi="Calibri" w:cs="Calibri"/>
        </w:rPr>
        <w:t>Thermo</w:t>
      </w:r>
      <w:proofErr w:type="spellEnd"/>
      <w:r w:rsidRPr="002A7128">
        <w:rPr>
          <w:rFonts w:ascii="Calibri" w:hAnsi="Calibri" w:cs="Calibri"/>
        </w:rPr>
        <w:t xml:space="preserve"> Fisher Scientific 23225) by measuring the absorbance at 562 nm in accordance with the manufacturer’s instructions. </w:t>
      </w:r>
      <w:r w:rsidR="002212F0" w:rsidRPr="002A7128">
        <w:rPr>
          <w:rFonts w:ascii="Calibri" w:hAnsi="Calibri" w:cs="Calibri"/>
        </w:rPr>
        <w:t xml:space="preserve">Samples were prepared in </w:t>
      </w:r>
      <w:proofErr w:type="spellStart"/>
      <w:r w:rsidR="002212F0" w:rsidRPr="002A7128">
        <w:rPr>
          <w:rFonts w:ascii="Calibri" w:hAnsi="Calibri" w:cs="Calibri"/>
        </w:rPr>
        <w:t>Laemmli</w:t>
      </w:r>
      <w:proofErr w:type="spellEnd"/>
      <w:r w:rsidR="002212F0" w:rsidRPr="002A7128">
        <w:rPr>
          <w:rFonts w:ascii="Calibri" w:hAnsi="Calibri" w:cs="Calibri"/>
        </w:rPr>
        <w:t xml:space="preserve"> buﬀer and boiled for 8 min at 96</w:t>
      </w:r>
      <w:r w:rsidR="002212F0" w:rsidRPr="002A7128">
        <w:rPr>
          <w:rFonts w:ascii="Calibri" w:eastAsia="Noto Sans Symbols" w:hAnsi="Calibri" w:cs="Calibri"/>
        </w:rPr>
        <w:t>°</w:t>
      </w:r>
      <w:r w:rsidR="002212F0" w:rsidRPr="002A7128">
        <w:rPr>
          <w:rFonts w:ascii="Calibri" w:hAnsi="Calibri" w:cs="Calibri"/>
        </w:rPr>
        <w:t xml:space="preserve">C. Then, proteins were separated with sodium dodecyl sulfate-polyacrylamide gel electrophoresis (SDS-PAGE) gels (8.5 w% and 15 w%) and transferred to nitrocellulose membranes (45 µm). After transfer, the membranes were blocked </w:t>
      </w:r>
      <w:proofErr w:type="spellStart"/>
      <w:r w:rsidR="002212F0" w:rsidRPr="002A7128">
        <w:rPr>
          <w:rFonts w:ascii="Calibri" w:hAnsi="Calibri" w:cs="Calibri"/>
        </w:rPr>
        <w:t>EverBlot</w:t>
      </w:r>
      <w:proofErr w:type="spellEnd"/>
      <w:r w:rsidR="002212F0" w:rsidRPr="002A7128">
        <w:rPr>
          <w:rFonts w:ascii="Calibri" w:hAnsi="Calibri" w:cs="Calibri"/>
        </w:rPr>
        <w:t xml:space="preserve"> Blocking Buﬀer and washed with Tris Buﬀered Saline with 0.1% Tween 20 (TBST). Blots were incubated with Phospho-YAP (Ser127) (Cell Signaling 13008), YAP (Cell Signaling 4912), Phospho-eIF2α (S51) (Cell Signaling 9721), eIF2α (Cell Signaling 9722) overnight. The next day blots were washed and incubated with Goat anti rabbit secondary antibody (Invitrogen 31460) and imaged with Clarity Western ECL substrate (BIO RAD 170-5060). β-actin (Santa Cruz sc-47778 HRP) was used as an internal loading control. Blots were imaged by using Azure c600.</w:t>
      </w:r>
    </w:p>
    <w:p w14:paraId="202A7A68" w14:textId="5AEF42C9" w:rsidR="002212F0" w:rsidRPr="002A7128" w:rsidRDefault="002212F0">
      <w:pPr>
        <w:pStyle w:val="Heading2"/>
        <w:numPr>
          <w:ilvl w:val="2"/>
          <w:numId w:val="8"/>
        </w:numPr>
        <w:spacing w:line="480" w:lineRule="auto"/>
        <w:rPr>
          <w:rFonts w:ascii="Calibri" w:hAnsi="Calibri" w:cs="Calibri"/>
          <w:szCs w:val="24"/>
        </w:rPr>
      </w:pPr>
      <w:bookmarkStart w:id="122" w:name="_Toc120794179"/>
      <w:r w:rsidRPr="002A7128">
        <w:rPr>
          <w:rFonts w:ascii="Calibri" w:hAnsi="Calibri" w:cs="Calibri"/>
          <w:szCs w:val="24"/>
        </w:rPr>
        <w:t>Immunocytochemistry</w:t>
      </w:r>
      <w:bookmarkEnd w:id="122"/>
    </w:p>
    <w:p w14:paraId="6C4D327C" w14:textId="6F16C002" w:rsidR="00692208" w:rsidRPr="002A7128" w:rsidRDefault="002212F0" w:rsidP="001752A2">
      <w:pPr>
        <w:spacing w:line="480" w:lineRule="auto"/>
        <w:jc w:val="both"/>
        <w:rPr>
          <w:rFonts w:ascii="Calibri" w:hAnsi="Calibri" w:cs="Calibri"/>
        </w:rPr>
      </w:pPr>
      <w:r w:rsidRPr="002A7128">
        <w:rPr>
          <w:rFonts w:ascii="Calibri" w:hAnsi="Calibri" w:cs="Calibri"/>
        </w:rPr>
        <w:t xml:space="preserve">EMT6 cells were seeded on glass coverslips in a 24 well plate and incubated overnight for attachment. After indicated treatments, samples were washed with 1X PBS, and ﬁxed with 4% PFA for 20 min. Then, Triton-X (0.5%) was used to permeabilize the cells for 20 min on shaker. </w:t>
      </w:r>
      <w:r w:rsidRPr="002A7128">
        <w:rPr>
          <w:rFonts w:ascii="Calibri" w:hAnsi="Calibri" w:cs="Calibri"/>
        </w:rPr>
        <w:lastRenderedPageBreak/>
        <w:t xml:space="preserve">Samples were blocked with 3% BSA for 1h on shaker, washed 3 times with 1X PBS and incubated with the following antibodies Phospho-YAP (S127) (Cell Signaling 13008), YAP (Cell Signaling 4912) or </w:t>
      </w:r>
      <w:r w:rsidR="00AD6EF4">
        <w:rPr>
          <w:rFonts w:ascii="Calibri" w:hAnsi="Calibri" w:cs="Calibri"/>
        </w:rPr>
        <w:t>CRT</w:t>
      </w:r>
      <w:r w:rsidRPr="002A7128">
        <w:rPr>
          <w:rFonts w:ascii="Calibri" w:hAnsi="Calibri" w:cs="Calibri"/>
        </w:rPr>
        <w:t xml:space="preserve"> (Cell Signaling D3E6) overnight on shaker on ice. The next day samples were washed and incubated for 1h on shaker with </w:t>
      </w:r>
      <w:proofErr w:type="spellStart"/>
      <w:r w:rsidRPr="002A7128">
        <w:rPr>
          <w:rFonts w:ascii="Calibri" w:hAnsi="Calibri" w:cs="Calibri"/>
        </w:rPr>
        <w:t>DyLight</w:t>
      </w:r>
      <w:proofErr w:type="spellEnd"/>
      <w:r w:rsidRPr="002A7128">
        <w:rPr>
          <w:rFonts w:ascii="Calibri" w:hAnsi="Calibri" w:cs="Calibri"/>
        </w:rPr>
        <w:t>™ 488 Donkey anti-rabbit IgG (minimal x-reactivity) Antibody (</w:t>
      </w:r>
      <w:proofErr w:type="spellStart"/>
      <w:r w:rsidRPr="002A7128">
        <w:rPr>
          <w:rFonts w:ascii="Calibri" w:hAnsi="Calibri" w:cs="Calibri"/>
        </w:rPr>
        <w:t>BioLegend</w:t>
      </w:r>
      <w:proofErr w:type="spellEnd"/>
      <w:r w:rsidRPr="002A7128">
        <w:rPr>
          <w:rFonts w:ascii="Calibri" w:hAnsi="Calibri" w:cs="Calibri"/>
        </w:rPr>
        <w:t xml:space="preserve"> 406404). After the incubation period, samples were washed and incubated with Flash Phalloidin™ Red 594 (</w:t>
      </w:r>
      <w:proofErr w:type="spellStart"/>
      <w:r w:rsidRPr="002A7128">
        <w:rPr>
          <w:rFonts w:ascii="Calibri" w:hAnsi="Calibri" w:cs="Calibri"/>
        </w:rPr>
        <w:t>BioLegend</w:t>
      </w:r>
      <w:proofErr w:type="spellEnd"/>
      <w:r w:rsidRPr="002A7128">
        <w:rPr>
          <w:rFonts w:ascii="Calibri" w:hAnsi="Calibri" w:cs="Calibri"/>
        </w:rPr>
        <w:t xml:space="preserve"> 424203) for 30 min on shaker. Lastly, samples were washed and mounted in </w:t>
      </w:r>
      <w:proofErr w:type="spellStart"/>
      <w:r w:rsidRPr="002A7128">
        <w:rPr>
          <w:rFonts w:ascii="Calibri" w:hAnsi="Calibri" w:cs="Calibri"/>
        </w:rPr>
        <w:t>ProLong</w:t>
      </w:r>
      <w:proofErr w:type="spellEnd"/>
      <w:r w:rsidRPr="002A7128">
        <w:rPr>
          <w:rFonts w:ascii="Calibri" w:hAnsi="Calibri" w:cs="Calibri"/>
        </w:rPr>
        <w:t xml:space="preserve">™ Glass Antifade </w:t>
      </w:r>
      <w:proofErr w:type="spellStart"/>
      <w:r w:rsidRPr="002A7128">
        <w:rPr>
          <w:rFonts w:ascii="Calibri" w:hAnsi="Calibri" w:cs="Calibri"/>
        </w:rPr>
        <w:t>Mountant</w:t>
      </w:r>
      <w:proofErr w:type="spellEnd"/>
      <w:r w:rsidRPr="002A7128">
        <w:rPr>
          <w:rFonts w:ascii="Calibri" w:hAnsi="Calibri" w:cs="Calibri"/>
        </w:rPr>
        <w:t xml:space="preserve"> with </w:t>
      </w:r>
      <w:proofErr w:type="spellStart"/>
      <w:r w:rsidRPr="002A7128">
        <w:rPr>
          <w:rFonts w:ascii="Calibri" w:hAnsi="Calibri" w:cs="Calibri"/>
        </w:rPr>
        <w:t>NucBlue</w:t>
      </w:r>
      <w:proofErr w:type="spellEnd"/>
      <w:r w:rsidRPr="002A7128">
        <w:rPr>
          <w:rFonts w:ascii="Calibri" w:hAnsi="Calibri" w:cs="Calibri"/>
        </w:rPr>
        <w:t>™ Stain (</w:t>
      </w:r>
      <w:proofErr w:type="spellStart"/>
      <w:r w:rsidRPr="002A7128">
        <w:rPr>
          <w:rFonts w:ascii="Calibri" w:hAnsi="Calibri" w:cs="Calibri"/>
        </w:rPr>
        <w:t>Thermo</w:t>
      </w:r>
      <w:proofErr w:type="spellEnd"/>
      <w:r w:rsidRPr="002A7128">
        <w:rPr>
          <w:rFonts w:ascii="Calibri" w:hAnsi="Calibri" w:cs="Calibri"/>
        </w:rPr>
        <w:t xml:space="preserve"> Fisher P36981) and stored in the dark until imaging.</w:t>
      </w:r>
    </w:p>
    <w:p w14:paraId="29EE8095" w14:textId="4432F3EF" w:rsidR="001A6B26" w:rsidRPr="002A7128" w:rsidRDefault="001A6B26">
      <w:pPr>
        <w:pStyle w:val="Heading2"/>
        <w:numPr>
          <w:ilvl w:val="2"/>
          <w:numId w:val="8"/>
        </w:numPr>
        <w:rPr>
          <w:rFonts w:ascii="Calibri" w:hAnsi="Calibri" w:cs="Calibri"/>
        </w:rPr>
      </w:pPr>
      <w:bookmarkStart w:id="123" w:name="_Toc120794180"/>
      <w:r w:rsidRPr="002A7128">
        <w:rPr>
          <w:rFonts w:ascii="Calibri" w:hAnsi="Calibri" w:cs="Calibri"/>
        </w:rPr>
        <w:t>LDH Release</w:t>
      </w:r>
      <w:bookmarkEnd w:id="123"/>
    </w:p>
    <w:p w14:paraId="71C4E91E" w14:textId="2A30272D" w:rsidR="001A6B26" w:rsidRPr="002A7128" w:rsidRDefault="001A6B26" w:rsidP="001A6B26">
      <w:pPr>
        <w:rPr>
          <w:rFonts w:ascii="Calibri" w:hAnsi="Calibri" w:cs="Calibri"/>
        </w:rPr>
      </w:pPr>
    </w:p>
    <w:p w14:paraId="15BF7887" w14:textId="73539C2D" w:rsidR="00692208" w:rsidRPr="002A7128" w:rsidRDefault="001A6B26" w:rsidP="001A6B26">
      <w:pPr>
        <w:spacing w:line="480" w:lineRule="auto"/>
        <w:jc w:val="both"/>
        <w:rPr>
          <w:rFonts w:ascii="Calibri" w:hAnsi="Calibri" w:cs="Calibri"/>
        </w:rPr>
      </w:pPr>
      <w:r w:rsidRPr="002A7128">
        <w:rPr>
          <w:rFonts w:ascii="Calibri" w:hAnsi="Calibri" w:cs="Calibri"/>
        </w:rPr>
        <w:t xml:space="preserve">LDH release was measured with </w:t>
      </w:r>
      <w:proofErr w:type="spellStart"/>
      <w:r w:rsidRPr="002A7128">
        <w:rPr>
          <w:rFonts w:ascii="Calibri" w:hAnsi="Calibri" w:cs="Calibri"/>
        </w:rPr>
        <w:t>Cytoscan</w:t>
      </w:r>
      <w:proofErr w:type="spellEnd"/>
      <w:r w:rsidRPr="002A7128">
        <w:rPr>
          <w:rFonts w:ascii="Calibri" w:hAnsi="Calibri" w:cs="Calibri"/>
        </w:rPr>
        <w:t xml:space="preserve">-LDH Cytotoxicity Assay (Cat# 786-210). Briefly, collected supernatants were mixed with reaction mixture and incubated for 20 min at 37 </w:t>
      </w:r>
      <w:r w:rsidRPr="002A7128">
        <w:rPr>
          <w:rFonts w:ascii="Calibri" w:hAnsi="Calibri" w:cs="Calibri"/>
        </w:rPr>
        <w:sym w:font="Symbol" w:char="F0B0"/>
      </w:r>
      <w:r w:rsidRPr="002A7128">
        <w:rPr>
          <w:rFonts w:ascii="Calibri" w:hAnsi="Calibri" w:cs="Calibri"/>
        </w:rPr>
        <w:t>C. Reaction was stopped with stop solution and absorbance was measured at 490nm and 680nm. Triton-X treatment is used as a 100% LDH release control. 680 nm absorbance is used as the background signal and values were subtracted from 490nm absorbance values. Relative LDH release was quantified based on the positive control for LDH release (maximum LDH release through Triton-X treatment)</w:t>
      </w:r>
    </w:p>
    <w:p w14:paraId="0981A78E" w14:textId="5DD4DAA0" w:rsidR="001A6B26" w:rsidRPr="002A7128" w:rsidRDefault="001A6B26">
      <w:pPr>
        <w:pStyle w:val="Heading2"/>
        <w:numPr>
          <w:ilvl w:val="2"/>
          <w:numId w:val="8"/>
        </w:numPr>
        <w:rPr>
          <w:rFonts w:ascii="Calibri" w:hAnsi="Calibri" w:cs="Calibri"/>
        </w:rPr>
      </w:pPr>
      <w:bookmarkStart w:id="124" w:name="_Toc120794181"/>
      <w:r w:rsidRPr="002A7128">
        <w:rPr>
          <w:rFonts w:ascii="Calibri" w:hAnsi="Calibri" w:cs="Calibri"/>
        </w:rPr>
        <w:t>Propidium Iodide Staining</w:t>
      </w:r>
      <w:bookmarkEnd w:id="124"/>
    </w:p>
    <w:p w14:paraId="49D4073D" w14:textId="66268434" w:rsidR="001A6B26" w:rsidRPr="002A7128" w:rsidRDefault="001A6B26" w:rsidP="001A6B26">
      <w:pPr>
        <w:rPr>
          <w:rFonts w:ascii="Calibri" w:hAnsi="Calibri" w:cs="Calibri"/>
        </w:rPr>
      </w:pPr>
    </w:p>
    <w:p w14:paraId="53E1100D" w14:textId="74A5795F" w:rsidR="001A6B26" w:rsidRPr="002A7128" w:rsidRDefault="001A6B26" w:rsidP="00250FBA">
      <w:pPr>
        <w:spacing w:line="480" w:lineRule="auto"/>
        <w:jc w:val="both"/>
        <w:rPr>
          <w:rFonts w:ascii="Calibri" w:hAnsi="Calibri" w:cs="Calibri"/>
        </w:rPr>
      </w:pPr>
      <w:r w:rsidRPr="002A7128">
        <w:rPr>
          <w:rFonts w:ascii="Calibri" w:hAnsi="Calibri" w:cs="Calibri"/>
        </w:rPr>
        <w:t>Propidium iodide (</w:t>
      </w:r>
      <w:proofErr w:type="spellStart"/>
      <w:r w:rsidRPr="002A7128">
        <w:rPr>
          <w:rFonts w:ascii="Calibri" w:hAnsi="Calibri" w:cs="Calibri"/>
        </w:rPr>
        <w:t>Thermo</w:t>
      </w:r>
      <w:proofErr w:type="spellEnd"/>
      <w:r w:rsidRPr="002A7128">
        <w:rPr>
          <w:rFonts w:ascii="Calibri" w:hAnsi="Calibri" w:cs="Calibri"/>
        </w:rPr>
        <w:t xml:space="preserve"> Fisher Scientific V13242) was used to stain the cells after treatment. Briefly, PI was added onto each well and images were captured with Keyence BZ-X710 microscope at indicated time points.</w:t>
      </w:r>
    </w:p>
    <w:p w14:paraId="0B2E201C" w14:textId="77777777" w:rsidR="00692208" w:rsidRPr="002A7128" w:rsidRDefault="00692208" w:rsidP="00250FBA">
      <w:pPr>
        <w:spacing w:line="480" w:lineRule="auto"/>
        <w:jc w:val="both"/>
        <w:rPr>
          <w:rFonts w:ascii="Calibri" w:hAnsi="Calibri" w:cs="Calibri"/>
        </w:rPr>
      </w:pPr>
    </w:p>
    <w:p w14:paraId="1C4FC54F" w14:textId="0342F46D" w:rsidR="00030897" w:rsidRPr="002A7128" w:rsidRDefault="00030897">
      <w:pPr>
        <w:pStyle w:val="Heading2"/>
        <w:numPr>
          <w:ilvl w:val="2"/>
          <w:numId w:val="8"/>
        </w:numPr>
        <w:rPr>
          <w:rFonts w:ascii="Calibri" w:hAnsi="Calibri" w:cs="Calibri"/>
        </w:rPr>
      </w:pPr>
      <w:bookmarkStart w:id="125" w:name="_Toc120794182"/>
      <w:r w:rsidRPr="002A7128">
        <w:rPr>
          <w:rFonts w:ascii="Calibri" w:hAnsi="Calibri" w:cs="Calibri"/>
        </w:rPr>
        <w:lastRenderedPageBreak/>
        <w:t>Bone Marrow-derived Dendritic Cell Generation</w:t>
      </w:r>
      <w:bookmarkEnd w:id="125"/>
    </w:p>
    <w:p w14:paraId="3AA7B517" w14:textId="4EDB15BD" w:rsidR="00030897" w:rsidRPr="002A7128" w:rsidRDefault="00030897" w:rsidP="00030897">
      <w:pPr>
        <w:rPr>
          <w:rFonts w:ascii="Calibri" w:hAnsi="Calibri" w:cs="Calibri"/>
        </w:rPr>
      </w:pPr>
    </w:p>
    <w:p w14:paraId="7BC5D262" w14:textId="699B5977" w:rsidR="00692208" w:rsidRPr="002A7128" w:rsidRDefault="00030897" w:rsidP="00250FBA">
      <w:pPr>
        <w:spacing w:line="480" w:lineRule="auto"/>
        <w:jc w:val="both"/>
        <w:rPr>
          <w:rFonts w:ascii="Calibri" w:hAnsi="Calibri" w:cs="Calibri"/>
        </w:rPr>
      </w:pPr>
      <w:r w:rsidRPr="002A7128">
        <w:rPr>
          <w:rFonts w:ascii="Calibri" w:hAnsi="Calibri" w:cs="Calibri"/>
        </w:rPr>
        <w:t>Bone marrow was harvested from the femurs and tibia of an 8-week-old BALB/c mouse. Bones were flushed with a cold medium 2 times and centrifuged twice at 1500 rpm for 5 min. Cells were incubated with 20 ng/mL GMCSF (</w:t>
      </w:r>
      <w:proofErr w:type="spellStart"/>
      <w:r w:rsidRPr="002A7128">
        <w:rPr>
          <w:rFonts w:ascii="Calibri" w:hAnsi="Calibri" w:cs="Calibri"/>
        </w:rPr>
        <w:t>BioLegend</w:t>
      </w:r>
      <w:proofErr w:type="spellEnd"/>
      <w:r w:rsidRPr="002A7128">
        <w:rPr>
          <w:rFonts w:ascii="Calibri" w:hAnsi="Calibri" w:cs="Calibri"/>
        </w:rPr>
        <w:t xml:space="preserve"> 576304) at a density of 2 x 10</w:t>
      </w:r>
      <w:r w:rsidRPr="002A7128">
        <w:rPr>
          <w:rFonts w:ascii="Calibri" w:hAnsi="Calibri" w:cs="Calibri"/>
          <w:vertAlign w:val="superscript"/>
        </w:rPr>
        <w:t>6</w:t>
      </w:r>
      <w:r w:rsidRPr="002A7128">
        <w:rPr>
          <w:rFonts w:ascii="Calibri" w:hAnsi="Calibri" w:cs="Calibri"/>
        </w:rPr>
        <w:t xml:space="preserve"> cells for 8 days. On day 3, 20 ng/mL GMCSF in 10 mL is added and on day 6, 10 mL of cell solution was replaced with 10 mL fresh medium containing 20 ng/mL GMCSF. On day 8 loosely adhering BMDCs were collected through gentle pipetting.</w:t>
      </w:r>
    </w:p>
    <w:p w14:paraId="6B8BF5F6" w14:textId="5C780DF3" w:rsidR="00030897" w:rsidRPr="002A7128" w:rsidRDefault="00030897">
      <w:pPr>
        <w:pStyle w:val="Heading2"/>
        <w:numPr>
          <w:ilvl w:val="2"/>
          <w:numId w:val="8"/>
        </w:numPr>
        <w:rPr>
          <w:rFonts w:ascii="Calibri" w:hAnsi="Calibri" w:cs="Calibri"/>
        </w:rPr>
      </w:pPr>
      <w:bookmarkStart w:id="126" w:name="_Toc120794183"/>
      <w:r w:rsidRPr="002A7128">
        <w:rPr>
          <w:rFonts w:ascii="Calibri" w:hAnsi="Calibri" w:cs="Calibri"/>
        </w:rPr>
        <w:t>Enzyme-Linked Immunosorbent Assay (ELISA)</w:t>
      </w:r>
      <w:bookmarkEnd w:id="126"/>
    </w:p>
    <w:p w14:paraId="04BC0909" w14:textId="77777777" w:rsidR="00030897" w:rsidRPr="002A7128" w:rsidRDefault="00030897" w:rsidP="00030897">
      <w:pPr>
        <w:rPr>
          <w:rFonts w:ascii="Calibri" w:hAnsi="Calibri" w:cs="Calibri"/>
        </w:rPr>
      </w:pPr>
    </w:p>
    <w:p w14:paraId="25FDCBE4" w14:textId="07C41276" w:rsidR="00030897" w:rsidRPr="002A7128" w:rsidRDefault="00030897" w:rsidP="003C420A">
      <w:pPr>
        <w:spacing w:line="480" w:lineRule="auto"/>
        <w:jc w:val="both"/>
        <w:rPr>
          <w:rFonts w:ascii="Calibri" w:hAnsi="Calibri" w:cs="Calibri"/>
        </w:rPr>
      </w:pPr>
      <w:r w:rsidRPr="002A7128">
        <w:rPr>
          <w:rFonts w:ascii="Calibri" w:hAnsi="Calibri" w:cs="Calibri"/>
        </w:rPr>
        <w:t xml:space="preserve">BMDCs were co-cultured with the tumor conditioned mediums for 24h. BMDC media was collected and centrifuged at 500 g for 5 min at 4 </w:t>
      </w:r>
      <w:r w:rsidRPr="002A7128">
        <w:rPr>
          <w:rFonts w:ascii="Calibri" w:hAnsi="Calibri" w:cs="Calibri"/>
        </w:rPr>
        <w:sym w:font="Symbol" w:char="F0B0"/>
      </w:r>
      <w:r w:rsidRPr="002A7128">
        <w:rPr>
          <w:rFonts w:ascii="Calibri" w:hAnsi="Calibri" w:cs="Calibri"/>
        </w:rPr>
        <w:t>C and supernatants were collected for ELISA. Briefly, plates were coated with the capture antibody overnight. The next day plates were blocked and incubated with the supernatants. Then plates were incubated with the detection antibody followed by Avidin-HRP incubation. Plates were developed with TMB substrate solution. Absorbance was measured at 450 nm and 570 nm. 570 nm value was subtracted, and values were calculated based on the standard curve for IL-1</w:t>
      </w:r>
      <w:r w:rsidRPr="005140F7">
        <w:rPr>
          <w:rFonts w:ascii="Symbol" w:hAnsi="Symbol" w:cs="Calibri"/>
        </w:rPr>
        <w:t>b</w:t>
      </w:r>
      <w:r w:rsidRPr="002A7128">
        <w:rPr>
          <w:rFonts w:ascii="Calibri" w:hAnsi="Calibri" w:cs="Calibri"/>
        </w:rPr>
        <w:t xml:space="preserve"> (</w:t>
      </w:r>
      <w:proofErr w:type="spellStart"/>
      <w:r w:rsidRPr="002A7128">
        <w:rPr>
          <w:rFonts w:ascii="Calibri" w:hAnsi="Calibri" w:cs="Calibri"/>
        </w:rPr>
        <w:t>BioLegend</w:t>
      </w:r>
      <w:proofErr w:type="spellEnd"/>
      <w:r w:rsidRPr="002A7128">
        <w:rPr>
          <w:rFonts w:ascii="Calibri" w:hAnsi="Calibri" w:cs="Calibri"/>
        </w:rPr>
        <w:t xml:space="preserve"> 432615).</w:t>
      </w:r>
    </w:p>
    <w:p w14:paraId="7BEC55FC" w14:textId="17A23312" w:rsidR="00DF16AD" w:rsidRPr="002A7128" w:rsidRDefault="00030897">
      <w:pPr>
        <w:pStyle w:val="Heading2"/>
        <w:numPr>
          <w:ilvl w:val="2"/>
          <w:numId w:val="8"/>
        </w:numPr>
        <w:rPr>
          <w:rFonts w:ascii="Calibri" w:hAnsi="Calibri" w:cs="Calibri"/>
        </w:rPr>
      </w:pPr>
      <w:r w:rsidRPr="002A7128">
        <w:rPr>
          <w:rFonts w:ascii="Calibri" w:hAnsi="Calibri" w:cs="Calibri"/>
        </w:rPr>
        <w:t xml:space="preserve">   </w:t>
      </w:r>
      <w:bookmarkStart w:id="127" w:name="_Toc120794184"/>
      <w:r w:rsidR="00DF16AD" w:rsidRPr="002A7128">
        <w:rPr>
          <w:rFonts w:ascii="Calibri" w:hAnsi="Calibri" w:cs="Calibri"/>
        </w:rPr>
        <w:t>Ethics</w:t>
      </w:r>
      <w:bookmarkEnd w:id="127"/>
    </w:p>
    <w:p w14:paraId="1AE01A4E" w14:textId="225DD6F0" w:rsidR="00DF16AD" w:rsidRPr="002A7128" w:rsidRDefault="00DF16AD" w:rsidP="00DF16AD">
      <w:pPr>
        <w:rPr>
          <w:rFonts w:ascii="Calibri" w:hAnsi="Calibri" w:cs="Calibri"/>
        </w:rPr>
      </w:pPr>
    </w:p>
    <w:p w14:paraId="050B7C4C" w14:textId="3CB34502" w:rsidR="00DF16AD" w:rsidRPr="002A7128" w:rsidRDefault="00DF16AD" w:rsidP="00DF16AD">
      <w:pPr>
        <w:spacing w:line="480" w:lineRule="auto"/>
        <w:jc w:val="both"/>
        <w:rPr>
          <w:rFonts w:ascii="Calibri" w:hAnsi="Calibri" w:cs="Calibri"/>
        </w:rPr>
      </w:pPr>
      <w:r w:rsidRPr="002A7128">
        <w:rPr>
          <w:rFonts w:ascii="Calibri" w:hAnsi="Calibri" w:cs="Calibri"/>
        </w:rPr>
        <w:t>This study was carried out in accordance with the recommendations of Guide for the Care and Use of Laboratory Animals from National Institute of Health. Animal procedures were approved by the OU Health Sciences Center (OUHSC) Institutional Animal Care and Use Committee (protocol number R19-017A)</w:t>
      </w:r>
    </w:p>
    <w:p w14:paraId="446B340B" w14:textId="5FB86D6D" w:rsidR="00030897" w:rsidRPr="002A7128" w:rsidRDefault="00030897" w:rsidP="00DF16AD">
      <w:pPr>
        <w:spacing w:line="480" w:lineRule="auto"/>
        <w:jc w:val="both"/>
        <w:rPr>
          <w:rFonts w:ascii="Calibri" w:hAnsi="Calibri" w:cs="Calibri"/>
        </w:rPr>
      </w:pPr>
    </w:p>
    <w:p w14:paraId="414AC9DC" w14:textId="5467D83C" w:rsidR="00030897" w:rsidRPr="002A7128" w:rsidRDefault="00030897">
      <w:pPr>
        <w:pStyle w:val="Heading2"/>
        <w:numPr>
          <w:ilvl w:val="2"/>
          <w:numId w:val="8"/>
        </w:numPr>
        <w:rPr>
          <w:rFonts w:ascii="Calibri" w:hAnsi="Calibri" w:cs="Calibri"/>
        </w:rPr>
      </w:pPr>
      <w:r w:rsidRPr="002A7128">
        <w:rPr>
          <w:rFonts w:ascii="Calibri" w:hAnsi="Calibri" w:cs="Calibri"/>
        </w:rPr>
        <w:lastRenderedPageBreak/>
        <w:t xml:space="preserve">   </w:t>
      </w:r>
      <w:bookmarkStart w:id="128" w:name="_Toc120794185"/>
      <w:r w:rsidRPr="002A7128">
        <w:rPr>
          <w:rFonts w:ascii="Calibri" w:hAnsi="Calibri" w:cs="Calibri"/>
        </w:rPr>
        <w:t>Prophylactic Vaccination Model</w:t>
      </w:r>
      <w:bookmarkEnd w:id="128"/>
    </w:p>
    <w:p w14:paraId="2EDF5EFF" w14:textId="4A4C3760" w:rsidR="00030897" w:rsidRPr="002A7128" w:rsidRDefault="00030897" w:rsidP="00030897">
      <w:pPr>
        <w:rPr>
          <w:rFonts w:ascii="Calibri" w:hAnsi="Calibri" w:cs="Calibri"/>
        </w:rPr>
      </w:pPr>
    </w:p>
    <w:p w14:paraId="68F53670" w14:textId="42BC667E" w:rsidR="00030897" w:rsidRPr="002A7128" w:rsidRDefault="00030897" w:rsidP="00030897">
      <w:pPr>
        <w:spacing w:line="480" w:lineRule="auto"/>
        <w:jc w:val="both"/>
        <w:rPr>
          <w:rFonts w:ascii="Calibri" w:hAnsi="Calibri" w:cs="Calibri"/>
        </w:rPr>
      </w:pPr>
      <w:r w:rsidRPr="002A7128">
        <w:rPr>
          <w:rFonts w:ascii="Calibri" w:hAnsi="Calibri" w:cs="Calibri"/>
        </w:rPr>
        <w:t>BALB/c mice (n=5) were vaccinated subcutaneously with PBS, 100.000 EMT6 cells treated with 0.5 mM [II] peptide in 2% MSA for 1.5h or 100.000 EMT6 cells treated with 0.5 mM [II] peptide in 0.2% MSA for 3h. 7 days later all mice were challenged with 50.000 EMT6 cells at the contralateral site subcutaneously. Formation of palpable tumor on both vaccination site and challenge site were recorded and presented as a survival graph indicating tumor-free mice.</w:t>
      </w:r>
    </w:p>
    <w:p w14:paraId="163DBEF8" w14:textId="77777777" w:rsidR="00030897" w:rsidRPr="002A7128" w:rsidRDefault="00030897" w:rsidP="00030897">
      <w:pPr>
        <w:rPr>
          <w:rFonts w:ascii="Calibri" w:hAnsi="Calibri" w:cs="Calibri"/>
        </w:rPr>
      </w:pPr>
    </w:p>
    <w:p w14:paraId="67896721" w14:textId="1D463C86" w:rsidR="00DF16AD" w:rsidRPr="002A7128" w:rsidRDefault="00DF16AD" w:rsidP="00DF16AD">
      <w:pPr>
        <w:spacing w:line="480" w:lineRule="auto"/>
        <w:jc w:val="both"/>
        <w:rPr>
          <w:rFonts w:ascii="Calibri" w:hAnsi="Calibri" w:cs="Calibri"/>
        </w:rPr>
      </w:pPr>
    </w:p>
    <w:p w14:paraId="2A8CAADC" w14:textId="0804DF62" w:rsidR="00DF16AD" w:rsidRDefault="00DF16AD" w:rsidP="00DF16AD">
      <w:pPr>
        <w:spacing w:line="480" w:lineRule="auto"/>
        <w:jc w:val="both"/>
        <w:rPr>
          <w:rFonts w:ascii="Calibri" w:hAnsi="Calibri" w:cs="Calibri"/>
        </w:rPr>
      </w:pPr>
    </w:p>
    <w:p w14:paraId="3DFA7404" w14:textId="4C4186E2" w:rsidR="003C420A" w:rsidRDefault="003C420A" w:rsidP="00DF16AD">
      <w:pPr>
        <w:spacing w:line="480" w:lineRule="auto"/>
        <w:jc w:val="both"/>
        <w:rPr>
          <w:rFonts w:ascii="Calibri" w:hAnsi="Calibri" w:cs="Calibri"/>
        </w:rPr>
      </w:pPr>
    </w:p>
    <w:p w14:paraId="08E0663E" w14:textId="23BF1FB5" w:rsidR="003C420A" w:rsidRDefault="003C420A" w:rsidP="00DF16AD">
      <w:pPr>
        <w:spacing w:line="480" w:lineRule="auto"/>
        <w:jc w:val="both"/>
        <w:rPr>
          <w:rFonts w:ascii="Calibri" w:hAnsi="Calibri" w:cs="Calibri"/>
        </w:rPr>
      </w:pPr>
    </w:p>
    <w:p w14:paraId="76302BA8" w14:textId="3107C21F" w:rsidR="003C420A" w:rsidRDefault="003C420A" w:rsidP="00DF16AD">
      <w:pPr>
        <w:spacing w:line="480" w:lineRule="auto"/>
        <w:jc w:val="both"/>
        <w:rPr>
          <w:rFonts w:ascii="Calibri" w:hAnsi="Calibri" w:cs="Calibri"/>
        </w:rPr>
      </w:pPr>
    </w:p>
    <w:p w14:paraId="11AEDCEE" w14:textId="7C5E5CBE" w:rsidR="003C420A" w:rsidRDefault="003C420A" w:rsidP="00DF16AD">
      <w:pPr>
        <w:spacing w:line="480" w:lineRule="auto"/>
        <w:jc w:val="both"/>
        <w:rPr>
          <w:rFonts w:ascii="Calibri" w:hAnsi="Calibri" w:cs="Calibri"/>
        </w:rPr>
      </w:pPr>
    </w:p>
    <w:p w14:paraId="4B18CD66" w14:textId="118C9CF2" w:rsidR="003C420A" w:rsidRDefault="003C420A" w:rsidP="00DF16AD">
      <w:pPr>
        <w:spacing w:line="480" w:lineRule="auto"/>
        <w:jc w:val="both"/>
        <w:rPr>
          <w:rFonts w:ascii="Calibri" w:hAnsi="Calibri" w:cs="Calibri"/>
        </w:rPr>
      </w:pPr>
    </w:p>
    <w:p w14:paraId="5A6DB00D" w14:textId="3D07CF25" w:rsidR="003C420A" w:rsidRDefault="003C420A" w:rsidP="00DF16AD">
      <w:pPr>
        <w:spacing w:line="480" w:lineRule="auto"/>
        <w:jc w:val="both"/>
        <w:rPr>
          <w:rFonts w:ascii="Calibri" w:hAnsi="Calibri" w:cs="Calibri"/>
        </w:rPr>
      </w:pPr>
    </w:p>
    <w:p w14:paraId="6FA291E9" w14:textId="4AC47ED2" w:rsidR="003C420A" w:rsidRDefault="003C420A" w:rsidP="00DF16AD">
      <w:pPr>
        <w:spacing w:line="480" w:lineRule="auto"/>
        <w:jc w:val="both"/>
        <w:rPr>
          <w:rFonts w:ascii="Calibri" w:hAnsi="Calibri" w:cs="Calibri"/>
        </w:rPr>
      </w:pPr>
    </w:p>
    <w:p w14:paraId="6F421CC5" w14:textId="5656B3A4" w:rsidR="003C420A" w:rsidRDefault="003C420A" w:rsidP="00DF16AD">
      <w:pPr>
        <w:spacing w:line="480" w:lineRule="auto"/>
        <w:jc w:val="both"/>
        <w:rPr>
          <w:rFonts w:ascii="Calibri" w:hAnsi="Calibri" w:cs="Calibri"/>
        </w:rPr>
      </w:pPr>
    </w:p>
    <w:p w14:paraId="57368101" w14:textId="77777777" w:rsidR="003C420A" w:rsidRPr="002A7128" w:rsidRDefault="003C420A" w:rsidP="00DF16AD">
      <w:pPr>
        <w:spacing w:line="480" w:lineRule="auto"/>
        <w:jc w:val="both"/>
        <w:rPr>
          <w:rFonts w:ascii="Calibri" w:hAnsi="Calibri" w:cs="Calibri"/>
        </w:rPr>
      </w:pPr>
    </w:p>
    <w:p w14:paraId="5EC5BD26" w14:textId="77777777" w:rsidR="00DF16AD" w:rsidRPr="002A7128" w:rsidRDefault="00DF16AD" w:rsidP="00DF16AD">
      <w:pPr>
        <w:spacing w:line="480" w:lineRule="auto"/>
        <w:jc w:val="both"/>
        <w:rPr>
          <w:rFonts w:ascii="Calibri" w:hAnsi="Calibri" w:cs="Calibri"/>
        </w:rPr>
      </w:pPr>
    </w:p>
    <w:p w14:paraId="789D924F" w14:textId="1F191D60" w:rsidR="00DF16AD" w:rsidRPr="002A7128" w:rsidRDefault="00DF16AD" w:rsidP="00DF16AD">
      <w:pPr>
        <w:rPr>
          <w:rFonts w:ascii="Calibri" w:hAnsi="Calibri" w:cs="Calibri"/>
        </w:rPr>
      </w:pPr>
    </w:p>
    <w:p w14:paraId="73F9EE6F" w14:textId="77777777" w:rsidR="00DF16AD" w:rsidRPr="002A7128" w:rsidRDefault="00DF16AD" w:rsidP="00DF16AD">
      <w:pPr>
        <w:rPr>
          <w:rFonts w:ascii="Calibri" w:hAnsi="Calibri" w:cs="Calibri"/>
        </w:rPr>
      </w:pPr>
    </w:p>
    <w:p w14:paraId="4A646EBC" w14:textId="1A36EBA8" w:rsidR="000711C0" w:rsidRPr="002A7128" w:rsidRDefault="000711C0" w:rsidP="00F675B4">
      <w:pPr>
        <w:pStyle w:val="Heading1"/>
        <w:spacing w:line="480" w:lineRule="auto"/>
        <w:rPr>
          <w:rFonts w:ascii="Calibri" w:hAnsi="Calibri" w:cs="Calibri"/>
        </w:rPr>
      </w:pPr>
      <w:bookmarkStart w:id="129" w:name="_Toc120794186"/>
      <w:r w:rsidRPr="002A7128">
        <w:rPr>
          <w:rFonts w:ascii="Calibri" w:hAnsi="Calibri" w:cs="Calibri"/>
        </w:rPr>
        <w:lastRenderedPageBreak/>
        <w:t xml:space="preserve">Chapter </w:t>
      </w:r>
      <w:r w:rsidR="00140ABD" w:rsidRPr="002A7128">
        <w:rPr>
          <w:rFonts w:ascii="Calibri" w:hAnsi="Calibri" w:cs="Calibri"/>
        </w:rPr>
        <w:t>4</w:t>
      </w:r>
      <w:r w:rsidRPr="002A7128">
        <w:rPr>
          <w:rFonts w:ascii="Calibri" w:hAnsi="Calibri" w:cs="Calibri"/>
        </w:rPr>
        <w:t>: Tumor Spheroid Model to Study Peptide Aggregation Induced Immunogenic Cell Death</w:t>
      </w:r>
      <w:bookmarkEnd w:id="129"/>
    </w:p>
    <w:p w14:paraId="035A02B0" w14:textId="2F25D150" w:rsidR="000711C0" w:rsidRPr="002A7128" w:rsidRDefault="000711C0" w:rsidP="00F675B4">
      <w:pPr>
        <w:spacing w:line="480" w:lineRule="auto"/>
        <w:rPr>
          <w:rFonts w:ascii="Calibri" w:hAnsi="Calibri" w:cs="Calibri"/>
        </w:rPr>
      </w:pPr>
    </w:p>
    <w:p w14:paraId="04F022A4" w14:textId="77777777" w:rsidR="00800CA3" w:rsidRPr="002A7128" w:rsidRDefault="000711C0" w:rsidP="00F675B4">
      <w:pPr>
        <w:spacing w:line="480" w:lineRule="auto"/>
        <w:rPr>
          <w:rFonts w:ascii="Calibri" w:hAnsi="Calibri" w:cs="Calibri"/>
          <w:color w:val="000000" w:themeColor="text1"/>
        </w:rPr>
      </w:pPr>
      <w:r w:rsidRPr="002A7128">
        <w:rPr>
          <w:rFonts w:ascii="Calibri" w:hAnsi="Calibri" w:cs="Calibri"/>
          <w:color w:val="000000" w:themeColor="text1"/>
        </w:rPr>
        <w:t xml:space="preserve">Introduction of this section is adapted from the following publication: </w:t>
      </w:r>
    </w:p>
    <w:p w14:paraId="5BBF09DB" w14:textId="0B061F6C" w:rsidR="000711C0" w:rsidRPr="002A7128" w:rsidRDefault="000711C0" w:rsidP="00F675B4">
      <w:pPr>
        <w:spacing w:line="480" w:lineRule="auto"/>
        <w:jc w:val="both"/>
        <w:rPr>
          <w:rFonts w:ascii="Calibri" w:hAnsi="Calibri" w:cs="Calibri"/>
        </w:rPr>
      </w:pPr>
      <w:proofErr w:type="spellStart"/>
      <w:r w:rsidRPr="002A7128">
        <w:rPr>
          <w:rFonts w:ascii="Calibri" w:hAnsi="Calibri" w:cs="Calibri"/>
          <w:color w:val="222222"/>
          <w:shd w:val="clear" w:color="auto" w:fill="FFFFFF"/>
        </w:rPr>
        <w:t>Kamatar</w:t>
      </w:r>
      <w:proofErr w:type="spellEnd"/>
      <w:r w:rsidRPr="002A7128">
        <w:rPr>
          <w:rFonts w:ascii="Calibri" w:hAnsi="Calibri" w:cs="Calibri"/>
          <w:color w:val="222222"/>
          <w:shd w:val="clear" w:color="auto" w:fill="FFFFFF"/>
        </w:rPr>
        <w:t xml:space="preserve">, Advika, </w:t>
      </w:r>
      <w:proofErr w:type="spellStart"/>
      <w:r w:rsidRPr="002A7128">
        <w:rPr>
          <w:rFonts w:ascii="Calibri" w:hAnsi="Calibri" w:cs="Calibri"/>
          <w:color w:val="222222"/>
          <w:shd w:val="clear" w:color="auto" w:fill="FFFFFF"/>
        </w:rPr>
        <w:t>Gokhan</w:t>
      </w:r>
      <w:proofErr w:type="spellEnd"/>
      <w:r w:rsidRPr="002A7128">
        <w:rPr>
          <w:rFonts w:ascii="Calibri" w:hAnsi="Calibri" w:cs="Calibri"/>
          <w:color w:val="222222"/>
          <w:shd w:val="clear" w:color="auto" w:fill="FFFFFF"/>
        </w:rPr>
        <w:t xml:space="preserve"> </w:t>
      </w:r>
      <w:proofErr w:type="spellStart"/>
      <w:r w:rsidRPr="002A7128">
        <w:rPr>
          <w:rFonts w:ascii="Calibri" w:hAnsi="Calibri" w:cs="Calibri"/>
          <w:color w:val="222222"/>
          <w:shd w:val="clear" w:color="auto" w:fill="FFFFFF"/>
        </w:rPr>
        <w:t>Gunay</w:t>
      </w:r>
      <w:proofErr w:type="spellEnd"/>
      <w:r w:rsidRPr="002A7128">
        <w:rPr>
          <w:rFonts w:ascii="Calibri" w:hAnsi="Calibri" w:cs="Calibri"/>
          <w:color w:val="222222"/>
          <w:shd w:val="clear" w:color="auto" w:fill="FFFFFF"/>
        </w:rPr>
        <w:t xml:space="preserve">, and Handan </w:t>
      </w:r>
      <w:proofErr w:type="spellStart"/>
      <w:r w:rsidRPr="002A7128">
        <w:rPr>
          <w:rFonts w:ascii="Calibri" w:hAnsi="Calibri" w:cs="Calibri"/>
          <w:color w:val="222222"/>
          <w:shd w:val="clear" w:color="auto" w:fill="FFFFFF"/>
        </w:rPr>
        <w:t>Acar</w:t>
      </w:r>
      <w:proofErr w:type="spellEnd"/>
      <w:r w:rsidRPr="002A7128">
        <w:rPr>
          <w:rFonts w:ascii="Calibri" w:hAnsi="Calibri" w:cs="Calibri"/>
          <w:color w:val="222222"/>
          <w:shd w:val="clear" w:color="auto" w:fill="FFFFFF"/>
        </w:rPr>
        <w:t>. "Natural and synthetic biomaterials for engineering multicellular tumor spheroids." </w:t>
      </w:r>
      <w:r w:rsidRPr="002A7128">
        <w:rPr>
          <w:rFonts w:ascii="Calibri" w:hAnsi="Calibri" w:cs="Calibri"/>
          <w:i/>
          <w:iCs/>
          <w:color w:val="222222"/>
        </w:rPr>
        <w:t>Polymers</w:t>
      </w:r>
      <w:r w:rsidRPr="002A7128">
        <w:rPr>
          <w:rFonts w:ascii="Calibri" w:hAnsi="Calibri" w:cs="Calibri"/>
          <w:color w:val="222222"/>
          <w:shd w:val="clear" w:color="auto" w:fill="FFFFFF"/>
        </w:rPr>
        <w:t> 12, no. 11 (2020): 2506.</w:t>
      </w:r>
    </w:p>
    <w:p w14:paraId="37DA1A54" w14:textId="77777777" w:rsidR="000711C0" w:rsidRPr="002A7128" w:rsidRDefault="000711C0" w:rsidP="00F675B4">
      <w:pPr>
        <w:spacing w:line="480" w:lineRule="auto"/>
        <w:jc w:val="both"/>
        <w:rPr>
          <w:rFonts w:ascii="Calibri" w:hAnsi="Calibri" w:cs="Calibri"/>
        </w:rPr>
      </w:pPr>
    </w:p>
    <w:p w14:paraId="5D02F75D" w14:textId="73F070A4" w:rsidR="00934B7B" w:rsidRPr="002A7128" w:rsidRDefault="000711C0">
      <w:pPr>
        <w:pStyle w:val="Heading2"/>
        <w:numPr>
          <w:ilvl w:val="1"/>
          <w:numId w:val="9"/>
        </w:numPr>
        <w:spacing w:line="480" w:lineRule="auto"/>
        <w:rPr>
          <w:rFonts w:ascii="Calibri" w:hAnsi="Calibri" w:cs="Calibri"/>
        </w:rPr>
      </w:pPr>
      <w:bookmarkStart w:id="130" w:name="_Toc120794187"/>
      <w:r w:rsidRPr="002A7128">
        <w:rPr>
          <w:rFonts w:ascii="Calibri" w:hAnsi="Calibri" w:cs="Calibri"/>
        </w:rPr>
        <w:t>Introduction</w:t>
      </w:r>
      <w:bookmarkEnd w:id="130"/>
    </w:p>
    <w:p w14:paraId="0AE7DE2E" w14:textId="54A70E5C" w:rsidR="003F7C23" w:rsidRPr="002A7128" w:rsidRDefault="003F7C23" w:rsidP="00F675B4">
      <w:pPr>
        <w:spacing w:line="480" w:lineRule="auto"/>
        <w:jc w:val="both"/>
        <w:rPr>
          <w:rFonts w:ascii="Calibri" w:hAnsi="Calibri" w:cs="Calibri"/>
        </w:rPr>
      </w:pPr>
      <w:r w:rsidRPr="002A7128">
        <w:rPr>
          <w:rFonts w:ascii="Calibri" w:hAnsi="Calibri" w:cs="Calibri"/>
        </w:rPr>
        <w:t xml:space="preserve">The lack of in vitro models that represent the native tumor microenvironment is a significant challenge for cancer research. Two-dimensional (2D) monolayer culture has long been the standard for in vitro cell-based studies. However, differences between 2D culture and the in vivo environment have led to poor translation of cancer research from in vitro to in vivo models, slowing the progress of the field. Recent advances in three-dimensional (3D) culture have improved the ability of in vitro culture to replicate in vivo conditions. Although 3D cultures still cannot achieve the complexity of the in vivo environment, they can still better replicate the cell–cell and cell–matrix interactions of solid tumors. Multicellular tumor spheroids (MCTS) are three-dimensional (3D) clusters of cells with tumor-like features such as oxygen gradients and drug </w:t>
      </w:r>
      <w:r w:rsidR="00185E01" w:rsidRPr="002A7128">
        <w:rPr>
          <w:rFonts w:ascii="Calibri" w:hAnsi="Calibri" w:cs="Calibri"/>
        </w:rPr>
        <w:t>resistance and</w:t>
      </w:r>
      <w:r w:rsidRPr="002A7128">
        <w:rPr>
          <w:rFonts w:ascii="Calibri" w:hAnsi="Calibri" w:cs="Calibri"/>
        </w:rPr>
        <w:t xml:space="preserve"> represent an important translational tool for cancer research. Accordingly, </w:t>
      </w:r>
      <w:proofErr w:type="gramStart"/>
      <w:r w:rsidRPr="002A7128">
        <w:rPr>
          <w:rFonts w:ascii="Calibri" w:hAnsi="Calibri" w:cs="Calibri"/>
        </w:rPr>
        <w:t>natural</w:t>
      </w:r>
      <w:proofErr w:type="gramEnd"/>
      <w:r w:rsidRPr="002A7128">
        <w:rPr>
          <w:rFonts w:ascii="Calibri" w:hAnsi="Calibri" w:cs="Calibri"/>
        </w:rPr>
        <w:t xml:space="preserve"> and synthetic polymers, including collagen, hyaluronic acid, Matrigel</w:t>
      </w:r>
      <w:r w:rsidRPr="002A7128">
        <w:rPr>
          <w:rFonts w:ascii="Calibri" w:hAnsi="Calibri" w:cs="Calibri"/>
          <w:vertAlign w:val="superscript"/>
        </w:rPr>
        <w:t>®</w:t>
      </w:r>
      <w:r w:rsidRPr="002A7128">
        <w:rPr>
          <w:rFonts w:ascii="Calibri" w:hAnsi="Calibri" w:cs="Calibri"/>
        </w:rPr>
        <w:t>, polyethylene glycol (PEG), alginate and chitosan, have been used to form and study MCTS for improved clinical translatability. This review evaluates the current state of biomaterial</w:t>
      </w:r>
      <w:r w:rsidR="00250FBA" w:rsidRPr="002A7128">
        <w:rPr>
          <w:rFonts w:ascii="Calibri" w:hAnsi="Calibri" w:cs="Calibri"/>
        </w:rPr>
        <w:t xml:space="preserve"> </w:t>
      </w:r>
      <w:r w:rsidRPr="002A7128">
        <w:rPr>
          <w:rFonts w:ascii="Calibri" w:hAnsi="Calibri" w:cs="Calibri"/>
        </w:rPr>
        <w:t xml:space="preserve">based MCTS formation, </w:t>
      </w:r>
      <w:r w:rsidRPr="002A7128">
        <w:rPr>
          <w:rFonts w:ascii="Calibri" w:hAnsi="Calibri" w:cs="Calibri"/>
        </w:rPr>
        <w:lastRenderedPageBreak/>
        <w:t>including advantages and disadvantages of the different biomaterials and their recent applications to the field of cancer research, with a focus on the past five years.</w:t>
      </w:r>
    </w:p>
    <w:p w14:paraId="00F53CE3" w14:textId="281ECE56" w:rsidR="000711C0" w:rsidRPr="002A7128" w:rsidRDefault="000711C0" w:rsidP="00F675B4">
      <w:pPr>
        <w:pStyle w:val="MDPI31text"/>
        <w:spacing w:line="480" w:lineRule="auto"/>
        <w:ind w:firstLine="0"/>
        <w:rPr>
          <w:rFonts w:ascii="Calibri" w:hAnsi="Calibri" w:cs="Calibri"/>
          <w:sz w:val="24"/>
          <w:szCs w:val="24"/>
        </w:rPr>
      </w:pPr>
      <w:r w:rsidRPr="002A7128">
        <w:rPr>
          <w:rFonts w:ascii="Calibri" w:hAnsi="Calibri" w:cs="Calibri"/>
          <w:sz w:val="24"/>
          <w:szCs w:val="24"/>
        </w:rPr>
        <w:t xml:space="preserve">Lack of translation from the results of preclinical research to clinical trials has been a major problem in cancer research. 2D cell culture and mouse models have long been the standard for studies of cancer biology and drug screening and have greatly improved our understanding of cancer’s complexities. However, 2D culture exposes cells to a rigid plastic surface on one side and to a liquid on the other as cells grow in a flat monolayer, altering the cytoskeleton and causing abnormality in cellular functions such as metabolism and protein expression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{"citationID":"BlPEy3EJ","properties":{"formattedCitation":"\\super 227\\nosupersub{}","plainCitation":"227","noteIndex":0},"citationItems":[{"id":"wiida5Bo/ThgruGYG","uris":["http://zotero.org/users/local/PVfTvcvz/items/6UWZE59H"],"itemData":{"id":1,"type":"article-journal","abstract":"Three-dimensional multicellular spheroids (MCSs) have a complex architectural structure, dynamic cell–cell/cell–matrix interactions and bio-mimicking in vivo microenvironment. As a fundamental building block for tissue reconstruction, MCSs have emerged as a powerful tool to narrow down the gap between the in vitro and in vivo model. In this review paper, we discussed the structure and biology of MCSs and detailed fabricating methods. Among these methods, the approach in microfluidics with hydrogel support for MCS formation is promising because it allows essential cell–cell/cell–matrix interactions in a confined space.","container-title":"Journal of the Royal Society Interface","DOI":"10.1098/rsif.2016.0877","ISSN":"1742-5689","issue":"127","journalAbbreviation":"J R Soc Interface","note":"PMID: 28202590\nPMCID: PMC5332573","source":"PubMed Central","title":"Advances in multicellular spheroids formation","URL":"https://www.ncbi.nlm.nih.gov/pmc/articles/PMC5332573/","volume":"14","author":[{"family":"Cui","given":"X."},{"family":"Hartanto","given":"Y."},{"family":"Zhang","given":"H."}],"accessed":{"date-parts":[["2020",4,5]]},"issued":{"date-parts":[["2017",2]]}}}],"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227</w:t>
      </w:r>
      <w:r w:rsidRPr="002A7128">
        <w:rPr>
          <w:rFonts w:ascii="Calibri" w:hAnsi="Calibri" w:cs="Calibri"/>
          <w:sz w:val="24"/>
          <w:szCs w:val="24"/>
        </w:rPr>
        <w:fldChar w:fldCharType="end"/>
      </w:r>
      <w:r w:rsidRPr="002A7128">
        <w:rPr>
          <w:rFonts w:ascii="Calibri" w:hAnsi="Calibri" w:cs="Calibri"/>
          <w:sz w:val="24"/>
          <w:szCs w:val="24"/>
        </w:rPr>
        <w:t xml:space="preserve">. Mouse models are more relevant than 2D culture to complex human biology and have greatly enhanced our understanding of tumor biology, but they suffer from high cost and resource requirements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{"citationID":"gfyNNJNJ","properties":{"formattedCitation":"\\super 228\\nosupersub{}","plainCitation":"228","noteIndex":0},"citationItems":[{"id":"wiida5Bo/SpdPUrbz","uris":["http://zotero.org/users/local/PVfTvcvz/items/3BHJBERA"],"itemData":{"id":282,"type":"article-journal","abstract":"Genetically engineered mouse models (GEMMs) have been invaluable in advancing our knowledge of tumour biology. However, accelerated cancer gene discovery through large-scale cancer genomics and an increasing desire to use GEMMs for preclinical therapeutic studies have strained the capacity of germline GEMMs.Non-germline genetic engineering approaches allow for accelerated and flexible genetic manipulation of models.Chimeric models develop tumours in the context of normal stroma, with reduced timelines and mouse housing cost.Transplantation models allow flexible and speedy manipulation of tissue stem and/or progenitor cells with multiple genetic tools (such as knock out, transgenes and RNA interference).Human donor tissue models (or human in mouse models) allow the de novo development of primary human tumours in mouse stroma by manipulating primary human cells.Therapeutic studies in vivo benefit from the wealth of complex GEMM and non-GEMM models to guide drug discovery.","container-title":"Nature Reviews Cancer","DOI":"10.1038/nrc2877","ISSN":"1474-1768","issue":"7","language":"en","note":"number: 7\npublisher: Nature Publishing Group","page":"470-480","source":"www-nature-com.ezproxy.lib.ou.edu","title":"Non-germline genetically engineered mouse models for translational cancer research","volume":"10","author":[{"family":"Heyer","given":"Joerg"},{"family":"Kwong","given":"Lawrence N."},{"family":"Lowe","given":"Scott W."},{"family":"Chin","given":"Lynda"}],"issued":{"date-parts":[["2010",7]]}}}],"schema":"https://github.com/citation-style-language/schema/raw/master/csl-citation.json"}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228</w:t>
      </w:r>
      <w:r w:rsidRPr="002A7128">
        <w:rPr>
          <w:rFonts w:ascii="Calibri" w:hAnsi="Calibri" w:cs="Calibri"/>
          <w:sz w:val="24"/>
          <w:szCs w:val="24"/>
        </w:rPr>
        <w:fldChar w:fldCharType="end"/>
      </w:r>
      <w:r w:rsidRPr="002A7128">
        <w:rPr>
          <w:rFonts w:ascii="Calibri" w:hAnsi="Calibri" w:cs="Calibri"/>
          <w:sz w:val="24"/>
          <w:szCs w:val="24"/>
        </w:rPr>
        <w:t xml:space="preserve">. Ethical review boards encourage researchers to at least reduce or refine, if not entirely replace, their animal usage in order to harm as few animals as possible—a principle known as “the three Rs”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{"citationID":"l0unGLpf","properties":{"formattedCitation":"\\super 229\\nosupersub{}","plainCitation":"229","noteIndex":0},"citationItems":[{"id":"wiida5Bo/I2XFhwzr","uris":["http://zotero.org/users/local/PVfTvcvz/items/H6J6FIWT"],"itemData":{"id":313,"type":"article-journal","abstract":"The Institutional Animal Care and Use Committee (IACUC) is entrusted with assessing the ethics of proposed projects prior to approval of animal research. The role of the IACUC is detailed in legislation and binding rules, which are in turn inspired by the Three Rs: the principles of Replacement, Reduction, and Refinement. However, these principles are poorly defined. Although this provides the IACUC leeway in assessing a proposed project, it also affords little guidance. Our goal is to provide procedural and philosophical clarity to the IACUC without mandating a particular outcome. To do this, we analyze the underlying logic of the Three Rs and conclude that the Three Rs accord animals moral standing, though not necessarily “rights” in the philosophical sense. We suggest that the Rs are hierarchical, such that Replacement, which can totally eliminate harm, should be considered prior to Reduction, which decreases the number of animals harmed, with Refinement being considered last. We also identify the need for a hitherto implicit fourth R: Reject, which allows the IACUC to refuse permission for a project which does not promise sufficient benefit to offset the pain and distress likely to be caused by the proposed research.","container-title":"Science and Engineering Ethics","DOI":"10.1007/s11948-015-9659-8","ISSN":"1471-5546","issue":"2","journalAbbreviation":"Sci Eng Ethics","language":"en","page":"549-565","source":"Springer Link","title":"The Three Rs of Animal Research: What they Mean for the Institutional Animal Care and Use Committee and Why","title-short":"The Three Rs of Animal Research","volume":"22","author":[{"family":"Curzer","given":"Howard J."},{"family":"Perry","given":"Gad"},{"family":"Wallace","given":"Mark C."},{"family":"Perry","given":"Dan"}],"issued":{"date-parts":[["2016",4,1]]}}}],"schema":"https://github.com/citation-style-language/schema/raw/master/csl-citation.json"}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229</w:t>
      </w:r>
      <w:r w:rsidRPr="002A7128">
        <w:rPr>
          <w:rFonts w:ascii="Calibri" w:hAnsi="Calibri" w:cs="Calibri"/>
          <w:sz w:val="24"/>
          <w:szCs w:val="24"/>
        </w:rPr>
        <w:fldChar w:fldCharType="end"/>
      </w:r>
      <w:r w:rsidRPr="002A7128">
        <w:rPr>
          <w:rFonts w:ascii="Calibri" w:hAnsi="Calibri" w:cs="Calibri"/>
          <w:sz w:val="24"/>
          <w:szCs w:val="24"/>
        </w:rPr>
        <w:t xml:space="preserve">. Furthermore, mouse models do not completely reproduce the complexity of human physiology and metabolism, which may contribute to why less than 8% of medicinal compounds entering Phase I trials eventually make it to market as noted in a 2004 FDA report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{"citationID":"bKCetYjE","properties":{"formattedCitation":"\\super 230,231\\nosupersub{}","plainCitation":"230,231","noteIndex":0},"citationItems":[{"id":"wiida5Bo/XXfbY0XE","uris":["http://zotero.org/users/local/PVfTvcvz/items/WSMBIS3B"],"itemData":{"id":312,"type":"article","publisher":"Food and Drug Administration: U. S. Department of Health and Human Services.","title":"Innovation or Stagnation: Challenge and Opportunity on the Critical Path to New Medical Products.","URL":"https://www.who.int/intellectualproperty/documents/en/FDAproposals.pdf","accessed":{"date-parts":[["2020",8,26]]},"issued":{"date-parts":[["2004",3]]}}},{"id":"wiida5Bo/xtMBBHvM","uris":["http://zotero.org/users/local/PVfTvcvz/items/JFUGY6HG"],"itemData":{"id":266,"type":"article-journal","abstract":"Due to practical and ethical concerns associated with human experimentation, animal models have been essential in cancer research. However, the average rate of successful translation from animal models to clinical cancer trials is less than 8%. Animal models are limited in their ability to mimic the extremely complex process of human carcinogenesis, physiology and progression. Therefore the safety and efficacy identified in animal studies is generally not translated to human trials. Animal models can serve as an important source of in vivo information, but alternative translational approaches have emerged that may eventually replace the link between in vitro studies and clinical applications. This review summarizes the current state of animal model translation to clinical practice, and offers some explanations for the general lack of success in this process. In addition, some alternative strategies to the classic in vivo approach are discussed.","container-title":"American Journal of Translational Research","ISSN":"1943-8141","issue":"2","journalAbbreviation":"Am J Transl Res","language":"eng","note":"PMID: 24489990\nPMCID: PMC3902221","page":"114-118","source":"PubMed","title":"Lost in translation: animal models and clinical trials in cancer treatment","title-short":"Lost in translation","volume":"6","author":[{"family":"Mak","given":"Isabella Wy"},{"family":"Evaniew","given":"Nathan"},{"family":"Ghert","given":"Michelle"}],"issued":{"date-parts":[["2014"]]}}}],"schema":"https://github.com/citation-style-language/schema/raw/master/csl-citation.json"}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230,231</w:t>
      </w:r>
      <w:r w:rsidRPr="002A7128">
        <w:rPr>
          <w:rFonts w:ascii="Calibri" w:hAnsi="Calibri" w:cs="Calibri"/>
          <w:sz w:val="24"/>
          <w:szCs w:val="24"/>
        </w:rPr>
        <w:fldChar w:fldCharType="end"/>
      </w:r>
      <w:r w:rsidRPr="002A7128">
        <w:rPr>
          <w:rFonts w:ascii="Calibri" w:hAnsi="Calibri" w:cs="Calibri"/>
          <w:sz w:val="24"/>
          <w:szCs w:val="24"/>
        </w:rPr>
        <w:t xml:space="preserve">. Alternatives to 2D culture and mouse models include clinical samples, but their use is limited by </w:t>
      </w:r>
      <w:proofErr w:type="spellStart"/>
      <w:r w:rsidRPr="002A7128">
        <w:rPr>
          <w:rFonts w:ascii="Calibri" w:hAnsi="Calibri" w:cs="Calibri"/>
          <w:sz w:val="24"/>
          <w:szCs w:val="24"/>
        </w:rPr>
        <w:t>intratumoral</w:t>
      </w:r>
      <w:proofErr w:type="spellEnd"/>
      <w:r w:rsidRPr="002A7128">
        <w:rPr>
          <w:rFonts w:ascii="Calibri" w:hAnsi="Calibri" w:cs="Calibri"/>
          <w:sz w:val="24"/>
          <w:szCs w:val="24"/>
        </w:rPr>
        <w:t xml:space="preserve"> heterogeneity and are governed by many federal regulations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{"citationID":"cWWgIZy8","properties":{"formattedCitation":"\\super 232\\nosupersub{}","plainCitation":"232","noteIndex":0},"citationItems":[{"id":"wiida5Bo/Xs0z3tsx","uris":["http://zotero.org/users/local/PVfTvcvz/items/2K3KAYTE"],"itemData":{"id":317,"type":"article-journal","abstract":"The use of human specimens in research has contributed to significant scientific and medical advancements. However, the development of sophisticated whole genome and informatics technologies and the increase in specimen and data sharing have raised new questions about the identifiability of specimens and the protection of participants in human specimen research., In the US, new regulations and policies are being considered to address these changes. This review discusses the current and proposed regulations as they apply to specimen research, as well as relevant policy discussions. It summarizes the ways that researchers and other stakeholders can provide their input to these discussions and policy development efforts. Input from all the stakeholders in specimen research will be essential for the development of policies that facilitate such research while at the same time protecting the rights and welfare of research participants.","container-title":"Diagnostic histopathology (Oxford, England)","DOI":"10.1016/j.mpdhp.2013.06.015","ISSN":"1756-2317","issue":"9","journalAbbreviation":"Diagn Histopathol (Oxf)","note":"PMID: 24639889\nPMCID: PMC3954467","page":"322-330","source":"PubMed Central","title":"Use of human specimens in research: the evolving United States regulatory, policy, and scientific landscape","title-short":"Use of human specimens in research","volume":"19","author":[{"family":"Bledsoe","given":"Marianna J."},{"family":"Grizzle","given":"William E."}],"issued":{"date-parts":[["2013",9]]}}}],"schema":"https://github.com/citation-style-language/schema/raw/master/csl-citation.json"}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232</w:t>
      </w:r>
      <w:r w:rsidRPr="002A7128">
        <w:rPr>
          <w:rFonts w:ascii="Calibri" w:hAnsi="Calibri" w:cs="Calibri"/>
          <w:sz w:val="24"/>
          <w:szCs w:val="24"/>
        </w:rPr>
        <w:fldChar w:fldCharType="end"/>
      </w:r>
      <w:r w:rsidRPr="002A7128">
        <w:rPr>
          <w:rFonts w:ascii="Calibri" w:hAnsi="Calibri" w:cs="Calibri"/>
          <w:sz w:val="24"/>
          <w:szCs w:val="24"/>
        </w:rPr>
        <w:t xml:space="preserve">, making them low-throughput and difficult to routinely use. </w:t>
      </w:r>
    </w:p>
    <w:p w14:paraId="5B2D8A3C" w14:textId="3C4EBA4A" w:rsidR="000711C0" w:rsidRPr="002A7128" w:rsidRDefault="000711C0" w:rsidP="00F675B4">
      <w:pPr>
        <w:pStyle w:val="MDPI31text"/>
        <w:spacing w:line="480" w:lineRule="auto"/>
        <w:ind w:firstLine="0"/>
        <w:rPr>
          <w:rFonts w:ascii="Calibri" w:hAnsi="Calibri" w:cs="Calibri"/>
          <w:sz w:val="24"/>
          <w:szCs w:val="24"/>
        </w:rPr>
      </w:pPr>
      <w:r w:rsidRPr="002A7128">
        <w:rPr>
          <w:rFonts w:ascii="Calibri" w:hAnsi="Calibri" w:cs="Calibri"/>
          <w:sz w:val="24"/>
          <w:szCs w:val="24"/>
        </w:rPr>
        <w:t xml:space="preserve">Recent advances in 3D cell culture, such as cell culture in hydrogels that mimic the extracellular matrix, have attempted to bridge the gap between preclinical and clinical results. In particular, multicellular tumor spheroids (MCTS) have emerged as a promising </w:t>
      </w:r>
      <w:r w:rsidRPr="002A7128">
        <w:rPr>
          <w:rFonts w:ascii="Calibri" w:hAnsi="Calibri" w:cs="Calibri"/>
          <w:i/>
          <w:iCs/>
          <w:sz w:val="24"/>
          <w:szCs w:val="24"/>
        </w:rPr>
        <w:t>in vitro</w:t>
      </w:r>
      <w:r w:rsidRPr="002A7128">
        <w:rPr>
          <w:rFonts w:ascii="Calibri" w:hAnsi="Calibri" w:cs="Calibri"/>
          <w:sz w:val="24"/>
          <w:szCs w:val="24"/>
        </w:rPr>
        <w:t xml:space="preserve"> model for cancer research because of their high throughput, low cost and increased physiological relevance </w:t>
      </w:r>
      <w:r w:rsidRPr="002A7128">
        <w:rPr>
          <w:rFonts w:ascii="Calibri" w:hAnsi="Calibri" w:cs="Calibri"/>
          <w:sz w:val="24"/>
          <w:szCs w:val="24"/>
        </w:rPr>
        <w:lastRenderedPageBreak/>
        <w:t xml:space="preserve">compared to 2D culture. MCTS are defined as 3D spherical clusters of malignant cells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{"citationID":"aEUQbjdP","properties":{"formattedCitation":"\\super 233\\nosupersub{}","plainCitation":"233","noteIndex":0},"citationItems":[{"id":"wiida5Bo/sz3iCwwN","uris":["http://zotero.org/users/local/PVfTvcvz/items/Q526SPUS"],"itemData":{"id":142,"type":"article-journal","abstract":"Cellular aggregates have been used in developmental biology and in experimental cancer research for several decades. Spherical aggregates of malignant cells, i.e. multicellular tumor spheroids, may serve as in vitro models of tumor microregions and of an early, avascular stage of tumor growth. The similarities between the original tumor and the respective spheroids include volume growth kinetics, cellular heterogeneity, e.g. the induction of proliferation gradients and quiescence, as well as differentiation characteristics, such as the development of specific histological structures or the expression of antigens. Research using cell aggregates has been focussed on mechanisms involved in the control of proliferation, invasion and metastasis. Immunological studies with spheroids have resulted in the characterization of defense cells which are responsible for specific host-versus-tumor reactions. The vast majority of investigations on spheroids concerns the simulation of therapy with regard to various treatment modalities, combination treatments and systematic analyses of using various endpoints in predictive assays. Only a few pathophysiological studies on the interrelationship among tumor-specific micromilieu, cellular metabolism, proliferative status, and cellular viability have been undertaken with the spheroid model up to now. Since these studies are indicative of a large influence of the cellular microenvironment on basic biological properties of cancer cells, investigations of these epigenetic mechanisms should be intensified in future research on cell aggregates. Similarly, the molecular basis of the biological peculiarities found in malignant cells grown as three-dimensional aggregates has to be investigated more intensively.","container-title":"Journal of Cancer Research and Clinical Oncology","DOI":"10.1007/BF00391431","ISSN":"1432-1335","issue":"2","journalAbbreviation":"J Cancer Res Clin Oncol","language":"en","page":"101-122","source":"Springer Link","title":"Multicellular spheroids","volume":"113","author":[{"family":"Mueller-Klieser","given":"Wolfgang"}],"issued":{"date-parts":[["1987",4,1]]}}}],"schema":"https://github.com/citation-style-language/schema/raw/master/csl-citation.json"}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233</w:t>
      </w:r>
      <w:r w:rsidRPr="002A7128">
        <w:rPr>
          <w:rFonts w:ascii="Calibri" w:hAnsi="Calibri" w:cs="Calibri"/>
          <w:sz w:val="24"/>
          <w:szCs w:val="24"/>
        </w:rPr>
        <w:fldChar w:fldCharType="end"/>
      </w:r>
      <w:r w:rsidRPr="002A7128">
        <w:rPr>
          <w:rFonts w:ascii="Calibri" w:hAnsi="Calibri" w:cs="Calibri"/>
          <w:sz w:val="24"/>
          <w:szCs w:val="24"/>
        </w:rPr>
        <w:t xml:space="preserve">, and have been shown to mimic many features of solid tumors </w:t>
      </w:r>
      <w:r w:rsidRPr="002A7128">
        <w:rPr>
          <w:rFonts w:ascii="Calibri" w:hAnsi="Calibri" w:cs="Calibri"/>
          <w:i/>
          <w:iCs/>
          <w:sz w:val="24"/>
          <w:szCs w:val="24"/>
        </w:rPr>
        <w:t>in vivo</w:t>
      </w:r>
      <w:r w:rsidRPr="002A7128">
        <w:rPr>
          <w:rFonts w:ascii="Calibri" w:hAnsi="Calibri" w:cs="Calibri"/>
          <w:sz w:val="24"/>
          <w:szCs w:val="24"/>
        </w:rPr>
        <w:t xml:space="preserve">, such as cell-cell and cell-extracellular matrix interactions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{"citationID":"qj4w08oP","properties":{"formattedCitation":"\\super 234,235\\nosupersub{}","plainCitation":"234,235","noteIndex":0},"citationItems":[{"id":"wiida5Bo/uaNq0SeC","uris":["http://zotero.org/users/local/PVfTvcvz/items/LVHR3FNS"],"itemData":{"id":136,"type":"article-journal","abstract":"The extracellular matrix (ECM) microenvironment plays a central role in cell migration by providing physiochemical information that influences overall cell behavior. Much of this external information is accessed by direct interaction of the cell with ECM ligands and structures via integrin-based adhesions that are hypothesized to act as mechanosensors for testing the surrounding microenvironment. Our current understanding of these mechanical complexes is derived primarily from studies of cellular adhesions formed on two-dimensional (2D) substrates in vitro. Yet the rules of cell/ECM engagement and mechanosensing in three-dimensional (3D) microenvironments are invariably more complex under both in vitro and in vivo conditions. Here we review the current understanding of how cellular mechanosensing occurs through adhesion complexes within 3D microenvironments and discuss how these mechanisms can vary and differ from interactions on 2D substrates.","container-title":"Experimental Cell Research","DOI":"10.1016/j.yexcr.2015.10.033","ISSN":"0014-4827","issue":"1","journalAbbreviation":"Experimental Cell Research","language":"en","page":"60-66","source":"ScienceDirect","title":"Mechanosensing via cell-matrix adhesions in 3D microenvironments","volume":"343","author":[{"family":"Doyle","given":"Andrew D."},{"family":"Yamada","given":"Kenneth M."}],"issued":{"date-parts":[["2016",4,10]]}}},{"id":"wiida5Bo/7ORxdHnp","uris":["http://zotero.org/users/local/PVfTvcvz/items/ACM9PDV7"],"itemData":{"id":463,"type":"article-journal","abstract":"Pancreatic ductal adenocarcinoma (PDAC) is the fourth most common cause of cancer related death. It is lethal in nearly all patients, due to an almost complete chemoresistance. Most if not all drugs that pass preclinical tests successfully, fail miserably in the patient. This raises the question whether traditional 2D cell culture is the correct tool for drug screening. The objective of this study is to develop a simple, high-throughput 3D model of human PDAC cell lines, and to explore mechanisms underlying the transition from 2D to 3D that might be responsible for chemoresistance. Several established human PDAC and a KPC mouse cell lines were tested, whereby Panc-1 was studied in more detail. 3D spheroid formation was facilitated with methylcellulose. Spheroids were studied morphologically, electron microscopically and by qRT-PCR for selected matrix genes, related factors and miRNA. Metabolic studies were performed, and a panel of novel drugs was tested against gemcitabine. Comparing 3D to 2D cell culture, matrix proteins were significantly increased as were lumican, SNED1, DARP32, and miR-146a. Cell metabolism in 3D was shifted towards glycolysis. All drugs tested were less effective in 3D, except for allicin, MT100 and AX, which demonstrated effect. We developed a high-throughput 3D cell culture drug screening system for pancreatic cancer, which displays a strongly increased chemoresistance. Features associated to the 3D cell model are increased expression of matrix proteins and miRNA as well as stromal markers such as PPP1R1B and SNED1. This is supporting the concept of cell adhesion mediated drug resistance.","container-title":"BMC Cancer","DOI":"10.1186/1471-2407-13-95","ISSN":"1471-2407","issue":"1","journalAbbreviation":"BMC Cancer","language":"en","note":"number: 1\npublisher: BioMed Central","page":"1-13","source":"bmccancer-biomedcentral-com.ezproxy.lib.ou.edu","title":"3D pancreatic carcinoma spheroids induce a matrix-rich, chemoresistant phenotype offering a better model for drug testing","volume":"13","author":[{"family":"Longati","given":"Paola"},{"family":"Jia","given":"Xiaohui"},{"family":"Eimer","given":"Johannes"},{"family":"Wagman","given":"Annika"},{"family":"Witt","given":"Michael-Robin"},{"family":"Rehnmark","given":"Stefan"},{"family":"Verbeke","given":"Caroline"},{"family":"Toftgård","given":"Rune"},{"family":"Löhr","given":"Matthias"},{"family":"Heuchel","given":"Rainer L."}],"issued":{"date-parts":[["2013",12]]}}}],"schema":"https://github.com/citation-style-language/schema/raw/master/csl-citation.json"}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234,235</w:t>
      </w:r>
      <w:r w:rsidRPr="002A7128">
        <w:rPr>
          <w:rFonts w:ascii="Calibri" w:hAnsi="Calibri" w:cs="Calibri"/>
          <w:sz w:val="24"/>
          <w:szCs w:val="24"/>
        </w:rPr>
        <w:fldChar w:fldCharType="end"/>
      </w:r>
      <w:r w:rsidRPr="002A7128">
        <w:rPr>
          <w:rFonts w:ascii="Calibri" w:hAnsi="Calibri" w:cs="Calibri"/>
          <w:sz w:val="24"/>
          <w:szCs w:val="24"/>
        </w:rPr>
        <w:t xml:space="preserve">, increased drug resistance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{"citationID":"Hu1j7Vxn","properties":{"formattedCitation":"\\super 236\\uc0\\u8211{}238\\nosupersub{}","plainCitation":"236–238","noteIndex":0},"citationItems":[{"id":"wiida5Bo/KkQWHG6i","uris":["http://zotero.org/users/local/PVfTvcvz/items/QX6WBDFQ"],"itemData":{"id":141,"type":"article-journal","abstract":"Interactions between cancer cells and cancer-associated fibroblasts (CAFs) within the tumor microenvironment (TME) play an important role in promoting the profibrotic microenvironment and epithelial-mesenchymal transition (EMT), resulting in tumor progression and drug resistance in hepatocellular carcinoma (HCC). In the present study, we developed a mixed-cell spheroid model using Huh-7 HCC cells and LX-2 stellate cells to simulate the in vivo tumor environment with respect to tumor-CAF interactions. Spheroids were cultured from cancer cells alone (monospheroids) or as a mixture (mixed-cell spheroids) in ultra-low-attachment plates. Compact, well-mixed, and stroma-rich mixed-cell spheroids were successfully established with heterotypic cell-cell contacts shown by the presence of gap junctions and desmosomes. Mixed-cell spheroids showed enhanced expression of collagen type-I (Col‐I) and pro‐fibrotic factors such as, transforming growth factor beta1 (TGF-β1), and connective tissue growth factor (CTGF) compared to the levels expressed in mono-spheroids. The EMT phenotype was evident in mixed-cell spheroids as shown by the altered expression of E-cadherin and vimentin. Differential drug sensitivity was observed in mixed-cell spheroids, and only sorafenib and oxaliplatin showed dose-dependent antiproliferative effects. Simultaneous treatment with TGF-β inhibitors further improved sorafenib efficacy in the mixed-cell spheroids, indicating the involvement of TGF-β in the mechanism of sorafenib resistance. In 3D matrix invasion assay, mixed-cell spheroids exhibited fibroblast-led collective cell movement. Overall, our results provide evidence that mixed-cell spheroids formed with Huh-7 and LX-2 cells well represent HCC tumors and their TME in vivo and hence are useful in studying tumor-stroma interactions as mechanisms associated with drug resistance and increased cell motility.","container-title":"Neoplasia","DOI":"10.1016/j.neo.2018.05.008","ISSN":"1476-5586","issue":"8","journalAbbreviation":"Neoplasia","language":"en","page":"800-812","source":"ScienceDirect","title":"Three Dimensional Mixed-Cell Spheroids Mimic Stroma-Mediated Chemoresistance and Invasive Migration in hepatocellular carcinoma","volume":"20","author":[{"family":"Khawar","given":"Iftikhar Ali"},{"family":"Park","given":"Jong Kook"},{"family":"Jung","given":"Eun Sun"},{"family":"Lee","given":"Myung Ah"},{"family":"Chang","given":"Suhwan"},{"family":"Kuh","given":"Hyo-Jeong"}],"issued":{"date-parts":[["2018",8,1]]}}},{"id":"wiida5Bo/MIx9vmMY","uris":["http://zotero.org/users/local/PVfTvcvz/items/DJ8X5HHR"],"itemData":{"id":460,"type":"article-journal","abstract":"Head and Neck Squamous Cell Carcinoma (HNSCC) tumors are often resistant to therapies. Therefore searching for predictive markers and new targets for treatment in clinically relevant in vitro tumor models is essential. Five HNSCC-derived cell lines were used to assess the effect of 3D culturing compared to 2D monolayers in terms of cell proliferation, response to anti-cancer therapy as well as expression of EMT and CSC genes. The viability and proliferation capacity of HNSCC cells as well as induction of apoptosis in tumor spheroids cells after treatment was assessed by MTT assay, crystal violet- and TUNEL assay respectively. Expression of EMT and CSC markers was analyzed on mRNA (RT-qPCR) and protein (Western blot) level. We showed that HNSCC cells from different tumors formed spheroids that differed in size and density in regard to EMT-associated protein expression and culturing time. In all spheroids, an up regulation of CDH1, NANOG and SOX2 was observed in comparison to 2D but changes in the expression of EGFR and EMT markers varied among the cell lines. Moreover, most HNSCC cells grown in 3D showed decreased sensitivity to cisplatin and cetuximab (anti-EGFR) treatment. Taken together, our study points at notable differences between these two cellular systems in terms of EMT-associated gene expression profile and drug response. As the 3D cell cultures imitate the in vivo behaviour of neoplastic cells within the tumor, our study suggest that 3D culture model is superior to 2D monolayers in the search for new therapeutic targets.","container-title":"Cancer Cell International","DOI":"10.1186/s12935-019-0733-1","ISSN":"1475-2867","issue":"1","journalAbbreviation":"Cancer Cell Int","language":"en","note":"number: 1\npublisher: BioMed Central","page":"1-10","source":"cancerci-biomedcentral-com.ezproxy.lib.ou.edu","title":"The effect of 2D and 3D cell cultures on treatment response, EMT profile and stem cell features in head and neck cancer","volume":"19","author":[{"family":"Melissaridou","given":"Styliani"},{"family":"Wiechec","given":"Emilia"},{"family":"Magan","given":"Mustafa"},{"family":"Jain","given":"Mayur Vilas"},{"family":"Chung","given":"Man Ki"},{"family":"Farnebo","given":"Lovisa"},{"family":"Roberg","given":"Karin"}],"issued":{"date-parts":[["2019",12]]}}},{"id":"wiida5Bo/zbPChu5P","uris":["http://zotero.org/users/local/PVfTvcvz/items/ETK9F3UF"],"itemData":{"id":478,"type":"article-journal","abstract":"Background\nHigh fatality in ovarian cancer is attributed to metastasis, propagated by the release of multi-cellular aggregates/spheroids into the peritoneal cavity and their subsequent mesothelial invasion of peritoneal organs. Spheroids are therefore a common and clinically relevant in vitro model for ovarian cancer research. Spheroids in patients vary significantly in size and shape and display enhanced resistance to anti-cancer drugs compared to monolayers. However, there is no consensus on how spheroid size and shape affect drug resistance. Moreover, existing data regarding the influence of epithelial-to-mesenchymal transition (EMT) profile on spheroid shape and migration is inconclusive.\nMethods\nWe formed spheroids with OVCAR-3 and OVCAR-8 cells, chosen for their established genetic similarity to the patient tumor samples. We monitored their morphology using confocal microscope with dipping objective and fluorescent microscope. We characterized important EMT biomarkers; E-cadherin, Vimentin and Slug through western blotting in monolayers and spheroids. We treated these spheroids with Taxol and Cisplatin and investigated their migratory profile based on their morphology.\nResults\nWe report two distinct multicellular structures: loose aggregates (OVCAR-3) and compact spheroids (OVCAR-8). We attribute these different morphologies to the expression of the EMT biomarkers, and their changes upon spheroid formation. Importantly, we did not observe a difference in resistance to the anti-cancer drugs as a function of spheroid size and shape. However, migration capacity of compact spheroid (OVCAR-8) was 15-fold higher compared to that of loose aggregates (OVCAR-3).\nConclusions\nThese results highlight the importance of spheroid size and shape on anti-cancer drug resistance and migration profiles. The results of this study can, therefore, help to elucidate general rules for ovarian cancer studies based on 3D samples.","container-title":"Gynecologic Oncology","DOI":"10.1016/j.ygyno.2020.09.002","ISSN":"0090-8258","journalAbbreviation":"Gynecologic Oncology","language":"en","source":"ScienceDirect","title":"The effects of size and shape of the ovarian cancer spheroids on the drug resistance and migration","URL":"http://www.sciencedirect.com/science/article/pii/S0090825820338579","author":[{"family":"Gunay","given":"Gokhan"},{"family":"Kirit","given":"Hande A."},{"family":"Kamatar","given":"Advika"},{"family":"Baghdasaryan","given":"Ofelya"},{"family":"Hamsici","given":"Seren"},{"family":"Acar","given":"Handan"}],"accessed":{"date-parts":[["2020",9,22]]},"issued":{"date-parts":[["2020",9,18]]}}}],"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236–238</w:t>
      </w:r>
      <w:r w:rsidRPr="002A7128">
        <w:rPr>
          <w:rFonts w:ascii="Calibri" w:hAnsi="Calibri" w:cs="Calibri"/>
          <w:sz w:val="24"/>
          <w:szCs w:val="24"/>
        </w:rPr>
        <w:fldChar w:fldCharType="end"/>
      </w:r>
      <w:r w:rsidRPr="002A7128">
        <w:rPr>
          <w:rFonts w:ascii="Calibri" w:hAnsi="Calibri" w:cs="Calibri"/>
          <w:sz w:val="24"/>
          <w:szCs w:val="24"/>
        </w:rPr>
        <w:t xml:space="preserve">, cell polarity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{"citationID":"Hb7spPED","properties":{"formattedCitation":"\\super 239\\nosupersub{}","plainCitation":"239","noteIndex":0},"citationItems":[{"id":"wiida5Bo/mvlQQw2w","uris":["http://zotero.org/users/local/PVfTvcvz/items/7QME5LHX"],"itemData":{"id":276,"type":"article-journal","container-title":"Endocrine-Related Cancer","DOI":"10.1530/ERC-15-0383","ISSN":"1351-0088, 1479-6821","issue":"3","language":"en_US","note":"publisher: Bioscientifica Ltd","page":"147-159","source":"erc.bioscientifica.com","title":"TGFβ signaling regulates epithelial–mesenchymal plasticity in ovarian cancer ascites-derived spheroids","volume":"23","author":[{"family":"Rafehi","given":"Samah"},{"family":"Valdes","given":"Yudith Ramos"},{"family":"Bertrand","given":"Monique"},{"family":"McGee","given":"Jacob"},{"family":"Préfontaine","given":"Michel"},{"family":"Sugimoto","given":"Akira"},{"family":"DiMattia","given":"Gabriel E."},{"family":"Shepherd","given":"Trevor G."}],"issued":{"date-parts":[["2016",3,1]]}}}],"schema":"https://github.com/citation-style-language/schema/raw/master/csl-citation.json"}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239</w:t>
      </w:r>
      <w:r w:rsidRPr="002A7128">
        <w:rPr>
          <w:rFonts w:ascii="Calibri" w:hAnsi="Calibri" w:cs="Calibri"/>
          <w:sz w:val="24"/>
          <w:szCs w:val="24"/>
        </w:rPr>
        <w:fldChar w:fldCharType="end"/>
      </w:r>
      <w:r w:rsidRPr="002A7128">
        <w:rPr>
          <w:rFonts w:ascii="Calibri" w:hAnsi="Calibri" w:cs="Calibri"/>
          <w:sz w:val="24"/>
          <w:szCs w:val="24"/>
        </w:rPr>
        <w:t xml:space="preserve">, and nutrient diffusion gradients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{"citationID":"yZYvGf8N","properties":{"formattedCitation":"\\super 240\\nosupersub{}","plainCitation":"240","noteIndex":0},"citationItems":[{"id":"wiida5Bo/pjySZlSS","uris":["http://zotero.org/users/local/PVfTvcvz/items/8TEQ4IZF"],"itemData":{"id":271,"type":"article-journal","abstract":"Multicellular spheroids are three dimensional in vitro microscale tissue analogs. The current article examines the suitability of spheroids as an in vitro platform for testing drug delivery systems. Spheroids model critical physiologic parameters present in vivo, including complex multicellular architecture, barriers to mass transport, and extracellular matrix deposition. Relative to two-dimensional cultures, spheroids also provide better target cells for drug testing and are appropriate in vitro models for studies of drug penetration. Key challenges associated with creation of uniformly sized spheroids, spheroids with small number of cells and co-culture spheroids are emphasized in the article. Moreover, the assay techniques required for the characterization of drug delivery and efficacy in spheroids and the challenges associated with such studies are discussed. Examples for the use of spheroids in drug delivery and testing are also emphasized. By addressing these challenges with possible solutions, multicellular spheroids are becoming an increasingly useful in vitro tool for drug screening and delivery to pathological tissues and organs.","collection-title":"Drug Delivery and Cancer: Today's Challenges, Tomorrow's Directions.","container-title":"Journal of Controlled Release","DOI":"10.1016/j.jconrel.2012.04.045","ISSN":"0168-3659","issue":"2","journalAbbreviation":"Journal of Controlled Release","language":"en","page":"192-204","source":"ScienceDirect","title":"Opportunities and challenges for use of tumor spheroids as models to test drug delivery and efficacy","volume":"164","author":[{"family":"Mehta","given":"Geeta"},{"family":"Hsiao","given":"Amy Y."},{"family":"Ingram","given":"Marylou"},{"family":"Luker","given":"Gary D."},{"family":"Takayama","given":"Shuichi"}],"issued":{"date-parts":[["2012",12,10]]}}}],"schema":"https://github.com/citation-style-language/schema/raw/master/csl-citation.json"}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240</w:t>
      </w:r>
      <w:r w:rsidRPr="002A7128">
        <w:rPr>
          <w:rFonts w:ascii="Calibri" w:hAnsi="Calibri" w:cs="Calibri"/>
          <w:sz w:val="24"/>
          <w:szCs w:val="24"/>
        </w:rPr>
        <w:fldChar w:fldCharType="end"/>
      </w:r>
      <w:r w:rsidRPr="002A7128">
        <w:rPr>
          <w:rFonts w:ascii="Calibri" w:hAnsi="Calibri" w:cs="Calibri"/>
          <w:sz w:val="24"/>
          <w:szCs w:val="24"/>
        </w:rPr>
        <w:t xml:space="preserve">. </w:t>
      </w:r>
    </w:p>
    <w:p w14:paraId="7D1CFB5B" w14:textId="6CCE604A" w:rsidR="000711C0" w:rsidRPr="002A7128" w:rsidRDefault="000711C0" w:rsidP="00F675B4">
      <w:pPr>
        <w:pStyle w:val="MDPI31text"/>
        <w:spacing w:after="240" w:line="480" w:lineRule="auto"/>
        <w:ind w:firstLine="0"/>
        <w:rPr>
          <w:rFonts w:ascii="Calibri" w:hAnsi="Calibri" w:cs="Calibri"/>
          <w:sz w:val="24"/>
          <w:szCs w:val="24"/>
        </w:rPr>
      </w:pPr>
      <w:r w:rsidRPr="002A7128">
        <w:rPr>
          <w:rFonts w:ascii="Calibri" w:hAnsi="Calibri" w:cs="Calibri"/>
          <w:sz w:val="24"/>
          <w:szCs w:val="24"/>
        </w:rPr>
        <w:t xml:space="preserve">Studies on MCTS began in the 1970s and 1980s, led by the efforts of R.M. Sutherland and colleagues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{"citationID":"tePkevHh","properties":{"formattedCitation":"\\super 241,242\\nosupersub{}","plainCitation":"241,242","noteIndex":0},"citationItems":[{"id":"wiida5Bo/yL9388wW","uris":["http://zotero.org/users/local/PVfTvcvz/items/9VKJGHBJ"],"itemData":{"id":283,"type":"article-journal","abstract":"Summary.  Chinese hamster V79 lung cells grown in suspension in tissue culture form multicell spheroids morphologically resembling the nodules in syngeneic tran","container-title":"JNCI: Journal of the National Cancer Institute","DOI":"10.1093/jnci/46.1.113","ISSN":"0027-8874","issue":"1","journalAbbreviation":"J Natl Cancer Inst","language":"en","note":"publisher: Oxford Academic","page":"113-120","source":"academic-oup-com.ezproxy.lib.ou.edu","title":"Growth of Multicell Spheroids in Tissue Culture as a Model of Nodular Carcinomas","volume":"46","author":[{"family":"Sutherland","given":"Robert M."},{"family":"McCredie","given":"John A."},{"family":"Inch","given":"W. Rodger"}],"issued":{"date-parts":[["1971",1,1]]}}},{"id":"wiida5Bo/pYLNuN9o","uris":["http://zotero.org/users/local/PVfTvcvz/items/GXV5VD6V"],"itemData":{"id":270,"type":"article-journal","abstract":"Abnormal vascularization of malignant tumors is associated with the development of microregions of heterogeneous cells and environments. Experimental models such as multicell spheroids and a variety of new techniques are being used to determine the characteristics of these microregions and to study the interactions of the cells and microenvironments. The special cellular microecology of tumors influences responsiveness to therapeutic agents and has implications for future directions in cancer research.","container-title":"Science","DOI":"10.1126/science.2451290","ISSN":"0036-8075, 1095-9203","issue":"4849","language":"en","note":"publisher: American Association for the Advancement of Science\nsection: Articles\nPMID: 2451290","page":"177-184","source":"science-sciencemag-org.ezproxy.lib.ou.edu","title":"Cell and environment interactions in tumor microregions: the multicell spheroid model","title-short":"Cell and environment interactions in tumor microregions","volume":"240","author":[{"family":"Sutherland","given":"R. M."}],"issued":{"date-parts":[["1988",4,8]]}}}],"schema":"https://github.com/citation-style-language/schema/raw/master/csl-citation.json"}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241,242</w:t>
      </w:r>
      <w:r w:rsidRPr="002A7128">
        <w:rPr>
          <w:rFonts w:ascii="Calibri" w:hAnsi="Calibri" w:cs="Calibri"/>
          <w:sz w:val="24"/>
          <w:szCs w:val="24"/>
        </w:rPr>
        <w:fldChar w:fldCharType="end"/>
      </w:r>
      <w:r w:rsidRPr="002A7128">
        <w:rPr>
          <w:rFonts w:ascii="Calibri" w:hAnsi="Calibri" w:cs="Calibri"/>
          <w:sz w:val="24"/>
          <w:szCs w:val="24"/>
        </w:rPr>
        <w:t xml:space="preserve">. In metastatic tumors, lack of vascularization leads to areas of necrosis of cells with nutrient deficiency, hypoxia, and acidity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{"citationID":"kn6ra0Oa","properties":{"formattedCitation":"\\super 242\\uc0\\u8211{}244\\nosupersub{}","plainCitation":"242–244","noteIndex":0},"citationItems":[{"id":"wiida5Bo/pYLNuN9o","uris":["http://zotero.org/users/local/PVfTvcvz/items/GXV5VD6V"],"itemData":{"id":270,"type":"article-journal","abstract":"Abnormal vascularization of malignant tumors is associated with the development of microregions of heterogeneous cells and environments. Experimental models such as multicell spheroids and a variety of new techniques are being used to determine the characteristics of these microregions and to study the interactions of the cells and microenvironments. The special cellular microecology of tumors influences responsiveness to therapeutic agents and has implications for future directions in cancer research.","container-title":"Science","DOI":"10.1126/science.2451290","ISSN":"0036-8075, 1095-9203","issue":"4849","language":"en","note":"publisher: American Association for the Advancement of Science\nsection: Articles\nPMID: 2451290","page":"177-184","source":"science-sciencemag-org.ezproxy.lib.ou.edu","title":"Cell and environment interactions in tumor microregions: the multicell spheroid model","title-short":"Cell and environment interactions in tumor microregions","volume":"240","author":[{"family":"Sutherland","given":"R. M."}],"issued":{"date-parts":[["1988",4,8]]}}},{"id":"wiida5Bo/kQ3Olord","uris":["http://zotero.org/users/local/PVfTvcvz/items/XWVCYV74"],"itemData":{"id":329,"type":"article-journal","abstract":"We investigate microscopic pH heterogeneity within tumor spheroids using a novel 1H NMR methodology that provides high resolution measurements of intraspheroidal pH. Material and Methods: High resolution microscopic images of intraspheroidal pH were obtained by 1H NMR using chemical shift selective excitation of the H2 resonance of imidazole added to the incubation medium. Imidazole accumulated in the intraspheroidal space in a pH dependent manner. Maps of intraspheroidal pH could be obtained by transforming pixel by pixel (32 × 32$) the regional variation of imidazole H2 intensity into a relative pH scale. Results: Our analysis revealed drastic intraspheroidal pH alterations depending on the size of the spheroid, ca. 0.6 pH units more acidic in the necrotic core than in the periphery, for spheroids of 600 μm diameter. The presence of concentric regions having similar intraspheroidal pH was consistently observed. The thickness of these regions decreased from pH 7.2 to pH 6.8 and increased below the latter pH value. Conclusion: Our observations are compatible with the general model of spheroid growth where the more external layers of cells are in active growth and depict more alkaline pH values while the inner layers remain quiescent or evolve to a necrotic core, depicting more acidic pH values.","container-title":"Magnetic Resonance Materials in Physics, Biology and Medicine","DOI":"10.1007/s10334-005-0013-z","ISSN":"1352-8661","issue":"6","journalAbbreviation":"MAGMA","language":"en","page":"293-301","source":"Springer Link","title":"Microscopic images of intraspheroidal pH by 1H magnetic resonance chemical shift imaging of pH sensitive indicators","volume":"18","author":[{"family":"Alvarez-Pérez","given":"Jose"},{"family":"Ballesteros","given":"Paloma"},{"family":"Cerdán","given":"Sebastián"}],"issued":{"date-parts":[["2005",12,1]]}}},{"id":"wiida5Bo/rjy4cy3B","uris":["http://zotero.org/users/local/PVfTvcvz/items/SIWQT9GP"],"itemData":{"id":331,"type":"article-journal","abstract":"Isolated hepatocytes in spheroid configuration exhibit a high degree of cell–cell contacts, which are important in the maintenance of viability and liver specific functions. In the absence of a vascular network, the cells in a large spheroid size experience mass transfer limitations of metabolites and oxygen in the core of aggregates. In this paper transport phenomena related to the diffusion and reaction of oxygen, glucose and lactate are mathematically described and experimentally verified for hepatocyte spheroids cultured in a rotating-wall polystyrene system (RWPS) not permeable for gases and in a rotating-wall membrane system (RWMS) with oxygen-permeable membrane. The concentration profiles of glucose, oxygen and lactate in the hepatocyte spheroids were estimated for different diameters of aggregates by solving the mass transfer equations for simultaneous diffusion and reaction, by finite element method. Simulation results evidenced that, for aggregates with size lower than 300μm cultured in both RWPS and RWMS systems, the concentration profiles of glucose and lactate towards the core of spheroids (effective diffusion coefficients in the order of 10−11m2/s) are not significantly affected by the metabolic rate (c.a 10−6μg/mm3/s for glucose and about one order of magnitude less for lactate). On the contrary, the transport of oxygen (diffusion coefficient: 3.4×10−10m2/s, reaction rate: 1.5×10−5μg/mm3/s) is critically affected by the size of the multicellular spheroids and significant gradients in oxygen concentration may develop in spheroids. Aggregates with a size greater than 200μm suffer severe oxygen limitation in the most part of its size attaining the lowest partial pressure in the centre. The improved viability predicted by the model culturing hepatocyte spheroids in the RWMS, characterized by a higher O2 permeability with respect to RWPS, was experimentally confirmed. The results demonstrated that the mathematical model used in this study represents a useful support to experimental procedures in order to obtain hepatocyte spheroids with optimal size.","container-title":"Biomaterials","DOI":"10.1016/j.biomaterials.2007.08.033","ISSN":"0142-9612","issue":"36","journalAbbreviation":"Biomaterials","language":"en","page":"5487-5497","source":"ScienceDirect","title":"Mass transfer and metabolic reactions in hepatocyte spheroids cultured in rotating wall gas-permeable membrane system","volume":"28","author":[{"family":"Curcio","given":"Efrem"},{"family":"Salerno","given":"Simona"},{"family":"Barbieri","given":"Giuseppe"},{"family":"De Bartolo","given":"Loredana"},{"family":"Drioli","given":"Enrico"},{"family":"Bader","given":"Augustinus"}],"issued":{"date-parts":[["2007",12,1]]}}}],"schema":"https://github.com/citation-style-language/schema/raw/master/csl-citation.json"}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242–244</w:t>
      </w:r>
      <w:r w:rsidRPr="002A7128">
        <w:rPr>
          <w:rFonts w:ascii="Calibri" w:hAnsi="Calibri" w:cs="Calibri"/>
          <w:sz w:val="24"/>
          <w:szCs w:val="24"/>
        </w:rPr>
        <w:fldChar w:fldCharType="end"/>
      </w:r>
      <w:r w:rsidRPr="002A7128">
        <w:rPr>
          <w:rFonts w:ascii="Calibri" w:hAnsi="Calibri" w:cs="Calibri"/>
          <w:sz w:val="24"/>
          <w:szCs w:val="24"/>
        </w:rPr>
        <w:t xml:space="preserve">. Tumors also exhibit layers of proliferating, quiescent (non-proliferating), and necrotic cells at progressively greater distances from blood vessels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{"citationID":"Es5St6Nm","properties":{"formattedCitation":"\\super 242\\nosupersub{}","plainCitation":"242","noteIndex":0},"citationItems":[{"id":"wiida5Bo/pYLNuN9o","uris":["http://zotero.org/users/local/PVfTvcvz/items/GXV5VD6V"],"itemData":{"id":270,"type":"article-journal","abstract":"Abnormal vascularization of malignant tumors is associated with the development of microregions of heterogeneous cells and environments. Experimental models such as multicell spheroids and a variety of new techniques are being used to determine the characteristics of these microregions and to study the interactions of the cells and microenvironments. The special cellular microecology of tumors influences responsiveness to therapeutic agents and has implications for future directions in cancer research.","container-title":"Science","DOI":"10.1126/science.2451290","ISSN":"0036-8075, 1095-9203","issue":"4849","language":"en","note":"publisher: American Association for the Advancement of Science\nsection: Articles\nPMID: 2451290","page":"177-184","source":"science-sciencemag-org.ezproxy.lib.ou.edu","title":"Cell and environment interactions in tumor microregions: the multicell spheroid model","title-short":"Cell and environment interactions in tumor microregions","volume":"240","author":[{"family":"Sutherland","given":"R. M."}],"issued":{"date-parts":[["1988",4,8]]}}}],"schema":"https://github.com/citation-style-language/schema/raw/master/csl-citation.json"}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242</w:t>
      </w:r>
      <w:r w:rsidRPr="002A7128">
        <w:rPr>
          <w:rFonts w:ascii="Calibri" w:hAnsi="Calibri" w:cs="Calibri"/>
          <w:sz w:val="24"/>
          <w:szCs w:val="24"/>
        </w:rPr>
        <w:fldChar w:fldCharType="end"/>
      </w:r>
      <w:r w:rsidRPr="002A7128">
        <w:rPr>
          <w:rFonts w:ascii="Calibri" w:hAnsi="Calibri" w:cs="Calibri"/>
          <w:sz w:val="24"/>
          <w:szCs w:val="24"/>
        </w:rPr>
        <w:t xml:space="preserve">. As we demonstrated in Figure 1, it is now well established that MCTS replicate these steep nutrient, oxygen and pH gradients and cell layers in those typically above 500μm in diameter </w:t>
      </w:r>
      <w:r w:rsidRPr="002A7128">
        <w:rPr>
          <w:rFonts w:ascii="Calibri" w:hAnsi="Calibri" w:cs="Calibri"/>
          <w:b/>
          <w:bCs/>
          <w:sz w:val="24"/>
          <w:szCs w:val="24"/>
        </w:rPr>
        <w:t>(</w:t>
      </w:r>
      <w:r w:rsidR="00A5499D" w:rsidRPr="002A7128">
        <w:rPr>
          <w:rFonts w:ascii="Calibri" w:hAnsi="Calibri" w:cs="Calibri"/>
          <w:b/>
          <w:bCs/>
          <w:sz w:val="24"/>
          <w:szCs w:val="24"/>
        </w:rPr>
        <w:fldChar w:fldCharType="begin"/>
      </w:r>
      <w:r w:rsidR="00A5499D" w:rsidRPr="002A7128">
        <w:rPr>
          <w:rFonts w:ascii="Calibri" w:hAnsi="Calibri" w:cs="Calibri"/>
          <w:b/>
          <w:bCs/>
          <w:sz w:val="24"/>
          <w:szCs w:val="24"/>
        </w:rPr>
        <w:instrText xml:space="preserve"> REF _Ref103526905  \* MERGEFORMAT </w:instrText>
      </w:r>
      <w:r w:rsidR="00A5499D" w:rsidRPr="002A7128">
        <w:rPr>
          <w:rFonts w:ascii="Calibri" w:hAnsi="Calibri" w:cs="Calibri"/>
          <w:b/>
          <w:bCs/>
          <w:sz w:val="24"/>
          <w:szCs w:val="24"/>
        </w:rPr>
        <w:fldChar w:fldCharType="separate"/>
      </w:r>
      <w:r w:rsidR="007D711E" w:rsidRPr="002A7128">
        <w:rPr>
          <w:rFonts w:ascii="Calibri" w:hAnsi="Calibri" w:cs="Calibri"/>
          <w:b/>
          <w:bCs/>
          <w:color w:val="000000" w:themeColor="text1"/>
          <w:sz w:val="24"/>
          <w:szCs w:val="24"/>
        </w:rPr>
        <w:t xml:space="preserve">Figure </w:t>
      </w:r>
      <w:r w:rsidR="007D711E" w:rsidRPr="002A7128">
        <w:rPr>
          <w:rFonts w:ascii="Calibri" w:hAnsi="Calibri" w:cs="Calibri"/>
          <w:b/>
          <w:bCs/>
          <w:i/>
          <w:iCs/>
          <w:noProof/>
          <w:color w:val="000000" w:themeColor="text1"/>
          <w:sz w:val="24"/>
          <w:szCs w:val="24"/>
        </w:rPr>
        <w:t>22</w:t>
      </w:r>
      <w:r w:rsidR="00A5499D" w:rsidRPr="002A7128">
        <w:rPr>
          <w:rFonts w:ascii="Calibri" w:hAnsi="Calibri" w:cs="Calibri"/>
          <w:b/>
          <w:bCs/>
          <w:sz w:val="24"/>
          <w:szCs w:val="24"/>
        </w:rPr>
        <w:fldChar w:fldCharType="end"/>
      </w:r>
      <w:r w:rsidRPr="002A7128">
        <w:rPr>
          <w:rFonts w:ascii="Calibri" w:hAnsi="Calibri" w:cs="Calibri"/>
          <w:b/>
          <w:bCs/>
          <w:sz w:val="24"/>
          <w:szCs w:val="24"/>
        </w:rPr>
        <w:t>)</w:t>
      </w:r>
      <w:r w:rsidRPr="002A7128">
        <w:rPr>
          <w:rFonts w:ascii="Calibri" w:hAnsi="Calibri" w:cs="Calibri"/>
          <w:sz w:val="24"/>
          <w:szCs w:val="24"/>
        </w:rPr>
        <w:t xml:space="preserve">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{"citationID":"zKldtNdQ","properties":{"formattedCitation":"\\super 245\\nosupersub{}","plainCitation":"245","noteIndex":0},"citationItems":[{"id":"wiida5Bo/ajFVzNSL","uris":["http://zotero.org/users/local/PVfTvcvz/items/7M7GPP5Q"],"itemData":{"id":215,"type":"article-journal","abstract":"The present article highlights the rationale, potential and flexibility of tumor spheroid mono- and cocultures for implementation into state of the art anti-cancer therapy test platforms. Unlike classical monolayer-based models, spheroids strikingly mirror the 3D cellular context and therapeutically relevant pathophysiological gradients of in vivo tumors. Some concepts for standardization and automation of spheroid culturing, monitoring and analysis are discussed, and the challenges to define the most convenient analytical endpoints for therapy testing are outlined. The potential of spheroids to contribute to either the elimination of poor drug candidates at the pre-animal and pre-clinical state or the identification of promising drugs that would fail in classical 2D cell assays is emphasised. Microtechnologies, in the form of micropatterning and microfluidics, are also discussed and offer the exciting prospect of standardized spheroid mass production to tackle high-throughput screening applications within the context of traditional laboratory settings. The extension towards more sophisticated spheroid coculture models which more closely reflect heterologous tumor tissues composed of tumor and various stromal cell types is also covered. Examples are given with particular emphasis on tumor-immune cell cocultures and their usefulness for testing novel immunotherapeutic treatment strategies. Finally, tumor cell heterogeneity and the extraordinary possibilities of putative cancer stem/tumor-initiating cell populations that can be maintained and expanded in sphere-forming assays are introduced. The relevance of the cancer stem cell hypothesis for cancer cure is highlighted, with the respective sphere cultures being envisioned as an integral tool for next generation drug development offensives.","collection-title":"Organotypic Tissue Culture for Substance Testing","container-title":"Journal of Biotechnology","DOI":"10.1016/j.jbiotec.2010.01.012","ISSN":"0168-1656","issue":"1","journalAbbreviation":"Journal of Biotechnology","language":"en","page":"3-15","source":"ScienceDirect","title":"Multicellular tumor spheroids: An underestimated tool is catching up again","title-short":"Multicellular tumor spheroids","volume":"148","author":[{"family":"Hirschhaeuser","given":"Franziska"},{"family":"Menne","given":"Heike"},{"family":"Dittfeld","given":"Claudia"},{"family":"West","given":"Jonathan"},{"family":"Mueller-Klieser","given":"Wolfgang"},{"family":"Kunz-Schughart","given":"Leoni A."}],"issued":{"date-parts":[["2010",7,1]]}}}],"schema":"https://github.com/citation-style-language/schema/raw/master/csl-citation.json"}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245</w:t>
      </w:r>
      <w:r w:rsidRPr="002A7128">
        <w:rPr>
          <w:rFonts w:ascii="Calibri" w:hAnsi="Calibri" w:cs="Calibri"/>
          <w:sz w:val="24"/>
          <w:szCs w:val="24"/>
        </w:rPr>
        <w:fldChar w:fldCharType="end"/>
      </w:r>
      <w:r w:rsidRPr="002A7128">
        <w:rPr>
          <w:rFonts w:ascii="Calibri" w:hAnsi="Calibri" w:cs="Calibri"/>
          <w:sz w:val="24"/>
          <w:szCs w:val="24"/>
        </w:rPr>
        <w:t xml:space="preserve">. Another hallmark of metastatic cancer is the epithelial-to-mesenchymal transition (EMT), in which epithelial cancer cells lose cell-cell adhesions such as E-cadherin, apical-basolateral polarity, and take on a mesenchymal phenotype to promote migration and invasion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{"citationID":"86rUZTCk","properties":{"formattedCitation":"\\super 239\\nosupersub{}","plainCitation":"239","noteIndex":0},"citationItems":[{"id":"wiida5Bo/mvlQQw2w","uris":["http://zotero.org/users/local/PVfTvcvz/items/7QME5LHX"],"itemData":{"id":276,"type":"article-journal","container-title":"Endocrine-Related Cancer","DOI":"10.1530/ERC-15-0383","ISSN":"1351-0088, 1479-6821","issue":"3","language":"en_US","note":"publisher: Bioscientifica Ltd","page":"147-159","source":"erc.bioscientifica.com","title":"TGFβ signaling regulates epithelial–mesenchymal plasticity in ovarian cancer ascites-derived spheroids","volume":"23","author":[{"family":"Rafehi","given":"Samah"},{"family":"Valdes","given":"Yudith Ramos"},{"family":"Bertrand","given":"Monique"},{"family":"McGee","given":"Jacob"},{"family":"Préfontaine","given":"Michel"},{"family":"Sugimoto","given":"Akira"},{"family":"DiMattia","given":"Gabriel E."},{"family":"Shepherd","given":"Trevor G."}],"issued":{"date-parts":[["2016",3,1]]}}}],"schema":"https://github.com/citation-style-language/schema/raw/master/csl-citation.json"}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239</w:t>
      </w:r>
      <w:r w:rsidRPr="002A7128">
        <w:rPr>
          <w:rFonts w:ascii="Calibri" w:hAnsi="Calibri" w:cs="Calibri"/>
          <w:sz w:val="24"/>
          <w:szCs w:val="24"/>
        </w:rPr>
        <w:fldChar w:fldCharType="end"/>
      </w:r>
      <w:r w:rsidRPr="002A7128">
        <w:rPr>
          <w:rFonts w:ascii="Calibri" w:hAnsi="Calibri" w:cs="Calibri"/>
          <w:sz w:val="24"/>
          <w:szCs w:val="24"/>
        </w:rPr>
        <w:t xml:space="preserve">. MCTS culture, as opposed to 2D culture, can induce this EMT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{"citationID":"pHUgWG4M","properties":{"formattedCitation":"\\super 246\\nosupersub{}","plainCitation":"246","noteIndex":0},"citationItems":[{"id":"wiida5Bo/BIbdmjed","uris":["http://zotero.org/users/local/PVfTvcvz/items/BHC823N2"],"itemData":{"id":275,"type":"article-journal","abstract":"Circulating tumor cells (CTCs) are rare cells and the presence of these cells may indicate a poor prognosis and a high potential for metastasis. Despite highly promising clinical applications, CTCs have not been investigated thoroughly, due to many technical limitations faced in their isolation and identification. Current CTC detection techniques mostly take the epithelial marker epithelial cell adhesion molecule (EpCAM), however, accumulating evidence suggests that CTCs show heterogeneous EpCAM expression due to the epithelial-to-mesenchymal transition (EMT). In this study, we report that a microchip filter device incorporating slit arrays and 3-dimensional flow that can separate heterogeneous population of cells with marker for CTCs. To select target we cultured breast cancer cells under prolonged mammosphere culture conditions which induced EMT phenotype. Under these conditions, cells show upregulation of caveolin1 (CAV1) but down-regulation of EpCAM expression. The proposed device which contains CAV1-EpCAM conjugated bead has several tens of times increased throughput. More importantly, this platform enables the enhanced capture yield from metastatic breast cancer patients and obtained cells that expressed various EMT markers. Further understanding of these EMT-related phenotypes will lead to improved detection techniques and may provide an opportunity to develop therapeutic strategies for effective treatment and prevention of cancer metastasis.","container-title":"Biomaterials","DOI":"10.1016/j.biomaterials.2014.05.039","ISSN":"0142-9612","issue":"26","journalAbbreviation":"Biomaterials","language":"en","page":"7501-7510","source":"ScienceDirect","title":"A microchip filter device incorporating slit arrays and 3-D flow for detection of circulating tumor cells using CAV1-EpCAM conjugated microbeads","volume":"35","author":[{"family":"Kim","given":"Yeon Jeong"},{"family":"Koo","given":"Gi-Bang"},{"family":"Lee","given":"June-Young"},{"family":"Moon","given":"Hui-Sung"},{"family":"Kim","given":"Dong-Gun"},{"family":"Lee","given":"Da-Gyum"},{"family":"Lee","given":"Ju-Yeon"},{"family":"Oh","given":"Jin Ho"},{"family":"Park","given":"Jong-Myeon"},{"family":"Kim","given":"Minseok S."},{"family":"Woo","given":"Hyun Goo"},{"family":"Kim","given":"Seung-Il"},{"family":"Kang","given":"Pilsung"},{"family":"Choi","given":"Wonshik"},{"family":"Sim","given":"Tae Seok"},{"family":"Park","given":"Woong-Yang"},{"family":"Lee","given":"Jeong-Gun"},{"family":"Kim","given":"You-Sun"}],"issued":{"date-parts":[["2014",8,1]]}}}],"schema":"https://github.com/citation-style-language/schema/raw/master/csl-citation.json"}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246</w:t>
      </w:r>
      <w:r w:rsidRPr="002A7128">
        <w:rPr>
          <w:rFonts w:ascii="Calibri" w:hAnsi="Calibri" w:cs="Calibri"/>
          <w:sz w:val="24"/>
          <w:szCs w:val="24"/>
        </w:rPr>
        <w:fldChar w:fldCharType="end"/>
      </w:r>
      <w:r w:rsidRPr="002A7128">
        <w:rPr>
          <w:rFonts w:ascii="Calibri" w:hAnsi="Calibri" w:cs="Calibri"/>
          <w:sz w:val="24"/>
          <w:szCs w:val="24"/>
        </w:rPr>
        <w:t xml:space="preserve"> and affect the migratory profiles of MCTS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{"citationID":"j08RMlG0","properties":{"formattedCitation":"\\super 238\\nosupersub{}","plainCitation":"238","noteIndex":0},"citationItems":[{"id":"wiida5Bo/zbPChu5P","uris":["http://zotero.org/users/local/PVfTvcvz/items/ETK9F3UF"],"itemData":{"id":478,"type":"article-journal","abstract":"Background\nHigh fatality in ovarian cancer is attributed to metastasis, propagated by the release of multi-cellular aggregates/spheroids into the peritoneal cavity and their subsequent mesothelial invasion of peritoneal organs. Spheroids are therefore a common and clinically relevant in vitro model for ovarian cancer research. Spheroids in patients vary significantly in size and shape and display enhanced resistance to anti-cancer drugs compared to monolayers. However, there is no consensus on how spheroid size and shape affect drug resistance. Moreover, existing data regarding the influence of epithelial-to-mesenchymal transition (EMT) profile on spheroid shape and migration is inconclusive.\nMethods\nWe formed spheroids with OVCAR-3 and OVCAR-8 cells, chosen for their established genetic similarity to the patient tumor samples. We monitored their morphology using confocal microscope with dipping objective and fluorescent microscope. We characterized important EMT biomarkers; E-cadherin, Vimentin and Slug through western blotting in monolayers and spheroids. We treated these spheroids with Taxol and Cisplatin and investigated their migratory profile based on their morphology.\nResults\nWe report two distinct multicellular structures: loose aggregates (OVCAR-3) and compact spheroids (OVCAR-8). We attribute these different morphologies to the expression of the EMT biomarkers, and their changes upon spheroid formation. Importantly, we did not observe a difference in resistance to the anti-cancer drugs as a function of spheroid size and shape. However, migration capacity of compact spheroid (OVCAR-8) was 15-fold higher compared to that of loose aggregates (OVCAR-3).\nConclusions\nThese results highlight the importance of spheroid size and shape on anti-cancer drug resistance and migration profiles. The results of this study can, therefore, help to elucidate general rules for ovarian cancer studies based on 3D samples.","container-title":"Gynecologic Oncology","DOI":"10.1016/j.ygyno.2020.09.002","ISSN":"0090-8258","journalAbbreviation":"Gynecologic Oncology","language":"en","source":"ScienceDirect","title":"The effects of size and shape of the ovarian cancer spheroids on the drug resistance and migration","URL":"http://www.sciencedirect.com/science/article/pii/S0090825820338579","author":[{"family":"Gunay","given":"Gokhan"},{"family":"Kirit","given":"Hande A."},{"family":"Kamatar","given":"Advika"},{"family":"Baghdasaryan","given":"Ofelya"},{"family":"Hamsici","given":"Seren"},{"family":"Acar","given":"Handan"}],"accessed":{"date-parts":[["2020",9,22]]},"issued":{"date-parts":[["2020",9,18]]}}}],"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238</w:t>
      </w:r>
      <w:r w:rsidRPr="002A7128">
        <w:rPr>
          <w:rFonts w:ascii="Calibri" w:hAnsi="Calibri" w:cs="Calibri"/>
          <w:sz w:val="24"/>
          <w:szCs w:val="24"/>
        </w:rPr>
        <w:fldChar w:fldCharType="end"/>
      </w:r>
      <w:r w:rsidRPr="002A7128">
        <w:rPr>
          <w:rFonts w:ascii="Calibri" w:hAnsi="Calibri" w:cs="Calibri"/>
          <w:sz w:val="24"/>
          <w:szCs w:val="24"/>
        </w:rPr>
        <w:t xml:space="preserve">, which is crucial in studies attempting to understand and prevent metastasis. In fact, in ovarian cancer, metastasis is proposed to occur through detachment of cells into the peritoneal cavity, where they aggregate into MCTS and create malignant ascites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{"citationID":"ZaAovEh2","properties":{"formattedCitation":"\\super 239\\nosupersub{}","plainCitation":"239","noteIndex":0},"citationItems":[{"id":"wiida5Bo/mvlQQw2w","uris":["http://zotero.org/users/local/PVfTvcvz/items/7QME5LHX"],"itemData":{"id":276,"type":"article-journal","container-title":"Endocrine-Related Cancer","DOI":"10.1530/ERC-15-0383","ISSN":"1351-0088, 1479-6821","issue":"3","language":"en_US","note":"publisher: Bioscientifica Ltd","page":"147-159","source":"erc.bioscientifica.com","title":"TGFβ signaling regulates epithelial–mesenchymal plasticity in ovarian cancer ascites-derived spheroids","volume":"23","author":[{"family":"Rafehi","given":"Samah"},{"family":"Valdes","given":"Yudith Ramos"},{"family":"Bertrand","given":"Monique"},{"family":"McGee","given":"Jacob"},{"family":"Préfontaine","given":"Michel"},{"family":"Sugimoto","given":"Akira"},{"family":"DiMattia","given":"Gabriel E."},{"family":"Shepherd","given":"Trevor G."}],"issued":{"date-parts":[["2016",3,1]]}}}],"schema":"https://github.com/citation-style-language/schema/raw/master/csl-citation.json"}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239</w:t>
      </w:r>
      <w:r w:rsidRPr="002A7128">
        <w:rPr>
          <w:rFonts w:ascii="Calibri" w:hAnsi="Calibri" w:cs="Calibri"/>
          <w:sz w:val="24"/>
          <w:szCs w:val="24"/>
        </w:rPr>
        <w:fldChar w:fldCharType="end"/>
      </w:r>
      <w:r w:rsidRPr="002A7128">
        <w:rPr>
          <w:rFonts w:ascii="Calibri" w:hAnsi="Calibri" w:cs="Calibri"/>
          <w:sz w:val="24"/>
          <w:szCs w:val="24"/>
        </w:rPr>
        <w:t>, further highlighting the direct relevance of the MCTS model to human cancer pathophysiology.</w:t>
      </w:r>
    </w:p>
    <w:p w14:paraId="5BE3DC60" w14:textId="77777777" w:rsidR="000711C0" w:rsidRPr="002A7128" w:rsidRDefault="000711C0" w:rsidP="00F675B4">
      <w:pPr>
        <w:pStyle w:val="MDPI31text"/>
        <w:spacing w:after="240" w:line="480" w:lineRule="auto"/>
        <w:rPr>
          <w:rFonts w:ascii="Calibri" w:hAnsi="Calibri" w:cs="Calibri"/>
          <w:sz w:val="24"/>
          <w:szCs w:val="24"/>
        </w:rPr>
      </w:pPr>
    </w:p>
    <w:p w14:paraId="0DEA3CC3" w14:textId="77777777" w:rsidR="00E84001" w:rsidRPr="002A7128" w:rsidRDefault="000711C0" w:rsidP="00F675B4">
      <w:pPr>
        <w:pStyle w:val="MDPI52figure"/>
        <w:keepNext/>
        <w:spacing w:line="480" w:lineRule="auto"/>
        <w:rPr>
          <w:rFonts w:ascii="Calibri" w:hAnsi="Calibri" w:cs="Calibri"/>
        </w:rPr>
      </w:pPr>
      <w:r w:rsidRPr="002A7128">
        <w:rPr>
          <w:rFonts w:ascii="Calibri" w:hAnsi="Calibri" w:cs="Calibri"/>
          <w:noProof/>
          <w:lang w:eastAsia="zh-CN" w:bidi="ar-SA"/>
        </w:rPr>
        <w:lastRenderedPageBreak/>
        <w:drawing>
          <wp:inline distT="0" distB="0" distL="0" distR="0" wp14:anchorId="0BC245BA" wp14:editId="70E89ACA">
            <wp:extent cx="5615940" cy="2252980"/>
            <wp:effectExtent l="0" t="0" r="3810" b="0"/>
            <wp:docPr id="12" name="Picture 12" descr="A picture containing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flower&#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615940" cy="2252980"/>
                    </a:xfrm>
                    <a:prstGeom prst="rect">
                      <a:avLst/>
                    </a:prstGeom>
                  </pic:spPr>
                </pic:pic>
              </a:graphicData>
            </a:graphic>
          </wp:inline>
        </w:drawing>
      </w:r>
    </w:p>
    <w:p w14:paraId="4F8A34B4" w14:textId="4C9B2316" w:rsidR="000711C0" w:rsidRPr="002A7128" w:rsidRDefault="00E84001" w:rsidP="00F675B4">
      <w:pPr>
        <w:pStyle w:val="Caption"/>
        <w:spacing w:line="480" w:lineRule="auto"/>
        <w:jc w:val="both"/>
        <w:rPr>
          <w:rFonts w:ascii="Calibri" w:hAnsi="Calibri" w:cs="Calibri"/>
          <w:i w:val="0"/>
          <w:iCs w:val="0"/>
          <w:color w:val="000000" w:themeColor="text1"/>
          <w:sz w:val="24"/>
          <w:szCs w:val="24"/>
        </w:rPr>
      </w:pPr>
      <w:bookmarkStart w:id="131" w:name="_Ref103526905"/>
      <w:bookmarkStart w:id="132" w:name="_Toc120789440"/>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22</w:t>
      </w:r>
      <w:r w:rsidRPr="002A7128">
        <w:rPr>
          <w:rFonts w:ascii="Calibri" w:hAnsi="Calibri" w:cs="Calibri"/>
          <w:b/>
          <w:bCs/>
          <w:i w:val="0"/>
          <w:iCs w:val="0"/>
          <w:color w:val="000000" w:themeColor="text1"/>
          <w:sz w:val="24"/>
          <w:szCs w:val="24"/>
        </w:rPr>
        <w:fldChar w:fldCharType="end"/>
      </w:r>
      <w:bookmarkEnd w:id="131"/>
      <w:r w:rsidRPr="002A7128">
        <w:rPr>
          <w:rFonts w:ascii="Calibri" w:hAnsi="Calibri" w:cs="Calibri"/>
          <w:b/>
          <w:bCs/>
          <w:i w:val="0"/>
          <w:iCs w:val="0"/>
          <w:color w:val="000000" w:themeColor="text1"/>
          <w:sz w:val="24"/>
          <w:szCs w:val="24"/>
        </w:rPr>
        <w:t xml:space="preserve"> </w:t>
      </w:r>
      <w:r w:rsidRPr="002A7128">
        <w:rPr>
          <w:rFonts w:ascii="Calibri" w:hAnsi="Calibri" w:cs="Calibri"/>
          <w:b/>
          <w:bCs/>
          <w:i w:val="0"/>
          <w:iCs w:val="0"/>
          <w:snapToGrid w:val="0"/>
          <w:color w:val="000000" w:themeColor="text1"/>
          <w:sz w:val="24"/>
          <w:szCs w:val="24"/>
        </w:rPr>
        <w:t>MCTS Biology.</w:t>
      </w:r>
      <w:r w:rsidRPr="002A7128">
        <w:rPr>
          <w:rFonts w:ascii="Calibri" w:hAnsi="Calibri" w:cs="Calibri"/>
          <w:i w:val="0"/>
          <w:iCs w:val="0"/>
          <w:snapToGrid w:val="0"/>
          <w:color w:val="000000" w:themeColor="text1"/>
          <w:sz w:val="24"/>
          <w:szCs w:val="24"/>
        </w:rPr>
        <w:t xml:space="preserve"> MCTS provide an in vitro platform for the investigation of cell-cell and cell-ECM interactions. Additionally, MCTS mimic in vivo solid tumors in terms of nutrient, oxygen and pH gradients and zone formation.</w:t>
      </w:r>
      <w:bookmarkEnd w:id="132"/>
    </w:p>
    <w:p w14:paraId="28E8CE11" w14:textId="7FEBFC57" w:rsidR="000711C0" w:rsidRPr="002A7128" w:rsidRDefault="000711C0" w:rsidP="00F675B4">
      <w:pPr>
        <w:pStyle w:val="MDPI31text"/>
        <w:spacing w:line="480" w:lineRule="auto"/>
        <w:ind w:firstLine="0"/>
        <w:rPr>
          <w:rFonts w:ascii="Calibri" w:hAnsi="Calibri" w:cs="Calibri"/>
          <w:sz w:val="24"/>
          <w:szCs w:val="24"/>
        </w:rPr>
      </w:pPr>
      <w:r w:rsidRPr="002A7128">
        <w:rPr>
          <w:rFonts w:ascii="Calibri" w:hAnsi="Calibri" w:cs="Calibri"/>
          <w:sz w:val="24"/>
          <w:szCs w:val="24"/>
        </w:rPr>
        <w:t xml:space="preserve">There are two broad strategies for preparation of MCTS as an </w:t>
      </w:r>
      <w:r w:rsidRPr="002A7128">
        <w:rPr>
          <w:rFonts w:ascii="Calibri" w:hAnsi="Calibri" w:cs="Calibri"/>
          <w:i/>
          <w:iCs/>
          <w:sz w:val="24"/>
          <w:szCs w:val="24"/>
        </w:rPr>
        <w:t>in vitro</w:t>
      </w:r>
      <w:r w:rsidRPr="002A7128">
        <w:rPr>
          <w:rFonts w:ascii="Calibri" w:hAnsi="Calibri" w:cs="Calibri"/>
          <w:sz w:val="24"/>
          <w:szCs w:val="24"/>
        </w:rPr>
        <w:t xml:space="preserve"> model for drug screening and cancer biology investigation: matrix-free formation and matrix-dependent formation. Matrix-free MCTS formation techniques include culture via liquid overlay, hanging drop, rotating spinner flasks, and magnetic levitation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{"citationID":"amYjSw0D","properties":{"formattedCitation":"\\super 247,248\\nosupersub{}","plainCitation":"247,248","noteIndex":0},"citationItems":[{"id":"wiida5Bo/eRtMKEUQ","uris":["http://zotero.org/users/local/91fNc9yk/items/IW2LU369"],"itemData":{"id":641,"type":"article-journal","container-title":"Biotechnology Journal","DOI":"10.1002/biot.200700228","ISSN":"18606768, 18607314","issue":"9-10","journalAbbreviation":"Biotechnol. J.","language":"en","page":"1172-1184","source":"DOI.org (Crossref)","title":"Recent advances in three-dimensional multicellular spheroid culture for biomedical research","volume":"3","author":[{"family":"Lin","given":"Ruei-Zhen"},{"family":"Chang","given":"Hwan-You"}],"issued":{"date-parts":[["2008",10]]}}},{"id":"wiida5Bo/9sIwHcif","uris":["http://zotero.org/users/local/91fNc9yk/items/Z8452RK4"],"itemData":{"id":653,"type":"article-journal","container-title":"Nature Nanotechnology","DOI":"10.1038/nnano.2010.23","ISSN":"1748-3387, 1748-3395","issue":"4","journalAbbreviation":"Nature Nanotech","language":"en","page":"291-296","source":"DOI.org (Crossref)","title":"Three-dimensional tissue culture based on magnetic cell levitation","volume":"5","author":[{"family":"Souza","given":"Glauco R."},{"family":"Molina","given":"Jennifer R."},{"family":"Raphael","given":"Robert M."},{"family":"Ozawa","given":"Michael G."},{"family":"Stark","given":"Daniel J."},{"family":"Levin","given":"Carly S."},{"family":"Bronk","given":"Lawrence F."},{"family":"Ananta","given":"Jeyarama S."},{"family":"Mandelin","given":"Jami"},{"family":"Georgescu","given":"Maria-Magdalena"},{"family":"Bankson","given":"James A."},{"family":"Gelovani","given":"Juri G."},{"family":"Killian","given":"T. C."},{"family":"Arap","given":"Wadih"},{"family":"Pasqualini","given":"Renata"}],"issued":{"date-parts":[["2010",4]]}}}],"schema":"https://github.com/citation-style-language/schema/raw/master/csl-citation.json"}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247,248</w:t>
      </w:r>
      <w:r w:rsidRPr="002A7128">
        <w:rPr>
          <w:rFonts w:ascii="Calibri" w:hAnsi="Calibri" w:cs="Calibri"/>
          <w:sz w:val="24"/>
          <w:szCs w:val="24"/>
        </w:rPr>
        <w:fldChar w:fldCharType="end"/>
      </w:r>
      <w:r w:rsidRPr="002A7128">
        <w:rPr>
          <w:rFonts w:ascii="Calibri" w:hAnsi="Calibri" w:cs="Calibri"/>
          <w:sz w:val="24"/>
          <w:szCs w:val="24"/>
        </w:rPr>
        <w:t xml:space="preserve">. Matrix-free techniques have been widely used due to their high throughput, high reproducibility, and relative ease of culture, but they do not include tumor extracellular matrix (ECM) during initial assembly, which provides important physicochemical cues in tumor development </w:t>
      </w:r>
      <w:r w:rsidRPr="002A7128">
        <w:rPr>
          <w:rFonts w:ascii="Calibri" w:hAnsi="Calibri" w:cs="Calibri"/>
          <w:i/>
          <w:iCs/>
          <w:sz w:val="24"/>
          <w:szCs w:val="24"/>
        </w:rPr>
        <w:t>in vivo</w:t>
      </w:r>
      <w:r w:rsidRPr="002A7128">
        <w:rPr>
          <w:rFonts w:ascii="Calibri" w:hAnsi="Calibri" w:cs="Calibri"/>
          <w:sz w:val="24"/>
          <w:szCs w:val="24"/>
        </w:rPr>
        <w:t xml:space="preserve">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{"citationID":"ztc9y783","properties":{"formattedCitation":"\\super 249,250\\nosupersub{}","plainCitation":"249,250","noteIndex":0},"citationItems":[{"id":"wiida5Bo/06jbsSzE","uris":["http://zotero.org/users/local/PVfTvcvz/items/NGWTAGGU"],"itemData":{"id":154,"type":"article-journal","abstract":"Over the past decade, researchers have highlighted the importance of mechanical cues of the metastatic niche such as matrix stiffness, topography, mechanical stresses, and deformation on cells in influencing tumor growth and proliferation. Understanding the cellular and molecular basis and fine-tuning the mechano-response of cancer cells to this niche could lead to new and novel therapeutic interventions. In this review, we discuss the importance of mechanical cues surrounding tumor microenvironment that govern the growth and progression of cancer. We also highlight some emergent principles underlying the mechanosensing and mechanotransduction mechanisms that link cellular responses such as gene expression to phenotypic changes arising from such external cues. Recent technological advancements to visualize, quantify, model, and test these crucial steps with great precision will further advance our understanding of this phenomenon. We will conclude by showcasing potential applications of mechanobiology in controlling cancer growth as alternative cancer treatment regimes.","container-title":"Chemical Reviews","DOI":"10.1021/acs.chemrev.8b00042","ISSN":"0009-2665","issue":"14","journalAbbreviation":"Chem. Rev.","note":"publisher: American Chemical Society","page":"6499-6515","source":"ACS Publications","title":"Mechanobiology of Tumor Growth","volume":"118","author":[{"family":"Chaudhuri","given":"Parthiv Kant"},{"family":"Low","given":"Boon Chuan"},{"family":"Lim","given":"Chwee Teck"}],"issued":{"date-parts":[["2018",7,25]]}}},{"id":"wiida5Bo/lnJB1VuQ","uris":["http://zotero.org/users/local/PVfTvcvz/items/2MHHURKY"],"itemData":{"id":152,"type":"article-journal","abstract":"Three-dimensional (3D) in vitro tumor spheroids are becoming popular as pre-clinical platforms for testing the performance of existing drugs or for discovery of innovative anti-cancer therapeutics. This focus is correlated with in vitro 3D tumor models ability to mimic the multicellular compact structure and spatial architecture of human solid tumors. However, these microphysiological systems generally lack the pre-existence of tumor-ECM, a critical aspect that can affect the overall therapeutic performance and the decision of advancing candidate drugs to later stages of the pipeline. Aiming to face this drawback and mimic tumors-ECM, herein we rapidly fabricated in-air hyaluronan-methacrylate (HA-MA) and gelatin-methacrylate (GelMA) photocrosslinkable 3D spheroid microgels by using superhydrophobic surfaces. These platforms were used for establishing heterotypic 3D co-culture models of prostate cancer cells (PC-3) and human osteoblasts (hOB) to mimic prostate cancer-to-bone metastasis cellular heterogeneity and the tumor-ECM microenvironment. 3D microgel microtumors morphology, size and cell number were easily controlled via digital droplet generation on polystyrene superhydrophobic surfaces and under solvent-free conditions when compared to microfluidics or electrospray. Co-culture 3D microgels formed by 2.5%HA-MA-5%GelMA and 5%HA-MA-5%GelMA ratios showed the highest calcium deposition after 14 days of culture, evidencing osteoblasts viability and the establishment of functional mineralization in the 3D hydrogel matrix. Cisplatin cytotoxicity evaluation showed that 3D microgels are more resistant to platin chemotherapeutics than single or co-culture 3D multicellular spheroid counterparts. Overall, our findings indicate that solvent-free, in-air produced 3D microgel microenvironments are cost-effective and robust tumor mimicking platforms for in vitro high-throughput screening of therapeutics targeted to prostate-to-bone metastasis microenvironments.\nStatement of Significance\nThe generation of robust microphysiological systems that recapitulate the complexity of the metastatic prostate-to-bone tumor microenvironment is crucial for pre-clinical evaluation of new therapeutics that can eradicate these secondary tumors. In this study, we employed superhydrophobic (SH) surfaces to rapidly fabricate photocrosslinkable hyaluronan-methacrylate/gelatin-methacrylate 3D spheroid microgels for prostate cancer cells and human osteoblasts co-culture models that simultaneously mimic the cellular and ECM tumor components. The use of SH platforms overcomes the issues of standard in-liquid microgel production technologies by providing a robust control over 3D microgels size/morphology and cell-cell co-encapsulation numbers, while avoiding the use of oil-based microgel droplets generation. Overall, SH surfaces allowed a solvent-free, cost-effective, reproducible and adaptable fabrication of heterotypic 3D spherical microgels for high throughput drug screening.","container-title":"Acta Biomaterialia","DOI":"10.1016/j.actbio.2019.06.012","ISSN":"1742-7061","journalAbbreviation":"Acta Biomaterialia","language":"en","page":"392-409","source":"ScienceDirect","title":"In-air production of 3D co-culture tumor spheroid hydrogels for expedited drug screening","volume":"94","author":[{"family":"Antunes","given":"Jéssica"},{"family":"Gaspar","given":"Vítor M."},{"family":"Ferreira","given":"Luís"},{"family":"Monteiro","given":"Maria"},{"family":"Henrique","given":"Rui"},{"family":"Jerónimo","given":"Carmen"},{"family":"Mano","given":"João F."}],"issued":{"date-parts":[["2019",8,1]]}}}],"schema":"https://github.com/citation-style-language/schema/raw/master/csl-citation.json"}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249,250</w:t>
      </w:r>
      <w:r w:rsidRPr="002A7128">
        <w:rPr>
          <w:rFonts w:ascii="Calibri" w:hAnsi="Calibri" w:cs="Calibri"/>
          <w:sz w:val="24"/>
          <w:szCs w:val="24"/>
        </w:rPr>
        <w:fldChar w:fldCharType="end"/>
      </w:r>
      <w:r w:rsidRPr="002A7128">
        <w:rPr>
          <w:rFonts w:ascii="Calibri" w:hAnsi="Calibri" w:cs="Calibri"/>
          <w:sz w:val="24"/>
          <w:szCs w:val="24"/>
        </w:rPr>
        <w:t xml:space="preserve">. Matrix-dependent techniques, in contrast, involve the use of biomaterials to recreate these </w:t>
      </w:r>
      <w:r w:rsidRPr="002A7128">
        <w:rPr>
          <w:rFonts w:ascii="Calibri" w:hAnsi="Calibri" w:cs="Calibri"/>
          <w:i/>
          <w:iCs/>
          <w:sz w:val="24"/>
          <w:szCs w:val="24"/>
        </w:rPr>
        <w:t>in vivo</w:t>
      </w:r>
      <w:r w:rsidRPr="002A7128">
        <w:rPr>
          <w:rFonts w:ascii="Calibri" w:hAnsi="Calibri" w:cs="Calibri"/>
          <w:sz w:val="24"/>
          <w:szCs w:val="24"/>
        </w:rPr>
        <w:t xml:space="preserve"> cell-ECM interactions. It should be noted that microfluidics has also been considered a promising strategy for MCTS formation and culture, and this technique often incorporates polymers that are discussed throughout this review. Engineering considerations for microfluidic MCTS formation have been extensively reviewed elsewhere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{"citationID":"mBXRImsH","properties":{"formattedCitation":"\\super 251\\nosupersub{}","plainCitation":"251","noteIndex":0},"citationItems":[{"id":"wiida5Bo/urwRCapx","uris":["http://zotero.org/users/local/PVfTvcvz/items/BQJHEH3Y"],"itemData":{"id":280,"type":"article-journal","abstract":"A cell spheroid is a three-dimensional (3D) aggregation of cells. Synthetic, in-vitro spheroids provide similar metabolism, proliferation, and species concentration gradients to those found in-vivo. For instance, cancer cell spheroids have been demonstrated to mimic in-vivo tumor microenvironments, and are thus suitable for in-vitro drug screening. The first part of this paper discusses the latest microfluidic designs for spheroid formation and culture, comparing their strategies and efficacy. The most recent microfluidic techniques for spheroid formation utilize emulsion, microwells, U-shaped microstructures, or digital microfluidics. The engineering aspects underpinning spheroid formation in these microfluidic devices are therefore considered. In the second part of this paper, design considerations for microfluidic spheroid formation chips and microfluidic spheroid culture chips (μSFCs and μSCCs) are evaluated with regard to key parameters affecting spheroid formation, including shear stress, spheroid diameter, culture medium delivery and flow rate. This review is intended to benefit the microfluidics community by contributing to improved design and engineering of microfluidic chips capable of forming and/or culturing three-dimensional cell spheroids.","container-title":"Sensors and Actuators B: Chemical","DOI":"10.1016/j.snb.2018.01.223","ISSN":"0925-4005","journalAbbreviation":"Sensors and Actuators B: Chemical","language":"en","page":"151-176","source":"ScienceDirect","title":"Spheroids-on-a-chip: Recent advances and design considerations in microfluidic platforms for spheroid formation and culture","title-short":"Spheroids-on-a-chip","volume":"263","author":[{"family":"Moshksayan","given":"Khashayar"},{"family":"Kashaninejad","given":"Navid"},{"family":"Warkiani","given":"Majid Ebrahimi"},{"family":"Lock","given":"John G."},{"family":"Moghadas","given":"Hajar"},{"family":"Firoozabadi","given":"Bahar"},{"family":"Saidi","given":"Mohammad Said"},{"family":"Nguyen","given":"Nam-Trung"}],"issued":{"date-parts":[["2018",6,15]]}}}],"schema":"https://github.com/citation-style-language/schema/raw/master/csl-citation.json"}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251</w:t>
      </w:r>
      <w:r w:rsidRPr="002A7128">
        <w:rPr>
          <w:rFonts w:ascii="Calibri" w:hAnsi="Calibri" w:cs="Calibri"/>
          <w:sz w:val="24"/>
          <w:szCs w:val="24"/>
        </w:rPr>
        <w:fldChar w:fldCharType="end"/>
      </w:r>
      <w:r w:rsidRPr="002A7128">
        <w:rPr>
          <w:rFonts w:ascii="Calibri" w:hAnsi="Calibri" w:cs="Calibri"/>
          <w:sz w:val="24"/>
          <w:szCs w:val="24"/>
        </w:rPr>
        <w:t xml:space="preserve">, and will not be a focus here. The purpose of this review is to provide a </w:t>
      </w:r>
      <w:r w:rsidRPr="002A7128">
        <w:rPr>
          <w:rFonts w:ascii="Calibri" w:hAnsi="Calibri" w:cs="Calibri"/>
          <w:sz w:val="24"/>
          <w:szCs w:val="24"/>
        </w:rPr>
        <w:lastRenderedPageBreak/>
        <w:t xml:space="preserve">practical guide for choosing a technique for MCTS formation </w:t>
      </w:r>
      <w:r w:rsidRPr="002A7128">
        <w:rPr>
          <w:rFonts w:ascii="Calibri" w:hAnsi="Calibri" w:cs="Calibri"/>
          <w:i/>
          <w:iCs/>
          <w:sz w:val="24"/>
          <w:szCs w:val="24"/>
        </w:rPr>
        <w:t>in vitro</w:t>
      </w:r>
      <w:r w:rsidRPr="002A7128">
        <w:rPr>
          <w:rFonts w:ascii="Calibri" w:hAnsi="Calibri" w:cs="Calibri"/>
          <w:sz w:val="24"/>
          <w:szCs w:val="24"/>
        </w:rPr>
        <w:t>. Matrix-free and matrix-dependent techniques for MCTS formation are explained with an emphasis on biopolymer matrix-dependent techniques. Advantages and disadvantages of each biopolymer and their recent applications are explained</w:t>
      </w:r>
    </w:p>
    <w:p w14:paraId="06361F9F" w14:textId="388F4DFD" w:rsidR="000711C0" w:rsidRPr="002A7128" w:rsidRDefault="000711C0">
      <w:pPr>
        <w:pStyle w:val="Heading2"/>
        <w:numPr>
          <w:ilvl w:val="2"/>
          <w:numId w:val="9"/>
        </w:numPr>
        <w:spacing w:line="480" w:lineRule="auto"/>
        <w:rPr>
          <w:rFonts w:ascii="Calibri" w:hAnsi="Calibri" w:cs="Calibri"/>
        </w:rPr>
      </w:pPr>
      <w:bookmarkStart w:id="133" w:name="_Toc120794188"/>
      <w:r w:rsidRPr="002A7128">
        <w:rPr>
          <w:rFonts w:ascii="Calibri" w:hAnsi="Calibri" w:cs="Calibri"/>
        </w:rPr>
        <w:t>Matrix-free MCTS Formation</w:t>
      </w:r>
      <w:bookmarkEnd w:id="133"/>
      <w:r w:rsidRPr="002A7128">
        <w:rPr>
          <w:rFonts w:ascii="Calibri" w:hAnsi="Calibri" w:cs="Calibri"/>
        </w:rPr>
        <w:t xml:space="preserve"> </w:t>
      </w:r>
    </w:p>
    <w:p w14:paraId="7F49DDEB" w14:textId="457A0EA1" w:rsidR="00EB442A" w:rsidRPr="002A7128" w:rsidRDefault="000711C0" w:rsidP="00F675B4">
      <w:pPr>
        <w:pStyle w:val="MDPI31text"/>
        <w:spacing w:line="480" w:lineRule="auto"/>
        <w:ind w:firstLine="0"/>
        <w:rPr>
          <w:rFonts w:ascii="Calibri" w:hAnsi="Calibri" w:cs="Calibri"/>
          <w:color w:val="000000" w:themeColor="text1"/>
          <w:sz w:val="24"/>
          <w:szCs w:val="24"/>
        </w:rPr>
      </w:pPr>
      <w:r w:rsidRPr="002A7128">
        <w:rPr>
          <w:rFonts w:ascii="Calibri" w:hAnsi="Calibri" w:cs="Calibri"/>
          <w:color w:val="000000" w:themeColor="text1"/>
          <w:sz w:val="24"/>
          <w:szCs w:val="24"/>
        </w:rPr>
        <w:t xml:space="preserve">Matrix-free MCTS formation occurs through self-aggregation of cells. During this process, cells also produce certain components of ECM and organize their own 3D structure. This provides a good platform to study completely endogenous ECM. Matrix-free techniques include liquid overlay, hanging drop, spinner flask and magnetic levitation, as reviewed briefly below. Each technique is depicted in </w:t>
      </w:r>
      <w:r w:rsidRPr="002A7128">
        <w:rPr>
          <w:rFonts w:ascii="Calibri" w:hAnsi="Calibri" w:cs="Calibri"/>
          <w:b/>
          <w:bCs/>
          <w:color w:val="000000" w:themeColor="text1"/>
          <w:sz w:val="24"/>
          <w:szCs w:val="24"/>
        </w:rPr>
        <w:t>Figure 2</w:t>
      </w:r>
      <w:r w:rsidR="00937D95" w:rsidRPr="002A7128">
        <w:rPr>
          <w:rFonts w:ascii="Calibri" w:hAnsi="Calibri" w:cs="Calibri"/>
          <w:color w:val="000000" w:themeColor="text1"/>
          <w:sz w:val="24"/>
          <w:szCs w:val="24"/>
        </w:rPr>
        <w:t xml:space="preserve">. </w:t>
      </w:r>
      <w:r w:rsidRPr="002A7128">
        <w:rPr>
          <w:rFonts w:ascii="Calibri" w:hAnsi="Calibri" w:cs="Calibri"/>
          <w:color w:val="000000" w:themeColor="text1"/>
          <w:sz w:val="24"/>
          <w:szCs w:val="24"/>
        </w:rPr>
        <w:t xml:space="preserve">In addition, to the authors’ knowledge there is no definition of when an aggregate becomes an MCTS, so many papers do not report the exact day that MCTS “formed,” but rather monitor their culture over several days as they increase in compactness from initial seeding to a spherical body. </w:t>
      </w:r>
    </w:p>
    <w:p w14:paraId="5975DB74" w14:textId="23B56D6E" w:rsidR="000711C0" w:rsidRPr="002A7128" w:rsidRDefault="000711C0">
      <w:pPr>
        <w:pStyle w:val="Heading2"/>
        <w:numPr>
          <w:ilvl w:val="3"/>
          <w:numId w:val="9"/>
        </w:numPr>
        <w:spacing w:line="480" w:lineRule="auto"/>
        <w:rPr>
          <w:rFonts w:ascii="Calibri" w:hAnsi="Calibri" w:cs="Calibri"/>
        </w:rPr>
      </w:pPr>
      <w:bookmarkStart w:id="134" w:name="_Toc120794189"/>
      <w:r w:rsidRPr="002A7128">
        <w:rPr>
          <w:rFonts w:ascii="Calibri" w:hAnsi="Calibri" w:cs="Calibri"/>
        </w:rPr>
        <w:t>Liquid Overlay Technique</w:t>
      </w:r>
      <w:bookmarkEnd w:id="134"/>
    </w:p>
    <w:p w14:paraId="1970CAD5" w14:textId="329926FA" w:rsidR="000711C0" w:rsidRPr="002A7128" w:rsidRDefault="000711C0" w:rsidP="00F675B4">
      <w:pPr>
        <w:pStyle w:val="MDPI31text"/>
        <w:spacing w:line="480" w:lineRule="auto"/>
        <w:ind w:firstLine="0"/>
        <w:rPr>
          <w:rFonts w:ascii="Calibri" w:hAnsi="Calibri" w:cs="Calibri"/>
          <w:color w:val="000000" w:themeColor="text1"/>
          <w:sz w:val="24"/>
          <w:szCs w:val="24"/>
        </w:rPr>
      </w:pPr>
      <w:bookmarkStart w:id="135" w:name="_Hlk53400940"/>
      <w:r w:rsidRPr="002A7128">
        <w:rPr>
          <w:rFonts w:ascii="Calibri" w:hAnsi="Calibri" w:cs="Calibri"/>
          <w:sz w:val="24"/>
          <w:szCs w:val="24"/>
        </w:rPr>
        <w:t xml:space="preserve">The liquid overlay technique (LOT), sometimes referred to as the ultra-low attachment (ULA) technique, is based on using non-adhesive plastic surfaces or functionalizing the surfaces of tissue culture well plates with non-adhesives (hydrophilic polymers)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{"citationID":"enGL1VWe","properties":{"formattedCitation":"\\super 247\\nosupersub{}","plainCitation":"247","noteIndex":0},"citationItems":[{"id":"wiida5Bo/eRtMKEUQ","uris":["http://zotero.org/users/local/91fNc9yk/items/IW2LU369"],"itemData":{"id":641,"type":"article-journal","container-title":"Biotechnology Journal","DOI":"10.1002/biot.200700228","ISSN":"18606768, 18607314","issue":"9-10","journalAbbreviation":"Biotechnol. J.","language":"en","page":"1172-1184","source":"DOI.org (Crossref)","title":"Recent advances in three-dimensional multicellular spheroid culture for biomedical research","volume":"3","author":[{"family":"Lin","given":"Ruei-Zhen"},{"family":"Chang","given":"Hwan-You"}],"issued":{"date-parts":[["2008",10]]}}}],"schema":"https://github.com/citation-style-language/schema/raw/master/csl-citation.json"}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247</w:t>
      </w:r>
      <w:r w:rsidRPr="002A7128">
        <w:rPr>
          <w:rFonts w:ascii="Calibri" w:hAnsi="Calibri" w:cs="Calibri"/>
          <w:sz w:val="24"/>
          <w:szCs w:val="24"/>
        </w:rPr>
        <w:fldChar w:fldCharType="end"/>
      </w:r>
      <w:r w:rsidRPr="002A7128">
        <w:rPr>
          <w:rFonts w:ascii="Calibri" w:hAnsi="Calibri" w:cs="Calibri"/>
          <w:sz w:val="24"/>
          <w:szCs w:val="24"/>
        </w:rPr>
        <w:t xml:space="preserve">. For example, poly (2-hydroxyethyl methacrylate) (HEMA) treated surfaces resulted in hepatocyte spheroid formation </w:t>
      </w:r>
      <w:r w:rsidRPr="002A7128">
        <w:rPr>
          <w:rFonts w:ascii="Calibri" w:hAnsi="Calibri" w:cs="Calibri"/>
          <w:sz w:val="24"/>
          <w:szCs w:val="24"/>
        </w:rPr>
        <w:fldChar w:fldCharType="begin"/>
      </w:r>
      <w:r w:rsidR="00A64B61" w:rsidRPr="002A7128">
        <w:rPr>
          <w:rFonts w:ascii="Calibri" w:hAnsi="Calibri" w:cs="Calibri"/>
          <w:sz w:val="24"/>
          <w:szCs w:val="24"/>
        </w:rPr>
        <w:instrText xml:space="preserve"> ADDIN ZOTERO_ITEM CSL_CITATION {"citationID":"i7tsGP0y","properties":{"formattedCitation":"\\super 252\\nosupersub{}","plainCitation":"252","noteIndex":0},"citationItems":[{"id":807,"uris":["http://zotero.org/users/5797461/items/NUQQ7E5F"],"itemData":{"id":807,"type":"article-journal","container-title":"Biomolecules","DOI":"10.3390/biom3010242","ISSN":"2218-273X","issue":"4","journalAbbreviation":"Biomolecules","language":"en","page":"242-269","source":"DOI.org (Crossref)","title":"Morphological and Functional Analysis of Hepatocyte Spheroids Generated on Poly-HEMA-Treated Surfaces under the Influence of Fetal Calf Serum and Nonparenchymal Cells","URL":"http://www.mdpi.com/2218-273X/3/1/242","volume":"3","author":[{"family":"Acikgöz","given":"Ali"},{"family":"Giri","given":"Shibashish"},{"family":"Cho","given":"Man-Gi"},{"family":"Bader","given":"Augustinus"}],"accessed":{"date-parts":[["2020",10,11]]},"issued":{"date-parts":[["2013",3,7]]},"citation-key":"acikgoz_morphological_2013"}}],"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252</w:t>
      </w:r>
      <w:r w:rsidRPr="002A7128">
        <w:rPr>
          <w:rFonts w:ascii="Calibri" w:hAnsi="Calibri" w:cs="Calibri"/>
          <w:sz w:val="24"/>
          <w:szCs w:val="24"/>
        </w:rPr>
        <w:fldChar w:fldCharType="end"/>
      </w:r>
      <w:r w:rsidRPr="002A7128">
        <w:rPr>
          <w:rFonts w:ascii="Calibri" w:hAnsi="Calibri" w:cs="Calibri"/>
          <w:sz w:val="24"/>
          <w:szCs w:val="24"/>
        </w:rPr>
        <w:t xml:space="preserve">, and ATDC5 chondrocyte cells formed spheroids on polyethylene glycol (PEG) coated surfaces </w:t>
      </w:r>
      <w:r w:rsidRPr="002A7128">
        <w:rPr>
          <w:rFonts w:ascii="Calibri" w:hAnsi="Calibri" w:cs="Calibri"/>
          <w:sz w:val="24"/>
          <w:szCs w:val="24"/>
        </w:rPr>
        <w:fldChar w:fldCharType="begin"/>
      </w:r>
      <w:r w:rsidR="00A64B61" w:rsidRPr="002A7128">
        <w:rPr>
          <w:rFonts w:ascii="Calibri" w:hAnsi="Calibri" w:cs="Calibri"/>
          <w:sz w:val="24"/>
          <w:szCs w:val="24"/>
        </w:rPr>
        <w:instrText xml:space="preserve"> ADDIN ZOTERO_ITEM CSL_CITATION {"citationID":"k1HyG5gc","properties":{"formattedCitation":"\\super 253\\nosupersub{}","plainCitation":"253","noteIndex":0},"citationItems":[{"id":809,"uris":["http://zotero.org/users/5797461/items/7BRZQRPZ"],"itemData":{"id":809,"type":"article-journal","container-title":"Biomedical Research","DOI":"10.2220/biomedres.41.187","ISSN":"0388-6107, 1880-313X","issue":"4","journalAbbreviation":"Biomed. Res.","language":"en","page":"187-197","source":"DOI.org (Crossref)","title":"3D spheroid culture models for chondrocytes using polyethylene glycol-coated microfabricated chip","URL":"https://www.jstage.jst.go.jp/article/biomedres/41/4/41_187/_article","volume":"41","author":[{"family":"Ariyoshi","given":"Wataru"},{"family":"Usui","given":"Michihiko"},{"family":"Sano","given":"Kotaro"},{"family":"Kawano","given":"Aki"},{"family":"Okinaga","given":"Toshinori"},{"family":"Nakashima","given":"Keisuke"},{"family":"Nakazawa","given":"Kohji"},{"family":"Nishihara","given":"Tatsuji"}],"accessed":{"date-parts":[["2020",10,11]]},"issued":{"date-parts":[["2020",8,1]]},"citation-key":"ariyoshi_3d_2020"}}],"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253</w:t>
      </w:r>
      <w:r w:rsidRPr="002A7128">
        <w:rPr>
          <w:rFonts w:ascii="Calibri" w:hAnsi="Calibri" w:cs="Calibri"/>
          <w:sz w:val="24"/>
          <w:szCs w:val="24"/>
        </w:rPr>
        <w:fldChar w:fldCharType="end"/>
      </w:r>
      <w:r w:rsidRPr="002A7128">
        <w:rPr>
          <w:rFonts w:ascii="Calibri" w:hAnsi="Calibri" w:cs="Calibri"/>
          <w:sz w:val="24"/>
          <w:szCs w:val="24"/>
        </w:rPr>
        <w:t xml:space="preserve">. Elimination of cell-surface interactions allows increased cell-to-cell interaction and initiates MCTS formation </w:t>
      </w:r>
      <w:r w:rsidRPr="002A7128">
        <w:rPr>
          <w:rFonts w:ascii="Calibri" w:hAnsi="Calibri" w:cs="Calibri"/>
          <w:b/>
          <w:bCs/>
          <w:sz w:val="24"/>
          <w:szCs w:val="24"/>
        </w:rPr>
        <w:t>(</w:t>
      </w:r>
      <w:r w:rsidR="009D125F" w:rsidRPr="002A7128">
        <w:rPr>
          <w:rFonts w:ascii="Calibri" w:hAnsi="Calibri" w:cs="Calibri"/>
          <w:b/>
          <w:bCs/>
          <w:sz w:val="24"/>
          <w:szCs w:val="24"/>
        </w:rPr>
        <w:fldChar w:fldCharType="begin"/>
      </w:r>
      <w:r w:rsidR="009D125F" w:rsidRPr="002A7128">
        <w:rPr>
          <w:rFonts w:ascii="Calibri" w:hAnsi="Calibri" w:cs="Calibri"/>
          <w:b/>
          <w:bCs/>
          <w:sz w:val="24"/>
          <w:szCs w:val="24"/>
        </w:rPr>
        <w:instrText xml:space="preserve"> REF _Ref103518786  \* MERGEFORMAT </w:instrText>
      </w:r>
      <w:r w:rsidR="009D125F" w:rsidRPr="002A7128">
        <w:rPr>
          <w:rFonts w:ascii="Calibri" w:hAnsi="Calibri" w:cs="Calibri"/>
          <w:b/>
          <w:bCs/>
          <w:sz w:val="24"/>
          <w:szCs w:val="24"/>
        </w:rPr>
        <w:fldChar w:fldCharType="separate"/>
      </w:r>
      <w:r w:rsidR="007D711E" w:rsidRPr="002A7128">
        <w:rPr>
          <w:rFonts w:ascii="Calibri" w:hAnsi="Calibri" w:cs="Calibri"/>
          <w:b/>
          <w:bCs/>
          <w:color w:val="000000" w:themeColor="text1"/>
          <w:sz w:val="24"/>
          <w:szCs w:val="24"/>
        </w:rPr>
        <w:t xml:space="preserve">Figure </w:t>
      </w:r>
      <w:r w:rsidR="007D711E" w:rsidRPr="002A7128">
        <w:rPr>
          <w:rFonts w:ascii="Calibri" w:hAnsi="Calibri" w:cs="Calibri"/>
          <w:b/>
          <w:bCs/>
          <w:noProof/>
          <w:color w:val="000000" w:themeColor="text1"/>
          <w:sz w:val="24"/>
          <w:szCs w:val="24"/>
        </w:rPr>
        <w:t>23</w:t>
      </w:r>
      <w:r w:rsidR="009D125F" w:rsidRPr="002A7128">
        <w:rPr>
          <w:rFonts w:ascii="Calibri" w:hAnsi="Calibri" w:cs="Calibri"/>
          <w:b/>
          <w:bCs/>
          <w:sz w:val="24"/>
          <w:szCs w:val="24"/>
        </w:rPr>
        <w:fldChar w:fldCharType="end"/>
      </w:r>
      <w:r w:rsidRPr="002A7128">
        <w:rPr>
          <w:rFonts w:ascii="Calibri" w:hAnsi="Calibri" w:cs="Calibri"/>
          <w:b/>
          <w:bCs/>
          <w:sz w:val="24"/>
          <w:szCs w:val="24"/>
        </w:rPr>
        <w:t>A)</w:t>
      </w:r>
      <w:r w:rsidRPr="002A7128">
        <w:rPr>
          <w:rFonts w:ascii="Calibri" w:hAnsi="Calibri" w:cs="Calibri"/>
          <w:sz w:val="24"/>
          <w:szCs w:val="24"/>
        </w:rPr>
        <w:t xml:space="preserve">.  In addition to its low cost and relatively easy handling, one major advantage to using the LOT is that it provides post-processing directly in the plates where MCTS </w:t>
      </w:r>
      <w:r w:rsidRPr="002A7128">
        <w:rPr>
          <w:rFonts w:ascii="Calibri" w:hAnsi="Calibri" w:cs="Calibri"/>
          <w:sz w:val="24"/>
          <w:szCs w:val="24"/>
        </w:rPr>
        <w:lastRenderedPageBreak/>
        <w:t xml:space="preserve">are formed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{"citationID":"lRZxTnvR","properties":{"formattedCitation":"\\super 235,254\\nosupersub{}","plainCitation":"235,254","noteIndex":0},"citationItems":[{"id":"wiida5Bo/7ORxdHnp","uris":["http://zotero.org/users/local/PVfTvcvz/items/ACM9PDV7"],"itemData":{"id":463,"type":"article-journal","abstract":"Pancreatic ductal adenocarcinoma (PDAC) is the fourth most common cause of cancer related death. It is lethal in nearly all patients, due to an almost complete chemoresistance. Most if not all drugs that pass preclinical tests successfully, fail miserably in the patient. This raises the question whether traditional 2D cell culture is the correct tool for drug screening. The objective of this study is to develop a simple, high-throughput 3D model of human PDAC cell lines, and to explore mechanisms underlying the transition from 2D to 3D that might be responsible for chemoresistance. Several established human PDAC and a KPC mouse cell lines were tested, whereby Panc-1 was studied in more detail. 3D spheroid formation was facilitated with methylcellulose. Spheroids were studied morphologically, electron microscopically and by qRT-PCR for selected matrix genes, related factors and miRNA. Metabolic studies were performed, and a panel of novel drugs was tested against gemcitabine. Comparing 3D to 2D cell culture, matrix proteins were significantly increased as were lumican, SNED1, DARP32, and miR-146a. Cell metabolism in 3D was shifted towards glycolysis. All drugs tested were less effective in 3D, except for allicin, MT100 and AX, which demonstrated effect. We developed a high-throughput 3D cell culture drug screening system for pancreatic cancer, which displays a strongly increased chemoresistance. Features associated to the 3D cell model are increased expression of matrix proteins and miRNA as well as stromal markers such as PPP1R1B and SNED1. This is supporting the concept of cell adhesion mediated drug resistance.","container-title":"BMC Cancer","DOI":"10.1186/1471-2407-13-95","ISSN":"1471-2407","issue":"1","journalAbbreviation":"BMC Cancer","language":"en","note":"number: 1\npublisher: BioMed Central","page":"1-13","source":"bmccancer-biomedcentral-com.ezproxy.lib.ou.edu","title":"3D pancreatic carcinoma spheroids induce a matrix-rich, chemoresistant phenotype offering a better model for drug testing","volume":"13","author":[{"family":"Longati","given":"Paola"},{"family":"Jia","given":"Xiaohui"},{"family":"Eimer","given":"Johannes"},{"family":"Wagman","given":"Annika"},{"family":"Witt","given":"Michael-Robin"},{"family":"Rehnmark","given":"Stefan"},{"family":"Verbeke","given":"Caroline"},{"family":"Toftgård","given":"Rune"},{"family":"Löhr","given":"Matthias"},{"family":"Heuchel","given":"Rainer L."}],"issued":{"date-parts":[["2013",12]]}}},{"id":"wiida5Bo/JskZq1gF","uris":["http://zotero.org/users/local/PVfTvcvz/items/DPZ4SJ5Z"],"itemData":{"id":466,"type":"article-journal","abstract":"Liver biology and function, drug-induced liver injury (DILI) and liver diseases are difficult to study using current in vitro models such as primary human hepatocyte (PHH) monolayer cultures, as their rapid de-differentiation restricts their usefulness substantially. Thus, we have developed and extensively characterized an easily scalable 3D PHH spheroid system in chemically-defined, serum-free conditions. Using whole proteome analyses, we found that PHH spheroids cultured this way were similar to the liver in vivo and even retained their inter-individual variability. Furthermore, PHH spheroids remained phenotypically stable and retained morphology, viability and hepatocyte-specific functions for culture periods of at least 5 weeks. We show that under chronic exposure, the sensitivity of the hepatocytes drastically increased and toxicity of a set of hepatotoxins was detected at clinically relevant concentrations. An interesting example was the chronic toxicity of fialuridine for which hepatotoxicity was mimicked after repeated-dosing in the PHH spheroid model, not possible to detect using previous in vitro systems. Additionally, we provide proof-of-principle that PHH spheroids can reflect liver pathologies such as cholestasis, steatosis and viral hepatitis. Combined, our results demonstrate that the PHH spheroid system presented here constitutes a versatile and promising in vitro system to study liver function, liver diseases, drug targets and long-term DILI.","container-title":"Scientific Reports","DOI":"10.1038/srep25187","ISSN":"2045-2322","issue":"1","language":"en","note":"number: 1\npublisher: Nature Publishing Group","page":"25187","source":"www-nature-com.ezproxy.lib.ou.edu","title":"Characterization of primary human hepatocyte spheroids as a model system for drug-induced liver injury, liver function and disease","volume":"6","author":[{"family":"Bell","given":"Catherine C."},{"family":"Hendriks","given":"Delilah F. G."},{"family":"Moro","given":"Sabrina M. L."},{"family":"Ellis","given":"Ewa"},{"family":"Walsh","given":"Joanne"},{"family":"Renblom","given":"Anna"},{"family":"Fredriksson Puigvert","given":"Lisa"},{"family":"Dankers","given":"Anita C. A."},{"family":"Jacobs","given":"Frank"},{"family":"Snoeys","given":"Jan"},{"family":"Sison-Young","given":"Rowena L."},{"family":"Jenkins","given":"Rosalind E."},{"family":"Nordling","given":"Åsa"},{"family":"Mkrtchian","given":"Souren"},{"family":"Park","given":"B. Kevin"},{"family":"Kitteringham","given":"Neil R."},{"family":"Goldring","given":"Christopher E. P."},{"family":"Lauschke","given":"Volker M."},{"family":"Ingelman-Sundberg","given":"Magnus"}],"issued":{"date-parts":[["2016",5,4]]}}}],"schema":"https://github.com/citation-style-language/schema/raw/master/csl-citation.json"}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235,254</w:t>
      </w:r>
      <w:r w:rsidRPr="002A7128">
        <w:rPr>
          <w:rFonts w:ascii="Calibri" w:hAnsi="Calibri" w:cs="Calibri"/>
          <w:sz w:val="24"/>
          <w:szCs w:val="24"/>
        </w:rPr>
        <w:fldChar w:fldCharType="end"/>
      </w:r>
      <w:r w:rsidRPr="002A7128">
        <w:rPr>
          <w:rFonts w:ascii="Calibri" w:hAnsi="Calibri" w:cs="Calibri"/>
          <w:sz w:val="24"/>
          <w:szCs w:val="24"/>
        </w:rPr>
        <w:t xml:space="preserve">, making it very useful in high-throughput experiments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{"citationID":"5xYg74zC","properties":{"formattedCitation":"\\super 255\\nosupersub{}","plainCitation":"255","noteIndex":0},"citationItems":[{"id":"wiida5Bo/Nq15I2yD","uris":["http://zotero.org/users/local/PVfTvcvz/items/YFB43IHY"],"itemData":{"id":469,"type":"article-journal","abstract":"Scalable and reproducible production of 3D cellular spheroids is highly demanded, by pharmaceutical companies, for drug screening purposes during the pre-clinical evaluation phase. These 3D cellular constructs, unlike the monolayer culture of cells, can mimic different features of human tissues, including cellular organization, cell–cell and cell-extracellular matrix (ECM) interactions. Up to now, different techniques (scaffold-based and -free) have been used for spheroids formation, being the Liquid Overlay Technique (LOT) one of the most explored methodologies, due to its low cost and easy handling. Additionally, during the last few decades, this technique has been widely investigated in order to enhance its potential for being applied in high-throughput analysis. Herein, an overview of the LOT advances, practical approaches, and troubleshooting is provided for those researchers that intend to produce spheroids using LOT, for drug screening purposes. Moreover, the advantages of the LOT over the other scaffold-free techniques used for the spheroids formation are also addressed. Highlights • 2D cell culture drawbacks are summarized; • spheroids mimic the features of human tissues; • scaffold-based and scaffold-free technologies for spheroids production are discussed; • advantages of LOT over other scaffold-free techniques are highlighted; • LOT advances, practical approaches and troubleshooting are underlined.","container-title":"Biotechnology Journal","DOI":"10.1002/biot.201700417","ISSN":"1860-7314","issue":"1","language":"en","note":"_eprint: https://onlinelibrary.wiley.com/doi/pdf/10.1002/biot.201700417","page":"1700417","source":"Wiley Online Library","title":"Spheroids Formation on Non-Adhesive Surfaces by Liquid Overlay Technique: Considerations and Practical Approaches","title-short":"Spheroids Formation on Non-Adhesive Surfaces by Liquid Overlay Technique","volume":"13","author":[{"family":"Costa","given":"Elisabete C."},{"family":"Melo‐Diogo","given":"Duarte","dropping-particle":"de"},{"family":"Moreira","given":"André F."},{"family":"Carvalho","given":"Marco P."},{"family":"Correia","given":"Ilídio J."}],"issued":{"date-parts":[["2018"]]}}}],"schema":"https://github.com/citation-style-language/schema/raw/master/csl-citation.json"}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255</w:t>
      </w:r>
      <w:r w:rsidRPr="002A7128">
        <w:rPr>
          <w:rFonts w:ascii="Calibri" w:hAnsi="Calibri" w:cs="Calibri"/>
          <w:sz w:val="24"/>
          <w:szCs w:val="24"/>
        </w:rPr>
        <w:fldChar w:fldCharType="end"/>
      </w:r>
      <w:r w:rsidRPr="002A7128">
        <w:rPr>
          <w:rFonts w:ascii="Calibri" w:hAnsi="Calibri" w:cs="Calibri"/>
          <w:sz w:val="24"/>
          <w:szCs w:val="24"/>
        </w:rPr>
        <w:t>.</w:t>
      </w:r>
      <w:r w:rsidRPr="002A7128">
        <w:rPr>
          <w:rFonts w:ascii="Calibri" w:hAnsi="Calibri" w:cs="Calibri"/>
          <w:color w:val="000000" w:themeColor="text1"/>
          <w:sz w:val="24"/>
          <w:szCs w:val="24"/>
        </w:rPr>
        <w:t xml:space="preserve"> Typical MCTS formation with this technique involves functionalizing the surface with either biomaterials or commercially available anti-adhesive solutions, followed by washing the surfaces and seeding cells. MCTS formation varies among cell types and should be optimized for different cell lines. Exchanging 50% of the culture media offers fresh medium for the MCTS while preventing the loss of MCTS due to accidental removal of the MCTS along with the medium. </w:t>
      </w:r>
    </w:p>
    <w:p w14:paraId="1722111E" w14:textId="09C35593" w:rsidR="000711C0" w:rsidRPr="002A7128" w:rsidRDefault="000711C0" w:rsidP="00F675B4">
      <w:pPr>
        <w:pStyle w:val="MDPI31text"/>
        <w:spacing w:line="480" w:lineRule="auto"/>
        <w:ind w:firstLine="0"/>
        <w:rPr>
          <w:rFonts w:ascii="Calibri" w:hAnsi="Calibri" w:cs="Calibri"/>
          <w:sz w:val="24"/>
          <w:szCs w:val="24"/>
        </w:rPr>
      </w:pPr>
      <w:r w:rsidRPr="002A7128">
        <w:rPr>
          <w:rFonts w:ascii="Calibri" w:hAnsi="Calibri" w:cs="Calibri"/>
          <w:sz w:val="24"/>
          <w:szCs w:val="24"/>
        </w:rPr>
        <w:t xml:space="preserve">LOT frequently uses microwells as a culture platform because they offer a defined structure for consistent, reproducible, and size-controllable MCTS formation. Several commercial products are available to generate MCTS in microwells via LOT, including </w:t>
      </w:r>
      <w:proofErr w:type="spellStart"/>
      <w:r w:rsidRPr="002A7128">
        <w:rPr>
          <w:rFonts w:ascii="Calibri" w:hAnsi="Calibri" w:cs="Calibri"/>
          <w:sz w:val="24"/>
          <w:szCs w:val="24"/>
        </w:rPr>
        <w:t>Aggrewell</w:t>
      </w:r>
      <w:proofErr w:type="spellEnd"/>
      <w:r w:rsidRPr="002A7128">
        <w:rPr>
          <w:rFonts w:ascii="Calibri" w:hAnsi="Calibri" w:cs="Calibri"/>
          <w:sz w:val="24"/>
          <w:szCs w:val="24"/>
        </w:rPr>
        <w:t>™ plates (</w:t>
      </w:r>
      <w:proofErr w:type="spellStart"/>
      <w:r w:rsidRPr="002A7128">
        <w:rPr>
          <w:rFonts w:ascii="Calibri" w:hAnsi="Calibri" w:cs="Calibri"/>
          <w:sz w:val="24"/>
          <w:szCs w:val="24"/>
        </w:rPr>
        <w:t>Stemcell</w:t>
      </w:r>
      <w:proofErr w:type="spellEnd"/>
      <w:r w:rsidRPr="002A7128">
        <w:rPr>
          <w:rFonts w:ascii="Calibri" w:hAnsi="Calibri" w:cs="Calibri"/>
          <w:sz w:val="24"/>
          <w:szCs w:val="24"/>
        </w:rPr>
        <w:t xml:space="preserve">™ Technologies) and </w:t>
      </w:r>
      <w:proofErr w:type="spellStart"/>
      <w:r w:rsidRPr="002A7128">
        <w:rPr>
          <w:rFonts w:ascii="Calibri" w:hAnsi="Calibri" w:cs="Calibri"/>
          <w:sz w:val="24"/>
          <w:szCs w:val="24"/>
        </w:rPr>
        <w:t>Elplasia</w:t>
      </w:r>
      <w:proofErr w:type="spellEnd"/>
      <w:r w:rsidRPr="002A7128">
        <w:rPr>
          <w:rFonts w:ascii="Calibri" w:hAnsi="Calibri" w:cs="Calibri"/>
          <w:sz w:val="24"/>
          <w:szCs w:val="24"/>
        </w:rPr>
        <w:t xml:space="preserve">® plates (Corning®). These products free the researcher from tedious traditional microwell fabrication but lack the flexibility to change well structure or volume depending on the application. In response to these shortcomings, researchers have fabricated their own microwells using non-adhesive biomaterials with the goals of geometrical symmetry, sufficient well volume, low surface roughness, and low cost </w:t>
      </w:r>
      <w:r w:rsidRPr="002A7128">
        <w:rPr>
          <w:rFonts w:ascii="Calibri" w:hAnsi="Calibri" w:cs="Calibri"/>
          <w:sz w:val="24"/>
          <w:szCs w:val="24"/>
        </w:rPr>
        <w:fldChar w:fldCharType="begin"/>
      </w:r>
      <w:r w:rsidR="00A64B61" w:rsidRPr="002A7128">
        <w:rPr>
          <w:rFonts w:ascii="Calibri" w:hAnsi="Calibri" w:cs="Calibri"/>
          <w:sz w:val="24"/>
          <w:szCs w:val="24"/>
        </w:rPr>
        <w:instrText xml:space="preserve"> ADDIN ZOTERO_ITEM CSL_CITATION {"citationID":"8HJOXXsx","properties":{"formattedCitation":"\\super 256\\nosupersub{}","plainCitation":"256","noteIndex":0},"citationItems":[{"id":813,"uris":["http://zotero.org/users/5797461/items/G7Z3DEK8"],"itemData":{"id":813,"type":"article-journal","container-title":"Advanced Healthcare Materials","DOI":"10.1002/adhm.201300151","ISSN":"21922640","issue":"4","journalAbbreviation":"Adv. Healthcare Mater.","language":"en","page":"609-616","source":"DOI.org (Crossref)","title":"Rapid Prototyping of Concave Microwells for the Formation of 3D Multicellular Cancer Aggregates for Drug Screening","URL":"http://doi.wiley.com/10.1002/adhm.201300151","volume":"3","author":[{"family":"Tu","given":"Ting-Yuan"},{"family":"Wang","given":"Zhe"},{"family":"Bai","given":"Jing"},{"family":"Sun","given":"Wei"},{"family":"Peng","given":"Weng Kung"},{"family":"Huang","given":"Ruby Yun-Ju"},{"family":"Thiery","given":"Jean-Paul"},{"family":"Kamm","given":"Roger D."}],"accessed":{"date-parts":[["2020",10,11]]},"issued":{"date-parts":[["2014",4]]},"citation-key":"tu_rapid_2014"}}],"schema":"https://github.com/citation-style-language/schema/raw/master/csl-citation.json"}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256</w:t>
      </w:r>
      <w:r w:rsidRPr="002A7128">
        <w:rPr>
          <w:rFonts w:ascii="Calibri" w:hAnsi="Calibri" w:cs="Calibri"/>
          <w:sz w:val="24"/>
          <w:szCs w:val="24"/>
        </w:rPr>
        <w:fldChar w:fldCharType="end"/>
      </w:r>
      <w:r w:rsidRPr="002A7128">
        <w:rPr>
          <w:rFonts w:ascii="Calibri" w:hAnsi="Calibri" w:cs="Calibri"/>
          <w:sz w:val="24"/>
          <w:szCs w:val="24"/>
        </w:rPr>
        <w:t>. For example, microwell formation via CO</w:t>
      </w:r>
      <w:r w:rsidRPr="002A7128">
        <w:rPr>
          <w:rFonts w:ascii="Calibri" w:hAnsi="Calibri" w:cs="Calibri"/>
          <w:sz w:val="24"/>
          <w:szCs w:val="24"/>
          <w:vertAlign w:val="subscript"/>
        </w:rPr>
        <w:t>2</w:t>
      </w:r>
      <w:r w:rsidRPr="002A7128">
        <w:rPr>
          <w:rFonts w:ascii="Calibri" w:hAnsi="Calibri" w:cs="Calibri"/>
          <w:sz w:val="24"/>
          <w:szCs w:val="24"/>
        </w:rPr>
        <w:t xml:space="preserve"> laser ablation of polystyrene has been shown to produce size controlled A549 lung cancer MCTS </w:t>
      </w:r>
      <w:r w:rsidRPr="002A7128">
        <w:rPr>
          <w:rFonts w:ascii="Calibri" w:hAnsi="Calibri" w:cs="Calibri"/>
          <w:sz w:val="24"/>
          <w:szCs w:val="24"/>
        </w:rPr>
        <w:fldChar w:fldCharType="begin"/>
      </w:r>
      <w:r w:rsidR="00A64B61" w:rsidRPr="002A7128">
        <w:rPr>
          <w:rFonts w:ascii="Calibri" w:hAnsi="Calibri" w:cs="Calibri"/>
          <w:sz w:val="24"/>
          <w:szCs w:val="24"/>
        </w:rPr>
        <w:instrText xml:space="preserve"> ADDIN ZOTERO_ITEM CSL_CITATION {"citationID":"cvD2qu0T","properties":{"formattedCitation":"\\super 256\\nosupersub{}","plainCitation":"256","noteIndex":0},"citationItems":[{"id":813,"uris":["http://zotero.org/users/5797461/items/G7Z3DEK8"],"itemData":{"id":813,"type":"article-journal","container-title":"Advanced Healthcare Materials","DOI":"10.1002/adhm.201300151","ISSN":"21922640","issue":"4","journalAbbreviation":"Adv. Healthcare Mater.","language":"en","page":"609-616","source":"DOI.org (Crossref)","title":"Rapid Prototyping of Concave Microwells for the Formation of 3D Multicellular Cancer Aggregates for Drug Screening","URL":"http://doi.wiley.com/10.1002/adhm.201300151","volume":"3","author":[{"family":"Tu","given":"Ting-Yuan"},{"family":"Wang","given":"Zhe"},{"family":"Bai","given":"Jing"},{"family":"Sun","given":"Wei"},{"family":"Peng","given":"Weng Kung"},{"family":"Huang","given":"Ruby Yun-Ju"},{"family":"Thiery","given":"Jean-Paul"},{"family":"Kamm","given":"Roger D."}],"accessed":{"date-parts":[["2020",10,11]]},"issued":{"date-parts":[["2014",4]]},"citation-key":"tu_rapid_2014"}}],"schema":"https://github.com/citation-style-language/schema/raw/master/csl-citation.json"}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256</w:t>
      </w:r>
      <w:r w:rsidRPr="002A7128">
        <w:rPr>
          <w:rFonts w:ascii="Calibri" w:hAnsi="Calibri" w:cs="Calibri"/>
          <w:sz w:val="24"/>
          <w:szCs w:val="24"/>
        </w:rPr>
        <w:fldChar w:fldCharType="end"/>
      </w:r>
      <w:r w:rsidRPr="002A7128">
        <w:rPr>
          <w:rFonts w:ascii="Calibri" w:hAnsi="Calibri" w:cs="Calibri"/>
          <w:sz w:val="24"/>
          <w:szCs w:val="24"/>
        </w:rPr>
        <w:t xml:space="preserve">. In addition to polystyrene, agarose is a very common non-adhesive biomaterial used to form microwells, and allows MCTS formation without any additional surface modification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{"citationID":"SevgEW2m","properties":{"formattedCitation":"\\super 257\\uc0\\u8211{}259\\nosupersub{}","plainCitation":"257–259","noteIndex":0},"citationItems":[{"id":"wiida5Bo/DJlSF4YZ","uris":["http://zotero.org/users/local/PVfTvcvz/items/IQAKG9WD"],"itemData":{"id":820,"type":"article-journal","abstract":"Three-dimensional tissue culture models are emerging as effective alternatives to animal testing. They are especially beneficial for liver toxicity studies, enabling hepatocytes to display improved levels of liver-specific functions. One common model is hepatocyte spheroids, which are spontaneously formed cell aggregates. Techniques for spheroid formation include the use of ultralow attachment plates and the hanging drop method, both of which are technically challenging and relatively low throughput. Here, we describe a simple-to-use platform that improves spheroid production and is compatible with genotoxicity testing by the comet assay. To achieve this, we created a chip containing a microwell array where dozens of spheroids are contained within a single well of a 96-well plate. The microwells are made from agarose, a nontoxic material suitable for cell growth and spheroid formation. HepG2 cells loaded into customizable microwells formed spheroids through agarose-assisted aggregation within one to two days. In addition, the agarose matrix allows the same platform to be used in DNA damage analysis. Specifically, the comet assay enables quantification of DNA breaks based on the increased migration of damaged DNA through agarose during electrophoresis. Here, we developed a modified comet assay and show that intact HepG2 spheroids cultured in microwells can be electrophoresed to reveal the extent of DNA damage following exposure to inflammatory chemicals (H2O2 and SIN-1). With this SpheroidChip analysis method, we detected a dose-dependent increase in DNA damage and observed rapid repair of H2O2-induced DNA damage. In summary, we utilized an agarose microarray to condense what had required an entire 96-well plate into a single well, enabling analysis techniques that were cumbersome or impossible under conditions of a single spheroid per well of a 96-well plate.","container-title":"ACS Biomaterials Science &amp; Engineering","DOI":"10.1021/acsbiomaterials.9b01951","issue":"4","journalAbbreviation":"ACS Biomater. Sci. Eng.","note":"publisher: American Chemical Society","page":"2427-2439","source":"ACS Publications","title":"SpheroidChip: Patterned Agarose Microwell Compartments Harboring HepG2 Spheroids are Compatible with Genotoxicity Testing","title-short":"SpheroidChip","volume":"6","author":[{"family":"Chao","given":"Christy"},{"family":"Ngo","given":"Le P."},{"family":"Engelward","given":"Bevin P."}],"issued":{"date-parts":[["2020",4,13]]}}},{"id":"wiida5Bo/rRq5E8ir","uris":["http://zotero.org/users/local/PVfTvcvz/items/VVNM7L4S"],"itemData":{"id":813,"type":"article-journal","abstract":"Three dimensional multicellular aggregate, also referred to as cell spheroid or microtissue, is an indispensable tool for in vitro evaluating antitumor activity and drug efficacy. Compared with classical cellular monolayer, multicellular tumor spheroid (MCTS) offers a more rational platform to predict in vivo drug efficacy and toxicity. Nevertheless, traditional processing methods such as plastic dish culture with nonadhesive surfaces are regularly time-consuming, laborious and difficult to provide uniform-sized spheroids, thus causing poor reproducibility of experimental data and impeding high-throughput drug screening. In order to provide a robust and effective platform for in vitro drug evaluation, we present an agarose scaffold prepared with the template containing uniform-sized micro-wells in commercially available cell culture plates. The agarose scaffold allows for good adjustment of MCTS size and large-scale production of MCTS. Transparent agarose scaffold also allows for monitoring of spheroid formation under an optical microscopy. The formation of MCTS from MCF-7 cells was prepared using different-size-well templates and systematically investigated in terms of spheroid growth curve, circularity, and cell viability. The doxorubicin cytotoxicity against MCF-7 spheroid and MCF-7 monolayer cells was compared. The drug penetration behavior, cell cycle distribution, cell apoptosis, and gene expression were also evaluated in MCF-7 spheroid. The findings of this study indicate that, compared with cellular monolayer, MCTS provides a valuable platform for the assessment of therapeutic candidates in an in vivo-mimic microenvironment, and thus has great potential for use in drug discovery and tumor biology research.","container-title":"PLOS ONE","DOI":"10.1371/journal.pone.0130348","ISSN":"1932-6203","issue":"6","journalAbbreviation":"PLOS ONE","language":"en","note":"publisher: Public Library of Science","page":"e0130348","source":"PLoS Journals","title":"Generation of Multicellular Tumor Spheroids with Microwell-Based Agarose Scaffolds for Drug Testing","volume":"10","author":[{"family":"Gong","given":"Xue"},{"family":"Lin","given":"Chao"},{"family":"Cheng","given":"Jian"},{"family":"Su","given":"Jiansheng"},{"family":"Zhao","given":"Hang"},{"family":"Liu","given":"Tianlin"},{"family":"Wen","given":"Xuejun"},{"family":"Zhao","given":"Peng"}],"issued":{"date-parts":[["2015",6,19]]}}},{"id":"wiida5Bo/4GUmaQ4F","uris":["http://zotero.org/users/local/PVfTvcvz/items/XNW9XSZB"],"itemData":{"id":807,"type":"article-journal","abstract":"Treatment of glioblastoma, the most common and aggressive type of primary brain tumors, is a major medical challenge and the development of new alternatives requires simple yet realistic models for these tumors. In vitro spheroid models offer attractive platforms to mimic the tumor behavior in vivo and have thus, been increasingly applied for assessment of drug efficacy in various tumors. The aim of this study was to produce and characterize size-controlled U251 glioma spheroids towards application in glioma drug evaluation studies. To this end, we fabricated agarose hydrogel microwells with cylindrical shape and diameters of 70–700 μm and applied these wells without any surface modification for glioma spheroid formation. The resultant spheroids were homogeneous in size and shape, exhibited high cell viability (&gt; 90%), and had a similar growth rate to that of natural brain tumors. The final size of spheroids depended on cell seeding density and microwell size. The spheroids’ volume increased linearly with the cell seeding density and the rate of this change increased with the well size. Lastly, we tested the therapeutic effect of an anti-cancer drug, Di-2-pyridylketone-4,4-dimethyl-3-thiosemicarbazone (Dp44mT) on the resultant glioma spheroids and demonstrated the applicability of this spheroid model for drug efficacy studies.","container-title":"PLOS ONE","DOI":"10.1371/journal.pone.0211078","ISSN":"1932-6203","issue":"1","journalAbbreviation":"PLOS ONE","language":"en","note":"publisher: Public Library of Science","page":"e0211078","source":"PLoS Journals","title":"Preparation and characterization of size-controlled glioma spheroids using agarose hydrogel microwells","volume":"14","author":[{"family":"Mirab","given":"Fereshtehsadat"},{"family":"Kang","given":"You Jung"},{"family":"Majd","given":"Sheereen"}],"issued":{"date-parts":[["2019",1,24]]}}}],"schema":"https://github.com/citation-style-language/schema/raw/master/csl-citation.json"}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257–259</w:t>
      </w:r>
      <w:r w:rsidRPr="002A7128">
        <w:rPr>
          <w:rFonts w:ascii="Calibri" w:hAnsi="Calibri" w:cs="Calibri"/>
          <w:sz w:val="24"/>
          <w:szCs w:val="24"/>
        </w:rPr>
        <w:fldChar w:fldCharType="end"/>
      </w:r>
      <w:r w:rsidRPr="002A7128">
        <w:rPr>
          <w:rFonts w:ascii="Calibri" w:hAnsi="Calibri" w:cs="Calibri"/>
          <w:sz w:val="24"/>
          <w:szCs w:val="24"/>
        </w:rPr>
        <w:t>.</w:t>
      </w:r>
    </w:p>
    <w:p w14:paraId="4287679E" w14:textId="5C9FEA7C" w:rsidR="00D835E2" w:rsidRPr="002A7128" w:rsidRDefault="000711C0" w:rsidP="00F675B4">
      <w:pPr>
        <w:pStyle w:val="MDPI31text"/>
        <w:spacing w:line="480" w:lineRule="auto"/>
        <w:ind w:firstLine="0"/>
        <w:rPr>
          <w:rFonts w:ascii="Calibri" w:hAnsi="Calibri" w:cs="Calibri"/>
          <w:sz w:val="24"/>
          <w:szCs w:val="24"/>
        </w:rPr>
      </w:pPr>
      <w:r w:rsidRPr="002A7128">
        <w:rPr>
          <w:rFonts w:ascii="Calibri" w:hAnsi="Calibri" w:cs="Calibri"/>
          <w:sz w:val="24"/>
          <w:szCs w:val="24"/>
        </w:rPr>
        <w:t xml:space="preserve">LOT is one of the most common matrix-free approaches and has enabled important progress in studies on cancer stem cell formation and chemoresistance. For example, the LOT was recently used to study the effect of size and shape of ovarian carcinoma MCTS on drug resistance to Cisplatin and Taxol, as well as migration capacity of different MCTS morphologies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{"citationID":"UU12UP5d","properties":{"formattedCitation":"\\super 238\\nosupersub{}","plainCitation":"238","noteIndex":0},"citationItems":[{"id":"wiida5Bo/zbPChu5P","uris":["http://zotero.org/users/local/PVfTvcvz/items/ETK9F3UF"],"itemData":{"id":478,"type":"article-journal","abstract":"Background\nHigh fatality in ovarian cancer is attributed to metastasis, propagated by the release of multi-cellular aggregates/spheroids into the peritoneal cavity and their subsequent mesothelial invasion of peritoneal organs. Spheroids are therefore a common and clinically relevant in vitro model for ovarian cancer research. Spheroids in patients vary significantly in size and shape and display enhanced resistance to anti-cancer drugs compared to monolayers. However, there is no consensus on how spheroid size and shape affect drug resistance. Moreover, existing data regarding the influence of epithelial-to-mesenchymal transition (EMT) profile on spheroid shape and migration is inconclusive.\nMethods\nWe formed spheroids with OVCAR-3 and OVCAR-8 cells, chosen for their established genetic similarity to the patient tumor samples. We monitored their morphology using confocal microscope with dipping objective and fluorescent microscope. We characterized important EMT biomarkers; E-cadherin, Vimentin and Slug through western blotting in monolayers and spheroids. We treated these spheroids with Taxol and Cisplatin and investigated their migratory profile based on their morphology.\nResults\nWe report two distinct multicellular structures: loose aggregates (OVCAR-3) and compact spheroids (OVCAR-8). We attribute these different morphologies to the expression of the EMT biomarkers, and their changes upon spheroid formation. Importantly, we did not observe a difference in resistance to the anti-cancer drugs as a function of spheroid size and shape. However, migration capacity of compact spheroid (OVCAR-8) was 15-fold higher compared to that of loose aggregates (OVCAR-3).\nConclusions\nThese results highlight the importance of spheroid size and shape on anti-cancer drug resistance and migration profiles. The results of this study can, therefore, help to elucidate general rules for ovarian cancer studies based on 3D samples.","container-title":"Gynecologic Oncology","DOI":"10.1016/j.ygyno.2020.09.002","ISSN":"0090-8258","journalAbbreviation":"Gynecologic Oncology","language":"en","source":"ScienceDirect","title":"The effects of size and shape of the ovarian cancer spheroids on the drug resistance and migration","URL":"http://www.sciencedirect.com/science/article/pii/S0090825820338579","author":[{"family":"Gunay","given":"Gokhan"},{"family":"Kirit","given":"Hande A."},{"family":"Kamatar","given":"Advika"},{"family":"Baghdasaryan","given":"Ofelya"},{"family":"Hamsici","given":"Seren"},{"family":"Acar","given":"Handan"}],"accessed":{"date-parts":[["2020",9,22]]},"issued":{"date-parts":[["2020",9,18]]}}}],"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238</w:t>
      </w:r>
      <w:r w:rsidRPr="002A7128">
        <w:rPr>
          <w:rFonts w:ascii="Calibri" w:hAnsi="Calibri" w:cs="Calibri"/>
          <w:sz w:val="24"/>
          <w:szCs w:val="24"/>
        </w:rPr>
        <w:fldChar w:fldCharType="end"/>
      </w:r>
      <w:r w:rsidRPr="002A7128">
        <w:rPr>
          <w:rFonts w:ascii="Calibri" w:hAnsi="Calibri" w:cs="Calibri"/>
          <w:sz w:val="24"/>
          <w:szCs w:val="24"/>
        </w:rPr>
        <w:t xml:space="preserve">. However, </w:t>
      </w:r>
      <w:r w:rsidRPr="002A7128">
        <w:rPr>
          <w:rFonts w:ascii="Calibri" w:hAnsi="Calibri" w:cs="Calibri"/>
          <w:sz w:val="24"/>
          <w:szCs w:val="24"/>
        </w:rPr>
        <w:lastRenderedPageBreak/>
        <w:t xml:space="preserve">not all cell lines are able to form MCTS via this technique, even within the same type of cancer. For example, while OVCAR8 and OVCAR3 cell lines formed compact and loose spheroids, respectively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{"citationID":"0JGEMM88","properties":{"formattedCitation":"\\super 238\\nosupersub{}","plainCitation":"238","noteIndex":0},"citationItems":[{"id":"wiida5Bo/zbPChu5P","uris":["http://zotero.org/users/local/PVfTvcvz/items/ETK9F3UF"],"itemData":{"id":478,"type":"article-journal","abstract":"Background\nHigh fatality in ovarian cancer is attributed to metastasis, propagated by the release of multi-cellular aggregates/spheroids into the peritoneal cavity and their subsequent mesothelial invasion of peritoneal organs. Spheroids are therefore a common and clinically relevant in vitro model for ovarian cancer research. Spheroids in patients vary significantly in size and shape and display enhanced resistance to anti-cancer drugs compared to monolayers. However, there is no consensus on how spheroid size and shape affect drug resistance. Moreover, existing data regarding the influence of epithelial-to-mesenchymal transition (EMT) profile on spheroid shape and migration is inconclusive.\nMethods\nWe formed spheroids with OVCAR-3 and OVCAR-8 cells, chosen for their established genetic similarity to the patient tumor samples. We monitored their morphology using confocal microscope with dipping objective and fluorescent microscope. We characterized important EMT biomarkers; E-cadherin, Vimentin and Slug through western blotting in monolayers and spheroids. We treated these spheroids with Taxol and Cisplatin and investigated their migratory profile based on their morphology.\nResults\nWe report two distinct multicellular structures: loose aggregates (OVCAR-3) and compact spheroids (OVCAR-8). We attribute these different morphologies to the expression of the EMT biomarkers, and their changes upon spheroid formation. Importantly, we did not observe a difference in resistance to the anti-cancer drugs as a function of spheroid size and shape. However, migration capacity of compact spheroid (OVCAR-8) was 15-fold higher compared to that of loose aggregates (OVCAR-3).\nConclusions\nThese results highlight the importance of spheroid size and shape on anti-cancer drug resistance and migration profiles. The results of this study can, therefore, help to elucidate general rules for ovarian cancer studies based on 3D samples.","container-title":"Gynecologic Oncology","DOI":"10.1016/j.ygyno.2020.09.002","ISSN":"0090-8258","journalAbbreviation":"Gynecologic Oncology","language":"en","source":"ScienceDirect","title":"The effects of size and shape of the ovarian cancer spheroids on the drug resistance and migration","URL":"http://www.sciencedirect.com/science/article/pii/S0090825820338579","author":[{"family":"Gunay","given":"Gokhan"},{"family":"Kirit","given":"Hande A."},{"family":"Kamatar","given":"Advika"},{"family":"Baghdasaryan","given":"Ofelya"},{"family":"Hamsici","given":"Seren"},{"family":"Acar","given":"Handan"}],"accessed":{"date-parts":[["2020",9,22]]},"issued":{"date-parts":[["2020",9,18]]}}}],"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238</w:t>
      </w:r>
      <w:r w:rsidRPr="002A7128">
        <w:rPr>
          <w:rFonts w:ascii="Calibri" w:hAnsi="Calibri" w:cs="Calibri"/>
          <w:sz w:val="24"/>
          <w:szCs w:val="24"/>
        </w:rPr>
        <w:fldChar w:fldCharType="end"/>
      </w:r>
      <w:r w:rsidRPr="002A7128">
        <w:rPr>
          <w:rFonts w:ascii="Calibri" w:hAnsi="Calibri" w:cs="Calibri"/>
          <w:sz w:val="24"/>
          <w:szCs w:val="24"/>
        </w:rPr>
        <w:t xml:space="preserve">, the ovarian carcinoma line SKOV-3 did not form MCTS similar to those found in patient ascites, possibly due to the different cell surface receptors expressed on different cell lines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{"citationID":"CPPAEDkY","properties":{"formattedCitation":"\\super 260\\nosupersub{}","plainCitation":"260","noteIndex":0},"citationItems":[{"id":"wiida5Bo/bkD8k4C8","uris":["http://zotero.org/users/local/PVfTvcvz/items/TSFT9MRY"],"itemData":{"id":326,"type":"article-journal","abstract":"Ovarian carcinoma multicellular spheroids are an in vitro model of micrometastasis whose adhesive abilities have not been elucidated. In this study, we identified adhesion molecules that mediate the formation of ovarian carcinoma spheroids and their subsequent adhesion to extracellular matrix proteins. The NIH:OVCAR5, but not the SKOV3, ovarian carcinoma cell line formed spheroids similar to multicellular aggregates isolated from patient ascitic fluid. NIH:OVCAR5 spheroid formation was augmented by a β1-integrin-stimulating monoclonal antibody or exogenous fibronectin, but was inhibited by blocking monoclonal antibodies against the α5- or β1-integrin subunits. By immunohistochemical staining, α2-, α3-, α5-, α6-, and β1-integrin subunits, CD44, and fibronectin were detected in NIH:OVCAR5 spheroids. NIH:OVCAR5 spheroids adhered to fibronectin, laminin, and type IV collagen, and this adhesion was partially inhibited by blocking antibodies against the α5-, α6-, and α2-integrin subunits, respectively. A blocking monoclonal antibody against the β1-integrin subunit completely inhibited adhesion of the spheroids to all three proteins. These results suggest that interactions between the α5β1-integrin and fibronectin mediate the formation of ovarian carcinoma spheroids and that their adhesion to extracellular matrix proteins at sites of secondary tumor growth may be mediated by a complex interaction between multiple integrins and their ligands.","container-title":"The American Journal of Pathology","DOI":"10.1016/S0002-9440(10)63058-1","ISSN":"0002-9440","issue":"6","journalAbbreviation":"The American Journal of Pathology","language":"en","page":"2071-2080","source":"ScienceDirect","title":"β1-Integrins Regulate the Formation and Adhesion of Ovarian Carcinoma Multicellular Spheroids","volume":"159","author":[{"family":"Casey","given":"Rachael C."},{"family":"Burleson","given":"Kathryn M."},{"family":"Skubitz","given":"Keith M."},{"family":"Pambuccian","given":"Stefan E."},{"family":"Oegema","given":"Theodore R."},{"family":"Ruff","given":"Laura E."},{"family":"Skubitz","given":"Amy P. N."}],"issued":{"date-parts":[["2001",12,1]]}}}],"schema":"https://github.com/citation-style-language/schema/raw/master/csl-citation.json"}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260</w:t>
      </w:r>
      <w:r w:rsidRPr="002A7128">
        <w:rPr>
          <w:rFonts w:ascii="Calibri" w:hAnsi="Calibri" w:cs="Calibri"/>
          <w:sz w:val="24"/>
          <w:szCs w:val="24"/>
        </w:rPr>
        <w:fldChar w:fldCharType="end"/>
      </w:r>
      <w:r w:rsidRPr="002A7128">
        <w:rPr>
          <w:rFonts w:ascii="Calibri" w:hAnsi="Calibri" w:cs="Calibri"/>
          <w:sz w:val="24"/>
          <w:szCs w:val="24"/>
        </w:rPr>
        <w:t xml:space="preserve">. Thus, LOT requires a well-researched choice in cell lines. Because of the ease of sample preparation and low cost, as well as having samples with ECM structures relevant to their physiological counterparts, LOT is one of the most reliable and commonly used technique for the cell lines that are known to form aggregates. </w:t>
      </w:r>
      <w:bookmarkEnd w:id="135"/>
    </w:p>
    <w:p w14:paraId="7E3DAA18" w14:textId="2794994B" w:rsidR="000711C0" w:rsidRPr="002A7128" w:rsidRDefault="000711C0">
      <w:pPr>
        <w:pStyle w:val="Heading2"/>
        <w:numPr>
          <w:ilvl w:val="3"/>
          <w:numId w:val="9"/>
        </w:numPr>
        <w:spacing w:line="480" w:lineRule="auto"/>
        <w:rPr>
          <w:rFonts w:ascii="Calibri" w:hAnsi="Calibri" w:cs="Calibri"/>
        </w:rPr>
      </w:pPr>
      <w:bookmarkStart w:id="136" w:name="_Toc120794190"/>
      <w:r w:rsidRPr="002A7128">
        <w:rPr>
          <w:rFonts w:ascii="Calibri" w:hAnsi="Calibri" w:cs="Calibri"/>
        </w:rPr>
        <w:t>Hanging Drop Technique</w:t>
      </w:r>
      <w:bookmarkEnd w:id="136"/>
    </w:p>
    <w:p w14:paraId="1EB353E1" w14:textId="2CF3C8BE" w:rsidR="000711C0" w:rsidRPr="002A7128" w:rsidRDefault="000711C0" w:rsidP="00F675B4">
      <w:pPr>
        <w:pStyle w:val="MDPI31text"/>
        <w:spacing w:line="480" w:lineRule="auto"/>
        <w:ind w:firstLine="0"/>
        <w:rPr>
          <w:rFonts w:ascii="Calibri" w:hAnsi="Calibri" w:cs="Calibri"/>
          <w:sz w:val="24"/>
          <w:szCs w:val="24"/>
        </w:rPr>
      </w:pPr>
      <w:r w:rsidRPr="002A7128">
        <w:rPr>
          <w:rFonts w:ascii="Calibri" w:hAnsi="Calibri" w:cs="Calibri"/>
          <w:sz w:val="24"/>
          <w:szCs w:val="24"/>
        </w:rPr>
        <w:t xml:space="preserve">The hanging drop technique requires no special equipment and relies on preparation of desired numbers of cells/drop and provides reproducible MCTS formation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{"citationID":"1U6oktnq","properties":{"formattedCitation":"\\super 261\\nosupersub{}","plainCitation":"261","noteIndex":0},"citationItems":[{"id":"wiida5Bo/OeERQC2m","uris":["http://zotero.org/users/local/91fNc9yk/items/DRZ8GFCM"],"itemData":{"id":640,"type":"article-journal","container-title":"Journal of Neuro-Oncology","DOI":"10.1023/B:NEON.0000024220.07063.70","ISSN":"0167-594X","issue":"3","journalAbbreviation":"J Neurooncol","language":"en","page":"295-303","source":"DOI.org (Crossref)","title":"Spheroid Preparation from Hanging Drops: Characterization of a Model of Brain Tumor Invasion","title-short":"Spheroid Preparation from Hanging Drops","volume":"67","author":[{"family":"Del Duca","given":"Danny"},{"family":"Werbowetski","given":"Tamra"},{"family":"Del Maestro","given":"Rolando F."}],"issued":{"date-parts":[["2004",5]]}}}],"schema":"https://github.com/citation-style-language/schema/raw/master/csl-citation.json"}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261</w:t>
      </w:r>
      <w:r w:rsidRPr="002A7128">
        <w:rPr>
          <w:rFonts w:ascii="Calibri" w:hAnsi="Calibri" w:cs="Calibri"/>
          <w:sz w:val="24"/>
          <w:szCs w:val="24"/>
        </w:rPr>
        <w:fldChar w:fldCharType="end"/>
      </w:r>
      <w:r w:rsidRPr="002A7128">
        <w:rPr>
          <w:rFonts w:ascii="Calibri" w:hAnsi="Calibri" w:cs="Calibri"/>
          <w:sz w:val="24"/>
          <w:szCs w:val="24"/>
        </w:rPr>
        <w:t xml:space="preserve">. Cell suspension drops (15– 30 mL) are placed onto the underside of the lid of a tissue culture plate </w:t>
      </w:r>
      <w:r w:rsidRPr="002A7128">
        <w:rPr>
          <w:rFonts w:ascii="Calibri" w:hAnsi="Calibri" w:cs="Calibri"/>
          <w:b/>
          <w:bCs/>
          <w:sz w:val="24"/>
          <w:szCs w:val="24"/>
        </w:rPr>
        <w:t>(</w:t>
      </w:r>
      <w:r w:rsidR="009D125F" w:rsidRPr="002A7128">
        <w:rPr>
          <w:rFonts w:ascii="Calibri" w:hAnsi="Calibri" w:cs="Calibri"/>
          <w:b/>
          <w:bCs/>
          <w:sz w:val="24"/>
          <w:szCs w:val="24"/>
        </w:rPr>
        <w:fldChar w:fldCharType="begin"/>
      </w:r>
      <w:r w:rsidR="009D125F" w:rsidRPr="002A7128">
        <w:rPr>
          <w:rFonts w:ascii="Calibri" w:hAnsi="Calibri" w:cs="Calibri"/>
          <w:b/>
          <w:bCs/>
          <w:sz w:val="24"/>
          <w:szCs w:val="24"/>
        </w:rPr>
        <w:instrText xml:space="preserve"> REF _Ref103518786  \* MERGEFORMAT </w:instrText>
      </w:r>
      <w:r w:rsidR="009D125F" w:rsidRPr="002A7128">
        <w:rPr>
          <w:rFonts w:ascii="Calibri" w:hAnsi="Calibri" w:cs="Calibri"/>
          <w:b/>
          <w:bCs/>
          <w:sz w:val="24"/>
          <w:szCs w:val="24"/>
        </w:rPr>
        <w:fldChar w:fldCharType="separate"/>
      </w:r>
      <w:r w:rsidR="007D711E" w:rsidRPr="002A7128">
        <w:rPr>
          <w:rFonts w:ascii="Calibri" w:hAnsi="Calibri" w:cs="Calibri"/>
          <w:b/>
          <w:bCs/>
          <w:color w:val="000000" w:themeColor="text1"/>
          <w:sz w:val="24"/>
          <w:szCs w:val="24"/>
        </w:rPr>
        <w:t xml:space="preserve">Figure </w:t>
      </w:r>
      <w:r w:rsidR="007D711E" w:rsidRPr="002A7128">
        <w:rPr>
          <w:rFonts w:ascii="Calibri" w:hAnsi="Calibri" w:cs="Calibri"/>
          <w:b/>
          <w:bCs/>
          <w:noProof/>
          <w:color w:val="000000" w:themeColor="text1"/>
          <w:sz w:val="24"/>
          <w:szCs w:val="24"/>
        </w:rPr>
        <w:t>23</w:t>
      </w:r>
      <w:r w:rsidR="009D125F" w:rsidRPr="002A7128">
        <w:rPr>
          <w:rFonts w:ascii="Calibri" w:hAnsi="Calibri" w:cs="Calibri"/>
          <w:b/>
          <w:bCs/>
          <w:sz w:val="24"/>
          <w:szCs w:val="24"/>
        </w:rPr>
        <w:fldChar w:fldCharType="end"/>
      </w:r>
      <w:r w:rsidR="009D125F" w:rsidRPr="002A7128">
        <w:rPr>
          <w:rFonts w:ascii="Calibri" w:hAnsi="Calibri" w:cs="Calibri"/>
          <w:b/>
          <w:bCs/>
          <w:sz w:val="24"/>
          <w:szCs w:val="24"/>
        </w:rPr>
        <w:t>B</w:t>
      </w:r>
      <w:r w:rsidRPr="002A7128">
        <w:rPr>
          <w:rFonts w:ascii="Calibri" w:hAnsi="Calibri" w:cs="Calibri"/>
          <w:b/>
          <w:bCs/>
          <w:sz w:val="24"/>
          <w:szCs w:val="24"/>
        </w:rPr>
        <w:t>)</w:t>
      </w:r>
      <w:r w:rsidRPr="002A7128">
        <w:rPr>
          <w:rFonts w:ascii="Calibri" w:hAnsi="Calibri" w:cs="Calibri"/>
          <w:sz w:val="24"/>
          <w:szCs w:val="24"/>
        </w:rPr>
        <w:t xml:space="preserve">. When inverted, surface tension keeps the drop intact and forces cells to localize at the bottom of the drop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{"citationID":"xIJqy8Ta","properties":{"formattedCitation":"\\super 247\\nosupersub{}","plainCitation":"247","noteIndex":0},"citationItems":[{"id":"wiida5Bo/eRtMKEUQ","uris":["http://zotero.org/users/local/91fNc9yk/items/IW2LU369"],"itemData":{"id":641,"type":"article-journal","container-title":"Biotechnology Journal","DOI":"10.1002/biot.200700228","ISSN":"18606768, 18607314","issue":"9-10","journalAbbreviation":"Biotechnol. J.","language":"en","page":"1172-1184","source":"DOI.org (Crossref)","title":"Recent advances in three-dimensional multicellular spheroid culture for biomedical research","volume":"3","author":[{"family":"Lin","given":"Ruei-Zhen"},{"family":"Chang","given":"Hwan-You"}],"issued":{"date-parts":[["2008",10]]}}}],"schema":"https://github.com/citation-style-language/schema/raw/master/csl-citation.json"}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247</w:t>
      </w:r>
      <w:r w:rsidRPr="002A7128">
        <w:rPr>
          <w:rFonts w:ascii="Calibri" w:hAnsi="Calibri" w:cs="Calibri"/>
          <w:sz w:val="24"/>
          <w:szCs w:val="24"/>
        </w:rPr>
        <w:fldChar w:fldCharType="end"/>
      </w:r>
      <w:r w:rsidRPr="002A7128">
        <w:rPr>
          <w:rFonts w:ascii="Calibri" w:hAnsi="Calibri" w:cs="Calibri"/>
          <w:sz w:val="24"/>
          <w:szCs w:val="24"/>
        </w:rPr>
        <w:t xml:space="preserve">. One disadvantage of this technique is that the MCTS have to be transferred prior to post processing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{"citationID":"QOi5Roz4","properties":{"formattedCitation":"\\super 262\\nosupersub{}","plainCitation":"262","noteIndex":0},"citationItems":[{"id":"wiida5Bo/UjXVkbqc","uris":["http://zotero.org/users/local/91fNc9yk/items/S8VEZMB4"],"itemData":{"id":271,"type":"article-journal","container-title":"Biotechnology and Bioengineering","DOI":"10.1002/bit.10655","ISSN":"0006-3592, 1097-0290","issue":"2","journalAbbreviation":"Biotechnol. Bioeng.","language":"en","page":"173-180","source":"DOI.org (Crossref)","title":"Method for generation of homogeneous multicellular tumor spheroids applicable to a wide variety of cell types","volume":"83","author":[{"family":"Kelm","given":"Jens M."},{"family":"Timmins","given":"Nicholas E."},{"family":"Brown","given":"Catherine J."},{"family":"Fussenegger","given":"Martin"},{"family":"Nielsen","given":"Lars K."}],"issued":{"date-parts":[["2003",7,20]]}}}],"schema":"https://github.com/citation-style-language/schema/raw/master/csl-citation.json"}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262</w:t>
      </w:r>
      <w:r w:rsidRPr="002A7128">
        <w:rPr>
          <w:rFonts w:ascii="Calibri" w:hAnsi="Calibri" w:cs="Calibri"/>
          <w:sz w:val="24"/>
          <w:szCs w:val="24"/>
        </w:rPr>
        <w:fldChar w:fldCharType="end"/>
      </w:r>
      <w:r w:rsidRPr="002A7128">
        <w:rPr>
          <w:rFonts w:ascii="Calibri" w:hAnsi="Calibri" w:cs="Calibri"/>
          <w:sz w:val="24"/>
          <w:szCs w:val="24"/>
        </w:rPr>
        <w:t xml:space="preserve">. </w:t>
      </w:r>
      <w:bookmarkStart w:id="137" w:name="_Hlk54351741"/>
      <w:r w:rsidRPr="002A7128">
        <w:rPr>
          <w:rFonts w:ascii="Calibri" w:hAnsi="Calibri" w:cs="Calibri"/>
          <w:sz w:val="24"/>
          <w:szCs w:val="24"/>
        </w:rPr>
        <w:t xml:space="preserve">Additionally, volumes used to culture MCTS are very small volumes (10–15 mL), so evaporation </w:t>
      </w:r>
      <w:bookmarkEnd w:id="137"/>
      <w:r w:rsidRPr="002A7128">
        <w:rPr>
          <w:rFonts w:ascii="Calibri" w:hAnsi="Calibri" w:cs="Calibri"/>
          <w:sz w:val="24"/>
          <w:szCs w:val="24"/>
        </w:rPr>
        <w:t xml:space="preserve">is a major problem </w:t>
      </w:r>
      <w:r w:rsidRPr="002A7128">
        <w:rPr>
          <w:rFonts w:ascii="Calibri" w:hAnsi="Calibri" w:cs="Calibri"/>
          <w:sz w:val="24"/>
          <w:szCs w:val="24"/>
        </w:rPr>
        <w:fldChar w:fldCharType="begin"/>
      </w:r>
      <w:r w:rsidR="00A64B61" w:rsidRPr="002A7128">
        <w:rPr>
          <w:rFonts w:ascii="Calibri" w:hAnsi="Calibri" w:cs="Calibri"/>
          <w:sz w:val="24"/>
          <w:szCs w:val="24"/>
        </w:rPr>
        <w:instrText xml:space="preserve"> ADDIN ZOTERO_ITEM CSL_CITATION {"citationID":"aEE57DBo","properties":{"formattedCitation":"\\super 263\\nosupersub{}","plainCitation":"263","noteIndex":0},"citationItems":[{"id":695,"uris":["http://zotero.org/users/5797461/items/IEK6R5E6"],"itemData":{"id":695,"type":"article-journal","container-title":"The Analyst","DOI":"10.1039/C0AN00609B","ISSN":"0003-2654, 1364-5528","issue":"3","journalAbbreviation":"Analyst","language":"en","page":"473-478","source":"DOI.org (Crossref)","title":"High-throughput 3D spheroid culture and drug testing using a 384 hanging drop array","URL":"http://xlink.rsc.org/?DOI=C0AN00609B","volume":"136","author":[{"family":"Tung","given":"Yi-Chung"},{"family":"Hsiao","given":"Amy Y."},{"family":"Allen","given":"Steven G."},{"family":"Torisawa","given":"Yu-suke"},{"family":"Ho","given":"Mitchell"},{"family":"Takayama","given":"Shuichi"}],"accessed":{"date-parts":[["2020",8,4]]},"issued":{"date-parts":[["2011"]]},"citation-key":"tungHighthroughput3DSpheroid2011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263</w:t>
      </w:r>
      <w:r w:rsidRPr="002A7128">
        <w:rPr>
          <w:rFonts w:ascii="Calibri" w:hAnsi="Calibri" w:cs="Calibri"/>
          <w:sz w:val="24"/>
          <w:szCs w:val="24"/>
        </w:rPr>
        <w:fldChar w:fldCharType="end"/>
      </w:r>
      <w:r w:rsidRPr="002A7128">
        <w:rPr>
          <w:rFonts w:ascii="Calibri" w:hAnsi="Calibri" w:cs="Calibri"/>
          <w:sz w:val="24"/>
          <w:szCs w:val="24"/>
        </w:rPr>
        <w:t xml:space="preserve">. A comparison between LOT and the hanging drop technique illustrated the ease of handling and monitoring when using LOT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{"citationID":"TgAPWav9","properties":{"formattedCitation":"\\super 264\\nosupersub{}","plainCitation":"264","noteIndex":0},"citationItems":[{"id":"wiida5Bo/y4ogek5Z","uris":["http://zotero.org/users/local/91fNc9yk/items/XIHKH8K4"],"itemData":{"id":557,"type":"article-journal","container-title":"Frontiers in Physiology","DOI":"10.3389/fphys.2017.00605","ISSN":"1664-042X","journalAbbreviation":"Front. Physiol.","page":"605","source":"DOI.org (Crossref)","title":"Comparative Analysis of 3D Bladder Tumor Spheroids Obtained by Forced Floating and Hanging Drop Methods for Drug Screening","volume":"8","author":[{"family":"Amaral","given":"Robson L. F."},{"family":"Miranda","given":"Mariza"},{"family":"Marcato","given":"Priscyla D."},{"family":"Swiech","given":"Kamilla"}],"issued":{"date-parts":[["2017",8,22]]}}}],"schema":"https://github.com/citation-style-language/schema/raw/master/csl-citation.json"}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264</w:t>
      </w:r>
      <w:r w:rsidRPr="002A7128">
        <w:rPr>
          <w:rFonts w:ascii="Calibri" w:hAnsi="Calibri" w:cs="Calibri"/>
          <w:sz w:val="24"/>
          <w:szCs w:val="24"/>
        </w:rPr>
        <w:fldChar w:fldCharType="end"/>
      </w:r>
      <w:r w:rsidRPr="002A7128">
        <w:rPr>
          <w:rFonts w:ascii="Calibri" w:hAnsi="Calibri" w:cs="Calibri"/>
          <w:sz w:val="24"/>
          <w:szCs w:val="24"/>
        </w:rPr>
        <w:t xml:space="preserve">. </w:t>
      </w:r>
    </w:p>
    <w:p w14:paraId="60A5ADA3" w14:textId="6B174418" w:rsidR="000711C0" w:rsidRPr="002A7128" w:rsidRDefault="000711C0">
      <w:pPr>
        <w:pStyle w:val="Heading2"/>
        <w:numPr>
          <w:ilvl w:val="3"/>
          <w:numId w:val="9"/>
        </w:numPr>
        <w:spacing w:line="480" w:lineRule="auto"/>
        <w:rPr>
          <w:rFonts w:ascii="Calibri" w:hAnsi="Calibri" w:cs="Calibri"/>
        </w:rPr>
      </w:pPr>
      <w:bookmarkStart w:id="138" w:name="_Toc120794191"/>
      <w:r w:rsidRPr="002A7128">
        <w:rPr>
          <w:rFonts w:ascii="Calibri" w:hAnsi="Calibri" w:cs="Calibri"/>
        </w:rPr>
        <w:t>Spinner Flask Technique</w:t>
      </w:r>
      <w:bookmarkEnd w:id="138"/>
    </w:p>
    <w:p w14:paraId="4F032A52" w14:textId="0FA7A867" w:rsidR="000711C0" w:rsidRPr="002A7128" w:rsidRDefault="000711C0" w:rsidP="00F675B4">
      <w:pPr>
        <w:pStyle w:val="MDPI31text"/>
        <w:spacing w:line="480" w:lineRule="auto"/>
        <w:ind w:firstLine="0"/>
        <w:rPr>
          <w:rFonts w:ascii="Calibri" w:hAnsi="Calibri" w:cs="Calibri"/>
          <w:sz w:val="24"/>
          <w:szCs w:val="24"/>
        </w:rPr>
      </w:pPr>
      <w:r w:rsidRPr="002A7128">
        <w:rPr>
          <w:rFonts w:ascii="Calibri" w:hAnsi="Calibri" w:cs="Calibri"/>
          <w:sz w:val="24"/>
          <w:szCs w:val="24"/>
        </w:rPr>
        <w:t xml:space="preserve">The spinner flask technique allows cell to cell interaction by preventing the settling of the cells through continuous spinning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{"citationID":"f3ymuNbl","properties":{"formattedCitation":"\\super 265\\nosupersub{}","plainCitation":"265","noteIndex":0},"citationItems":[{"id":"wiida5Bo/uTGPfgeZ","uris":["http://zotero.org/users/local/91fNc9yk/items/RJHCDRXA"],"itemData":{"id":651,"type":"article-journal","container-title":"Expert Opinion on Biological Therapy","DOI":"10.1517/14712598.2012.707181","ISSN":"1471-2598, 1744-7682","issue":"10","journalAbbreviation":"Expert Opinion on Biological Therapy","language":"en","page":"1347-1360","source":"DOI.org (Crossref)","title":"Advances in the formation, use and understanding of multi-cellular spheroids","volume":"12","author":[{"family":"Achilli","given":"Toni-Marie"},{"family":"Meyer","given":"Julia"},{"family":"Morgan","given":"Jeffrey R"}],"issued":{"date-parts":[["2012",10]]}}}],"schema":"https://github.com/citation-style-language/schema/raw/master/csl-citation.json"}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265</w:t>
      </w:r>
      <w:r w:rsidRPr="002A7128">
        <w:rPr>
          <w:rFonts w:ascii="Calibri" w:hAnsi="Calibri" w:cs="Calibri"/>
          <w:sz w:val="24"/>
          <w:szCs w:val="24"/>
        </w:rPr>
        <w:fldChar w:fldCharType="end"/>
      </w:r>
      <w:r w:rsidRPr="002A7128">
        <w:rPr>
          <w:rFonts w:ascii="Calibri" w:hAnsi="Calibri" w:cs="Calibri"/>
          <w:sz w:val="24"/>
          <w:szCs w:val="24"/>
        </w:rPr>
        <w:t xml:space="preserve">, and leads to MCTS formation </w:t>
      </w:r>
      <w:r w:rsidRPr="002A7128">
        <w:rPr>
          <w:rFonts w:ascii="Calibri" w:hAnsi="Calibri" w:cs="Calibri"/>
          <w:b/>
          <w:bCs/>
          <w:sz w:val="24"/>
          <w:szCs w:val="24"/>
        </w:rPr>
        <w:t>(</w:t>
      </w:r>
      <w:r w:rsidR="009D125F" w:rsidRPr="002A7128">
        <w:rPr>
          <w:rFonts w:ascii="Calibri" w:hAnsi="Calibri" w:cs="Calibri"/>
          <w:b/>
          <w:bCs/>
          <w:sz w:val="24"/>
          <w:szCs w:val="24"/>
        </w:rPr>
        <w:fldChar w:fldCharType="begin"/>
      </w:r>
      <w:r w:rsidR="009D125F" w:rsidRPr="002A7128">
        <w:rPr>
          <w:rFonts w:ascii="Calibri" w:hAnsi="Calibri" w:cs="Calibri"/>
          <w:b/>
          <w:bCs/>
          <w:sz w:val="24"/>
          <w:szCs w:val="24"/>
        </w:rPr>
        <w:instrText xml:space="preserve"> REF _Ref103518786  \* MERGEFORMAT </w:instrText>
      </w:r>
      <w:r w:rsidR="009D125F" w:rsidRPr="002A7128">
        <w:rPr>
          <w:rFonts w:ascii="Calibri" w:hAnsi="Calibri" w:cs="Calibri"/>
          <w:b/>
          <w:bCs/>
          <w:sz w:val="24"/>
          <w:szCs w:val="24"/>
        </w:rPr>
        <w:fldChar w:fldCharType="separate"/>
      </w:r>
      <w:r w:rsidR="007D711E" w:rsidRPr="002A7128">
        <w:rPr>
          <w:rFonts w:ascii="Calibri" w:hAnsi="Calibri" w:cs="Calibri"/>
          <w:b/>
          <w:bCs/>
          <w:color w:val="000000" w:themeColor="text1"/>
          <w:sz w:val="24"/>
          <w:szCs w:val="24"/>
        </w:rPr>
        <w:t xml:space="preserve">Figure </w:t>
      </w:r>
      <w:r w:rsidR="007D711E" w:rsidRPr="002A7128">
        <w:rPr>
          <w:rFonts w:ascii="Calibri" w:hAnsi="Calibri" w:cs="Calibri"/>
          <w:b/>
          <w:bCs/>
          <w:noProof/>
          <w:color w:val="000000" w:themeColor="text1"/>
          <w:sz w:val="24"/>
          <w:szCs w:val="24"/>
        </w:rPr>
        <w:t>23</w:t>
      </w:r>
      <w:r w:rsidR="009D125F" w:rsidRPr="002A7128">
        <w:rPr>
          <w:rFonts w:ascii="Calibri" w:hAnsi="Calibri" w:cs="Calibri"/>
          <w:b/>
          <w:bCs/>
          <w:sz w:val="24"/>
          <w:szCs w:val="24"/>
        </w:rPr>
        <w:fldChar w:fldCharType="end"/>
      </w:r>
      <w:r w:rsidR="009D125F" w:rsidRPr="002A7128">
        <w:rPr>
          <w:rFonts w:ascii="Calibri" w:hAnsi="Calibri" w:cs="Calibri"/>
          <w:b/>
          <w:bCs/>
          <w:sz w:val="24"/>
          <w:szCs w:val="24"/>
        </w:rPr>
        <w:t>C</w:t>
      </w:r>
      <w:r w:rsidRPr="002A7128">
        <w:rPr>
          <w:rFonts w:ascii="Calibri" w:hAnsi="Calibri" w:cs="Calibri"/>
          <w:b/>
          <w:bCs/>
          <w:sz w:val="24"/>
          <w:szCs w:val="24"/>
        </w:rPr>
        <w:t>)</w:t>
      </w:r>
      <w:r w:rsidRPr="002A7128">
        <w:rPr>
          <w:rFonts w:ascii="Calibri" w:hAnsi="Calibri" w:cs="Calibri"/>
          <w:sz w:val="24"/>
          <w:szCs w:val="24"/>
        </w:rPr>
        <w:t xml:space="preserve">. </w:t>
      </w:r>
      <w:bookmarkStart w:id="139" w:name="_Hlk54351827"/>
      <w:r w:rsidRPr="002A7128">
        <w:rPr>
          <w:rFonts w:ascii="Calibri" w:hAnsi="Calibri" w:cs="Calibri"/>
          <w:sz w:val="24"/>
          <w:szCs w:val="24"/>
        </w:rPr>
        <w:t xml:space="preserve">For example, HepG2 hepatocellular carcinoma cell suspensions were seeded at 1 </w:t>
      </w:r>
      <w:r w:rsidRPr="002A7128">
        <w:rPr>
          <w:rFonts w:ascii="Calibri" w:hAnsi="Calibri" w:cs="Calibri"/>
          <w:color w:val="1C1D1E"/>
          <w:sz w:val="24"/>
          <w:szCs w:val="24"/>
          <w:shd w:val="clear" w:color="auto" w:fill="FFFFFF"/>
        </w:rPr>
        <w:t>×</w:t>
      </w:r>
      <w:r w:rsidRPr="002A7128">
        <w:rPr>
          <w:rFonts w:ascii="Calibri" w:hAnsi="Calibri" w:cs="Calibri"/>
          <w:sz w:val="24"/>
          <w:szCs w:val="24"/>
        </w:rPr>
        <w:t xml:space="preserve"> 10</w:t>
      </w:r>
      <w:r w:rsidRPr="002A7128">
        <w:rPr>
          <w:rFonts w:ascii="Calibri" w:hAnsi="Calibri" w:cs="Calibri"/>
          <w:sz w:val="24"/>
          <w:szCs w:val="24"/>
          <w:vertAlign w:val="superscript"/>
        </w:rPr>
        <w:t>5</w:t>
      </w:r>
      <w:r w:rsidRPr="002A7128">
        <w:rPr>
          <w:rFonts w:ascii="Calibri" w:hAnsi="Calibri" w:cs="Calibri"/>
          <w:sz w:val="24"/>
          <w:szCs w:val="24"/>
        </w:rPr>
        <w:t xml:space="preserve"> cells/mL into 500 mL siliconized spinner flasks and stirred at 60 rpm for 4–6 weeks. The  resulting MCTS were 200–300 </w:t>
      </w:r>
      <w:proofErr w:type="spellStart"/>
      <w:r w:rsidRPr="002A7128">
        <w:rPr>
          <w:rFonts w:ascii="Calibri" w:hAnsi="Calibri" w:cs="Calibri"/>
          <w:sz w:val="24"/>
          <w:szCs w:val="24"/>
        </w:rPr>
        <w:t>μm</w:t>
      </w:r>
      <w:proofErr w:type="spellEnd"/>
      <w:r w:rsidRPr="002A7128">
        <w:rPr>
          <w:rFonts w:ascii="Calibri" w:hAnsi="Calibri" w:cs="Calibri"/>
          <w:sz w:val="24"/>
          <w:szCs w:val="24"/>
        </w:rPr>
        <w:t xml:space="preserve"> </w:t>
      </w:r>
      <w:r w:rsidRPr="002A7128">
        <w:rPr>
          <w:rFonts w:ascii="Calibri" w:hAnsi="Calibri" w:cs="Calibri"/>
          <w:sz w:val="24"/>
          <w:szCs w:val="24"/>
        </w:rPr>
        <w:lastRenderedPageBreak/>
        <w:t xml:space="preserve">diameter and were transferred into agarose-coated well plates for further processing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{"citationID":"5VnkDHWe","properties":{"formattedCitation":"\\super 266\\nosupersub{}","plainCitation":"266","noteIndex":0},"citationItems":[{"id":"wiida5Bo/3ytfLadi","uris":["http://zotero.org/users/local/PVfTvcvz/items/95B2ULXW"],"itemData":{"id":823,"type":"article-journal","abstract":"Purpose: We have shown previously that 1 mM ethanol reduces cell proliferation and increases apoptosis in monolayers of human hepatocellular carcinoma (HepG2) cells. However, in vivo liver tumors are usually three-dimensional and multicellular. The purpose of this study was therefore to determine the effect of ethanol in multicellular tumor spheroids (MCTS) as a model system in vitro. Methods: After the application of 1 mM ethanol for 24 h and 48 h, viable, apoptotic and necrotic cells within MCTS were stained with specific fluorescent dyes, and their amount and distribution within the MCTS were assessed by confocal laser scanning microscopy. To evaluate the effect on HepG2 cell migration and cell proliferation, the outgrowth potential after 1 week in culture was evaluated. Results: As assessed by YO-PRO-1 staining, ethanol increased the number of apoptotic cells from 21.5 units (U) in control spheroids to 364 U and 482.2 U after 24 h and 48 h in ethanol-treated spheroids, respectively (P &lt; 0.001). Merocyanine staining fluorescence increased from 10.7 U in the control to 122 U after 24 h and 293.2 U after 48 h (P &lt; 0.001). Cell viability, as determined by staining with the acetoxymethyl ester of calcein, decreased from 578.5 U in the control to 236 U and 73.4 U after 24 h and 48 h of ethanol exposure respectively (P &lt; 0.001). Necrosis showed an increase from 2 U in control to 24.9 after 24 h and 54 U after 48 h. MCTS treated with ethanol showed almost complete inhibition of outgrowth potential after 1 week in culture, compared to controls (P &lt; 0.005). Conclusions: Small concentrations of ethanol (1 mM) induced apoptosis in HepG2 MCTS with a concomitant inhibition on outgrowth potential, accompanied with a low degree of necrosis. These findings suggest that low concentrations of ethanol may already be sufficient for the treatment of hepatocellular carcinoma.","container-title":"Journal of Cancer Research and Clinical Oncology","DOI":"10.1007/s004320050348","ISSN":"1432-1335","issue":"6","journalAbbreviation":"J Cancer Res Clin Oncol","language":"en","page":"305-310","source":"Springer Link","title":"Short exposure to millimolar concentrations of ethanol induces apoptotic cell death in multicellular HepG2 spheroids","volume":"126","author":[{"family":"Castañeda","given":"F."},{"family":"Kinne","given":"R. K. H."}],"issued":{"date-parts":[["2000",5,1]]}}}],"schema":"https://github.com/citation-style-language/schema/raw/master/csl-citation.json"}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266</w:t>
      </w:r>
      <w:r w:rsidRPr="002A7128">
        <w:rPr>
          <w:rFonts w:ascii="Calibri" w:hAnsi="Calibri" w:cs="Calibri"/>
          <w:sz w:val="24"/>
          <w:szCs w:val="24"/>
        </w:rPr>
        <w:fldChar w:fldCharType="end"/>
      </w:r>
      <w:r w:rsidRPr="002A7128">
        <w:rPr>
          <w:rFonts w:ascii="Calibri" w:hAnsi="Calibri" w:cs="Calibri"/>
          <w:sz w:val="24"/>
          <w:szCs w:val="24"/>
        </w:rPr>
        <w:t xml:space="preserve">.  In another study, rat liver hepatocytes were cultured at </w:t>
      </w:r>
      <w:r w:rsidRPr="002A7128">
        <w:rPr>
          <w:rFonts w:ascii="Calibri" w:hAnsi="Calibri" w:cs="Calibri"/>
          <w:color w:val="1C1D1E"/>
          <w:sz w:val="24"/>
          <w:szCs w:val="24"/>
          <w:shd w:val="clear" w:color="auto" w:fill="FFFFFF"/>
        </w:rPr>
        <w:t>5 × 10</w:t>
      </w:r>
      <w:r w:rsidRPr="002A7128">
        <w:rPr>
          <w:rFonts w:ascii="Calibri" w:hAnsi="Calibri" w:cs="Calibri"/>
          <w:color w:val="1C1D1E"/>
          <w:sz w:val="24"/>
          <w:szCs w:val="24"/>
          <w:shd w:val="clear" w:color="auto" w:fill="FFFFFF"/>
          <w:vertAlign w:val="superscript"/>
        </w:rPr>
        <w:t>5</w:t>
      </w:r>
      <w:r w:rsidRPr="002A7128">
        <w:rPr>
          <w:rFonts w:ascii="Calibri" w:hAnsi="Calibri" w:cs="Calibri"/>
          <w:color w:val="1C1D1E"/>
          <w:sz w:val="24"/>
          <w:szCs w:val="24"/>
          <w:shd w:val="clear" w:color="auto" w:fill="FFFFFF"/>
        </w:rPr>
        <w:t xml:space="preserve"> cells/mL </w:t>
      </w:r>
      <w:r w:rsidRPr="002A7128">
        <w:rPr>
          <w:rFonts w:ascii="Calibri" w:hAnsi="Calibri" w:cs="Calibri"/>
          <w:sz w:val="24"/>
          <w:szCs w:val="24"/>
        </w:rPr>
        <w:t xml:space="preserve">in a 250 mL spinner flask for 6 hours, resulting in 80% aggregate formation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{"citationID":"JaLa8Gwq","properties":{"formattedCitation":"\\super 267\\nosupersub{}","plainCitation":"267","noteIndex":0},"citationItems":[{"id":"wiida5Bo/kfLWcVmg","uris":["http://zotero.org/users/local/PVfTvcvz/items/A77UIEAI"],"itemData":{"id":825,"type":"article-journal","abstract":"Abstract: Hepatocyte spheroids are expected to be the main component of the artificial liver bioreactor for their higher function. The preparation of hepatocyte spheroids, however, can require as many as 24 to 96 h. To reduce this time, we investigated a method employing a new technique of rat hepatocyte preparation and a dynamic culture. The modified Seglen's method for standard hepatocyte isolation was altered by elimination of ethyleneglycol bis(aminoethylether) tetraacetate from the first perfusate and calcium from the second perfusate. Isolated hepatocytes were cultured in a spinner flask by spinning at 120 rpm. The modified Seglen's method was used as a control. Cells obtained by the new method were more cohesive and formed a higher proportion of cell aggregates than control cells. In the spinning culture, hepatocytes had a tendency to aggregate and 80% of cells formed spheroids within 6 h of culturing. The mean size of spheroids was 68.5 ± 18.5 μm. Confocal laser scanning microscopy revealed that individual spheroids contained approximately 30% of nonparenchymal cells over their surface. Using the new hepatocyte preparation method followed by a spinning culture, we were able to produce hepatocyte spheroids in as few as 6 h.","container-title":"Artificial Organs","DOI":"10.1046/j.1525-1594.2002.06836.x","ISSN":"1525-1594","issue":"6","language":"en","note":"_eprint: https://onlinelibrary.wiley.com/doi/pdf/10.1046/j.1525-1594.2002.06836.x","page":"497-505","source":"Wiley Online Library","title":"A Novel Method for Faster Formation of Rat Liver Cell Spheroids","volume":"26","author":[{"family":"Okubo","given":"Hisashi"},{"family":"Matsushita","given":"Michiaki"},{"family":"Kamachi","given":"Hirofumi"},{"family":"Kawai","given":"Tomoaki"},{"family":"Takahashi","given":"Manabu"},{"family":"Fujimoto","given":"Tetsuya"},{"family":"Nishikawa","given":"Kazutaka"},{"family":"Todo","given":"Satoru"}],"issued":{"date-parts":[["2002"]]}}}],"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267</w:t>
      </w:r>
      <w:r w:rsidRPr="002A7128">
        <w:rPr>
          <w:rFonts w:ascii="Calibri" w:hAnsi="Calibri" w:cs="Calibri"/>
          <w:sz w:val="24"/>
          <w:szCs w:val="24"/>
        </w:rPr>
        <w:fldChar w:fldCharType="end"/>
      </w:r>
      <w:r w:rsidRPr="002A7128">
        <w:rPr>
          <w:rFonts w:ascii="Calibri" w:hAnsi="Calibri" w:cs="Calibri"/>
          <w:sz w:val="24"/>
          <w:szCs w:val="24"/>
        </w:rPr>
        <w:t xml:space="preserve">. </w:t>
      </w:r>
      <w:bookmarkEnd w:id="139"/>
      <w:r w:rsidRPr="002A7128">
        <w:rPr>
          <w:rFonts w:ascii="Calibri" w:hAnsi="Calibri" w:cs="Calibri"/>
          <w:snapToGrid/>
          <w:sz w:val="24"/>
          <w:szCs w:val="24"/>
        </w:rPr>
        <w:t xml:space="preserve">The speed of the continuously rotating flask is important to consider; low speeds might result in settling of the cells and high speeds might harm the cells due to shear stress. One advantage of using the spinner flask is the ability to produce large quantities of MCTS. However, during continuous spinning MCTS formation cannot be visualized </w:t>
      </w:r>
      <w:r w:rsidRPr="002A7128">
        <w:rPr>
          <w:rFonts w:ascii="Calibri" w:hAnsi="Calibri" w:cs="Calibri"/>
          <w:snapToGrid/>
          <w:sz w:val="24"/>
          <w:szCs w:val="24"/>
        </w:rPr>
        <w:fldChar w:fldCharType="begin"/>
      </w:r>
      <w:r w:rsidR="00317E7D" w:rsidRPr="002A7128">
        <w:rPr>
          <w:rFonts w:ascii="Calibri" w:hAnsi="Calibri" w:cs="Calibri"/>
          <w:snapToGrid/>
          <w:sz w:val="24"/>
          <w:szCs w:val="24"/>
        </w:rPr>
        <w:instrText xml:space="preserve"> ADDIN ZOTERO_ITEM CSL_CITATION {"citationID":"XEZDBIWA","properties":{"formattedCitation":"\\super 265\\nosupersub{}","plainCitation":"265","noteIndex":0},"citationItems":[{"id":"wiida5Bo/uTGPfgeZ","uris":["http://zotero.org/users/local/91fNc9yk/items/RJHCDRXA"],"itemData":{"id":651,"type":"article-journal","container-title":"Expert Opinion on Biological Therapy","DOI":"10.1517/14712598.2012.707181","ISSN":"1471-2598, 1744-7682","issue":"10","journalAbbreviation":"Expert Opinion on Biological Therapy","language":"en","page":"1347-1360","source":"DOI.org (Crossref)","title":"Advances in the formation, use and understanding of multi-cellular spheroids","volume":"12","author":[{"family":"Achilli","given":"Toni-Marie"},{"family":"Meyer","given":"Julia"},{"family":"Morgan","given":"Jeffrey R"}],"issued":{"date-parts":[["2012",10]]}}}],"schema":"https://github.com/citation-style-language/schema/raw/master/csl-citation.json"} </w:instrText>
      </w:r>
      <w:r w:rsidRPr="002A7128">
        <w:rPr>
          <w:rFonts w:ascii="Calibri" w:hAnsi="Calibri" w:cs="Calibri"/>
          <w:snapToGrid/>
          <w:sz w:val="24"/>
          <w:szCs w:val="24"/>
        </w:rPr>
        <w:fldChar w:fldCharType="separate"/>
      </w:r>
      <w:r w:rsidR="00A64B61" w:rsidRPr="002A7128">
        <w:rPr>
          <w:rFonts w:ascii="Calibri" w:hAnsi="Calibri" w:cs="Calibri"/>
          <w:sz w:val="24"/>
          <w:vertAlign w:val="superscript"/>
        </w:rPr>
        <w:t>265</w:t>
      </w:r>
      <w:r w:rsidRPr="002A7128">
        <w:rPr>
          <w:rFonts w:ascii="Calibri" w:hAnsi="Calibri" w:cs="Calibri"/>
          <w:snapToGrid/>
          <w:sz w:val="24"/>
          <w:szCs w:val="24"/>
        </w:rPr>
        <w:fldChar w:fldCharType="end"/>
      </w:r>
      <w:r w:rsidRPr="002A7128">
        <w:rPr>
          <w:rFonts w:ascii="Calibri" w:hAnsi="Calibri" w:cs="Calibri"/>
          <w:snapToGrid/>
          <w:sz w:val="24"/>
          <w:szCs w:val="24"/>
        </w:rPr>
        <w:t>, which is important in monitoring morphology and size.</w:t>
      </w:r>
      <w:r w:rsidRPr="002A7128">
        <w:rPr>
          <w:rFonts w:ascii="Calibri" w:hAnsi="Calibri" w:cs="Calibri"/>
          <w:sz w:val="24"/>
          <w:szCs w:val="24"/>
        </w:rPr>
        <w:t xml:space="preserve"> </w:t>
      </w:r>
    </w:p>
    <w:p w14:paraId="135EE5B2" w14:textId="77777777" w:rsidR="00EB6F8B" w:rsidRPr="002A7128" w:rsidRDefault="00EB6F8B" w:rsidP="00F675B4">
      <w:pPr>
        <w:pStyle w:val="MDPI31text"/>
        <w:spacing w:line="480" w:lineRule="auto"/>
        <w:ind w:firstLine="0"/>
        <w:rPr>
          <w:rFonts w:ascii="Calibri" w:hAnsi="Calibri" w:cs="Calibri"/>
          <w:sz w:val="24"/>
          <w:szCs w:val="24"/>
        </w:rPr>
      </w:pPr>
    </w:p>
    <w:p w14:paraId="477B590A" w14:textId="4510A973" w:rsidR="000711C0" w:rsidRPr="002A7128" w:rsidRDefault="000711C0">
      <w:pPr>
        <w:pStyle w:val="Heading2"/>
        <w:numPr>
          <w:ilvl w:val="3"/>
          <w:numId w:val="9"/>
        </w:numPr>
        <w:spacing w:line="480" w:lineRule="auto"/>
        <w:rPr>
          <w:rFonts w:ascii="Calibri" w:hAnsi="Calibri" w:cs="Calibri"/>
        </w:rPr>
      </w:pPr>
      <w:bookmarkStart w:id="140" w:name="_Toc120794192"/>
      <w:r w:rsidRPr="002A7128">
        <w:rPr>
          <w:rFonts w:ascii="Calibri" w:hAnsi="Calibri" w:cs="Calibri"/>
        </w:rPr>
        <w:t>Magnetic Levitation Technique</w:t>
      </w:r>
      <w:bookmarkEnd w:id="140"/>
    </w:p>
    <w:p w14:paraId="6213B8E3" w14:textId="1ECE354C" w:rsidR="000711C0" w:rsidRPr="002A7128" w:rsidRDefault="000711C0" w:rsidP="00F675B4">
      <w:pPr>
        <w:pStyle w:val="MDPI31text"/>
        <w:spacing w:after="240" w:line="480" w:lineRule="auto"/>
        <w:ind w:firstLine="0"/>
        <w:rPr>
          <w:rFonts w:ascii="Calibri" w:hAnsi="Calibri" w:cs="Calibri"/>
          <w:sz w:val="24"/>
          <w:szCs w:val="24"/>
        </w:rPr>
      </w:pPr>
      <w:r w:rsidRPr="002A7128">
        <w:rPr>
          <w:rFonts w:ascii="Calibri" w:hAnsi="Calibri" w:cs="Calibri"/>
          <w:sz w:val="24"/>
          <w:szCs w:val="24"/>
        </w:rPr>
        <w:t xml:space="preserve">The magnetic levitation technique enables cells to form MCTS through applying magnetic field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{"citationID":"J13rk5MC","properties":{"formattedCitation":"\\super 248\\nosupersub{}","plainCitation":"248","noteIndex":0},"citationItems":[{"id":"wiida5Bo/9sIwHcif","uris":["http://zotero.org/users/local/91fNc9yk/items/Z8452RK4"],"itemData":{"id":653,"type":"article-journal","container-title":"Nature Nanotechnology","DOI":"10.1038/nnano.2010.23","ISSN":"1748-3387, 1748-3395","issue":"4","journalAbbreviation":"Nature Nanotech","language":"en","page":"291-296","source":"DOI.org (Crossref)","title":"Three-dimensional tissue culture based on magnetic cell levitation","volume":"5","author":[{"family":"Souza","given":"Glauco R."},{"family":"Molina","given":"Jennifer R."},{"family":"Raphael","given":"Robert M."},{"family":"Ozawa","given":"Michael G."},{"family":"Stark","given":"Daniel J."},{"family":"Levin","given":"Carly S."},{"family":"Bronk","given":"Lawrence F."},{"family":"Ananta","given":"Jeyarama S."},{"family":"Mandelin","given":"Jami"},{"family":"Georgescu","given":"Maria-Magdalena"},{"family":"Bankson","given":"James A."},{"family":"Gelovani","given":"Juri G."},{"family":"Killian","given":"T. C."},{"family":"Arap","given":"Wadih"},{"family":"Pasqualini","given":"Renata"}],"issued":{"date-parts":[["2010",4]]}}}],"schema":"https://github.com/citation-style-language/schema/raw/master/csl-citation.json"}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248</w:t>
      </w:r>
      <w:r w:rsidRPr="002A7128">
        <w:rPr>
          <w:rFonts w:ascii="Calibri" w:hAnsi="Calibri" w:cs="Calibri"/>
          <w:sz w:val="24"/>
          <w:szCs w:val="24"/>
        </w:rPr>
        <w:fldChar w:fldCharType="end"/>
      </w:r>
      <w:r w:rsidRPr="002A7128">
        <w:rPr>
          <w:rFonts w:ascii="Calibri" w:hAnsi="Calibri" w:cs="Calibri"/>
          <w:sz w:val="24"/>
          <w:szCs w:val="24"/>
        </w:rPr>
        <w:t xml:space="preserve">. Prior to magnetic force application, cells of interest are loaded with magnetic nanoparticles and application of magnetic force to draw cells together facilitates cell-cell adhesion and subsequently MCTS formation </w:t>
      </w:r>
      <w:r w:rsidRPr="002A7128">
        <w:rPr>
          <w:rFonts w:ascii="Calibri" w:hAnsi="Calibri" w:cs="Calibri"/>
          <w:b/>
          <w:bCs/>
          <w:sz w:val="24"/>
          <w:szCs w:val="24"/>
        </w:rPr>
        <w:t>(</w:t>
      </w:r>
      <w:r w:rsidR="009D125F" w:rsidRPr="002A7128">
        <w:rPr>
          <w:rFonts w:ascii="Calibri" w:hAnsi="Calibri" w:cs="Calibri"/>
          <w:b/>
          <w:bCs/>
          <w:sz w:val="24"/>
          <w:szCs w:val="24"/>
        </w:rPr>
        <w:fldChar w:fldCharType="begin"/>
      </w:r>
      <w:r w:rsidR="009D125F" w:rsidRPr="002A7128">
        <w:rPr>
          <w:rFonts w:ascii="Calibri" w:hAnsi="Calibri" w:cs="Calibri"/>
          <w:b/>
          <w:bCs/>
          <w:sz w:val="24"/>
          <w:szCs w:val="24"/>
        </w:rPr>
        <w:instrText xml:space="preserve"> REF _Ref103518786  \* MERGEFORMAT </w:instrText>
      </w:r>
      <w:r w:rsidR="009D125F" w:rsidRPr="002A7128">
        <w:rPr>
          <w:rFonts w:ascii="Calibri" w:hAnsi="Calibri" w:cs="Calibri"/>
          <w:b/>
          <w:bCs/>
          <w:sz w:val="24"/>
          <w:szCs w:val="24"/>
        </w:rPr>
        <w:fldChar w:fldCharType="separate"/>
      </w:r>
      <w:r w:rsidR="007D711E" w:rsidRPr="002A7128">
        <w:rPr>
          <w:rFonts w:ascii="Calibri" w:hAnsi="Calibri" w:cs="Calibri"/>
          <w:b/>
          <w:bCs/>
          <w:color w:val="000000" w:themeColor="text1"/>
          <w:sz w:val="24"/>
          <w:szCs w:val="24"/>
        </w:rPr>
        <w:t xml:space="preserve">Figure </w:t>
      </w:r>
      <w:r w:rsidR="007D711E" w:rsidRPr="002A7128">
        <w:rPr>
          <w:rFonts w:ascii="Calibri" w:hAnsi="Calibri" w:cs="Calibri"/>
          <w:b/>
          <w:bCs/>
          <w:noProof/>
          <w:color w:val="000000" w:themeColor="text1"/>
          <w:sz w:val="24"/>
          <w:szCs w:val="24"/>
        </w:rPr>
        <w:t>23</w:t>
      </w:r>
      <w:r w:rsidR="009D125F" w:rsidRPr="002A7128">
        <w:rPr>
          <w:rFonts w:ascii="Calibri" w:hAnsi="Calibri" w:cs="Calibri"/>
          <w:b/>
          <w:bCs/>
          <w:sz w:val="24"/>
          <w:szCs w:val="24"/>
        </w:rPr>
        <w:fldChar w:fldCharType="end"/>
      </w:r>
      <w:r w:rsidR="009D125F" w:rsidRPr="002A7128">
        <w:rPr>
          <w:rFonts w:ascii="Calibri" w:hAnsi="Calibri" w:cs="Calibri"/>
          <w:b/>
          <w:bCs/>
          <w:sz w:val="24"/>
          <w:szCs w:val="24"/>
        </w:rPr>
        <w:t>D</w:t>
      </w:r>
      <w:r w:rsidRPr="002A7128">
        <w:rPr>
          <w:rFonts w:ascii="Calibri" w:hAnsi="Calibri" w:cs="Calibri"/>
          <w:b/>
          <w:bCs/>
          <w:sz w:val="24"/>
          <w:szCs w:val="24"/>
        </w:rPr>
        <w:t>)</w:t>
      </w:r>
      <w:r w:rsidRPr="002A7128">
        <w:rPr>
          <w:rFonts w:ascii="Calibri" w:hAnsi="Calibri" w:cs="Calibri"/>
          <w:sz w:val="24"/>
          <w:szCs w:val="24"/>
        </w:rPr>
        <w:t xml:space="preserve">. In addition to forming tumor models </w:t>
      </w:r>
      <w:r w:rsidRPr="002A7128">
        <w:rPr>
          <w:rFonts w:ascii="Calibri" w:hAnsi="Calibri" w:cs="Calibri"/>
          <w:sz w:val="24"/>
          <w:szCs w:val="24"/>
        </w:rPr>
        <w:fldChar w:fldCharType="begin"/>
      </w:r>
      <w:r w:rsidR="00A64B61" w:rsidRPr="002A7128">
        <w:rPr>
          <w:rFonts w:ascii="Calibri" w:hAnsi="Calibri" w:cs="Calibri"/>
          <w:sz w:val="24"/>
          <w:szCs w:val="24"/>
        </w:rPr>
        <w:instrText xml:space="preserve"> ADDIN ZOTERO_ITEM CSL_CITATION {"citationID":"0pvEsMeb","properties":{"formattedCitation":"\\super 268\\nosupersub{}","plainCitation":"268","noteIndex":0},"citationItems":[{"id":684,"uris":["http://zotero.org/users/5797461/items/8V6D34A7"],"itemData":{"id":684,"type":"article-journal","container-title":"Scientific Reports","DOI":"10.1038/srep06468","ISSN":"2045-2322","issue":"1","journalAbbreviation":"Sci Rep","language":"en","page":"6468","source":"DOI.org (Crossref)","title":"Three-Dimensional In Vitro Co-Culture Model of Breast Tumor using Magnetic Levitation","URL":"http://www.nature.com/articles/srep06468","volume":"4","author":[{"family":"Jaganathan","given":"Hamsa"},{"family":"Gage","given":"Jacob"},{"family":"Leonard","given":"Fransisca"},{"family":"Srinivasan","given":"Srimeenakshi"},{"family":"Souza","given":"Glauco R."},{"family":"Dave","given":"Bhuvanesh"},{"family":"Godin","given":"Biana"}],"accessed":{"date-parts":[["2020",8,1]]},"issued":{"date-parts":[["2015",5]]},"citation-key":"jaganathanThreeDimensionalVitroCoCulture2015"}}],"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268</w:t>
      </w:r>
      <w:r w:rsidRPr="002A7128">
        <w:rPr>
          <w:rFonts w:ascii="Calibri" w:hAnsi="Calibri" w:cs="Calibri"/>
          <w:sz w:val="24"/>
          <w:szCs w:val="24"/>
        </w:rPr>
        <w:fldChar w:fldCharType="end"/>
      </w:r>
      <w:r w:rsidRPr="002A7128">
        <w:rPr>
          <w:rFonts w:ascii="Calibri" w:hAnsi="Calibri" w:cs="Calibri"/>
          <w:sz w:val="24"/>
          <w:szCs w:val="24"/>
        </w:rPr>
        <w:t xml:space="preserve">, it has also been used for adipose tissue </w:t>
      </w:r>
      <w:r w:rsidRPr="002A7128">
        <w:rPr>
          <w:rFonts w:ascii="Calibri" w:hAnsi="Calibri" w:cs="Calibri"/>
          <w:sz w:val="24"/>
          <w:szCs w:val="24"/>
        </w:rPr>
        <w:fldChar w:fldCharType="begin"/>
      </w:r>
      <w:r w:rsidR="00A64B61" w:rsidRPr="002A7128">
        <w:rPr>
          <w:rFonts w:ascii="Calibri" w:hAnsi="Calibri" w:cs="Calibri"/>
          <w:sz w:val="24"/>
          <w:szCs w:val="24"/>
        </w:rPr>
        <w:instrText xml:space="preserve"> ADDIN ZOTERO_ITEM CSL_CITATION {"citationID":"RTVmD7EK","properties":{"formattedCitation":"\\super 269\\nosupersub{}","plainCitation":"269","noteIndex":0},"citationItems":[{"id":686,"uris":["http://zotero.org/users/5797461/items/ISSP7ZGR"],"itemData":{"id":686,"type":"article-journal","container-title":"Tissue Engineering Part C: Methods","DOI":"10.1089/ten.tec.2012.0198","ISSN":"1937-3384, 1937-3392","issue":"5","journalAbbreviation":"Tissue Engineering Part C: Methods","language":"en","page":"336-344","source":"DOI.org (Crossref)","title":"Adipose Tissue Engineering in Three-Dimensional Levitation Tissue Culture System Based on Magnetic Nanoparticles","URL":"https://www.liebertpub.com/doi/10.1089/ten.tec.2012.0198","volume":"19","author":[{"family":"Daquinag","given":"Alexes C."},{"family":"Souza","given":"Glauco R."},{"family":"Kolonin","given":"Mikhail G."}],"accessed":{"date-parts":[["2020",8,1]]},"issued":{"date-parts":[["2013",5]]},"citation-key":"daquinagAdiposeTissueEngineering2013"}}],"schema":"https://github.com/citation-style-language/schema/raw/master/csl-citation.json"}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269</w:t>
      </w:r>
      <w:r w:rsidRPr="002A7128">
        <w:rPr>
          <w:rFonts w:ascii="Calibri" w:hAnsi="Calibri" w:cs="Calibri"/>
          <w:sz w:val="24"/>
          <w:szCs w:val="24"/>
        </w:rPr>
        <w:fldChar w:fldCharType="end"/>
      </w:r>
      <w:r w:rsidRPr="002A7128">
        <w:rPr>
          <w:rFonts w:ascii="Calibri" w:hAnsi="Calibri" w:cs="Calibri"/>
          <w:sz w:val="24"/>
          <w:szCs w:val="24"/>
        </w:rPr>
        <w:t xml:space="preserve"> and bronchiole culture </w:t>
      </w:r>
      <w:r w:rsidRPr="002A7128">
        <w:rPr>
          <w:rFonts w:ascii="Calibri" w:hAnsi="Calibri" w:cs="Calibri"/>
          <w:sz w:val="24"/>
          <w:szCs w:val="24"/>
        </w:rPr>
        <w:fldChar w:fldCharType="begin"/>
      </w:r>
      <w:r w:rsidR="00A64B61" w:rsidRPr="002A7128">
        <w:rPr>
          <w:rFonts w:ascii="Calibri" w:hAnsi="Calibri" w:cs="Calibri"/>
          <w:sz w:val="24"/>
          <w:szCs w:val="24"/>
        </w:rPr>
        <w:instrText xml:space="preserve"> ADDIN ZOTERO_ITEM CSL_CITATION {"citationID":"aFmd2VE6","properties":{"formattedCitation":"\\super 270\\nosupersub{}","plainCitation":"270","noteIndex":0},"citationItems":[{"id":688,"uris":["http://zotero.org/users/5797461/items/S4HDNKIW"],"itemData":{"id":688,"type":"article-journal","container-title":"Tissue Engineering Part C: Methods","DOI":"10.1089/ten.tec.2012.0157","ISSN":"1937-3384, 1937-3392","issue":"9","journalAbbreviation":"Tissue Engineering Part C: Methods","language":"en","page":"665-675","source":"DOI.org (Crossref)","title":"Assembly of a Three-Dimensional Multitype Bronchiole Coculture Model Using Magnetic Levitation","URL":"https://www.liebertpub.com/doi/10.1089/ten.tec.2012.0157","volume":"19","author":[{"family":"Tseng","given":"Hubert"},{"family":"Gage","given":"Jacob A."},{"family":"Raphael","given":"Robert M."},{"family":"Moore","given":"Robert H."},{"family":"Killian","given":"Thomas C."},{"family":"Grande-Allen","given":"K. Jane"},{"family":"Souza","given":"Glauco R."}],"accessed":{"date-parts":[["2020",8,1]]},"issued":{"date-parts":[["2013",9]]},"citation-key":"tsengAssemblyThreeDimensionalMultitype2013"}}],"schema":"https://github.com/citation-style-language/schema/raw/master/csl-citation.json"}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270</w:t>
      </w:r>
      <w:r w:rsidRPr="002A7128">
        <w:rPr>
          <w:rFonts w:ascii="Calibri" w:hAnsi="Calibri" w:cs="Calibri"/>
          <w:sz w:val="24"/>
          <w:szCs w:val="24"/>
        </w:rPr>
        <w:fldChar w:fldCharType="end"/>
      </w:r>
      <w:r w:rsidRPr="002A7128">
        <w:rPr>
          <w:rFonts w:ascii="Calibri" w:hAnsi="Calibri" w:cs="Calibri"/>
          <w:sz w:val="24"/>
          <w:szCs w:val="24"/>
        </w:rPr>
        <w:t xml:space="preserve">. The magnetic levitation technique, in addition to MCTS formation, also offers MCTS fusion; astrocyte MCTS and glioblastoma MCTS were fused within 12 hours by using this technique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{"citationID":"cy7i7ah9","properties":{"formattedCitation":"\\super 248\\nosupersub{}","plainCitation":"248","noteIndex":0},"citationItems":[{"id":"wiida5Bo/9sIwHcif","uris":["http://zotero.org/users/local/91fNc9yk/items/Z8452RK4"],"itemData":{"id":653,"type":"article-journal","container-title":"Nature Nanotechnology","DOI":"10.1038/nnano.2010.23","ISSN":"1748-3387, 1748-3395","issue":"4","journalAbbreviation":"Nature Nanotech","language":"en","page":"291-296","source":"DOI.org (Crossref)","title":"Three-dimensional tissue culture based on magnetic cell levitation","volume":"5","author":[{"family":"Souza","given":"Glauco R."},{"family":"Molina","given":"Jennifer R."},{"family":"Raphael","given":"Robert M."},{"family":"Ozawa","given":"Michael G."},{"family":"Stark","given":"Daniel J."},{"family":"Levin","given":"Carly S."},{"family":"Bronk","given":"Lawrence F."},{"family":"Ananta","given":"Jeyarama S."},{"family":"Mandelin","given":"Jami"},{"family":"Georgescu","given":"Maria-Magdalena"},{"family":"Bankson","given":"James A."},{"family":"Gelovani","given":"Juri G."},{"family":"Killian","given":"T. C."},{"family":"Arap","given":"Wadih"},{"family":"Pasqualini","given":"Renata"}],"issued":{"date-parts":[["2010",4]]}}}],"schema":"https://github.com/citation-style-language/schema/raw/master/csl-citation.json"}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248</w:t>
      </w:r>
      <w:r w:rsidRPr="002A7128">
        <w:rPr>
          <w:rFonts w:ascii="Calibri" w:hAnsi="Calibri" w:cs="Calibri"/>
          <w:sz w:val="24"/>
          <w:szCs w:val="24"/>
        </w:rPr>
        <w:fldChar w:fldCharType="end"/>
      </w:r>
      <w:r w:rsidRPr="002A7128">
        <w:rPr>
          <w:rFonts w:ascii="Calibri" w:hAnsi="Calibri" w:cs="Calibri"/>
          <w:sz w:val="24"/>
          <w:szCs w:val="24"/>
        </w:rPr>
        <w:t xml:space="preserve">. </w:t>
      </w:r>
      <w:bookmarkStart w:id="141" w:name="_Hlk53683625"/>
      <w:r w:rsidRPr="002A7128">
        <w:rPr>
          <w:rFonts w:ascii="Calibri" w:hAnsi="Calibri" w:cs="Calibri"/>
          <w:color w:val="000000" w:themeColor="text1"/>
          <w:sz w:val="24"/>
          <w:szCs w:val="24"/>
        </w:rPr>
        <w:t xml:space="preserve">Magnetic levitation offers a platform where MCTS are formed in a short period of time relative to other approaches (e.g. 24 hours for magnetic levitation compared to 7 days in Matrigel culture </w:t>
      </w:r>
      <w:r w:rsidRPr="002A7128">
        <w:rPr>
          <w:rFonts w:ascii="Calibri" w:hAnsi="Calibri" w:cs="Calibri"/>
          <w:color w:val="000000" w:themeColor="text1"/>
          <w:sz w:val="24"/>
          <w:szCs w:val="24"/>
        </w:rPr>
        <w:fldChar w:fldCharType="begin"/>
      </w:r>
      <w:r w:rsidR="00A64B61" w:rsidRPr="002A7128">
        <w:rPr>
          <w:rFonts w:ascii="Calibri" w:hAnsi="Calibri" w:cs="Calibri"/>
          <w:color w:val="000000" w:themeColor="text1"/>
          <w:sz w:val="24"/>
          <w:szCs w:val="24"/>
        </w:rPr>
        <w:instrText xml:space="preserve"> ADDIN ZOTERO_ITEM CSL_CITATION {"citationID":"oYUCK40i","properties":{"formattedCitation":"\\super 268\\nosupersub{}","plainCitation":"268","noteIndex":0},"citationItems":[{"id":684,"uris":["http://zotero.org/users/5797461/items/8V6D34A7"],"itemData":{"id":684,"type":"article-journal","container-title":"Scientific Reports","DOI":"10.1038/srep06468","ISSN":"2045-2322","issue":"1","journalAbbreviation":"Sci Rep","language":"en","page":"6468","source":"DOI.org (Crossref)","title":"Three-Dimensional In Vitro Co-Culture Model of Breast Tumor using Magnetic Levitation","URL":"http://www.nature.com/articles/srep06468","volume":"4","author":[{"family":"Jaganathan","given":"Hamsa"},{"family":"Gage","given":"Jacob"},{"family":"Leonard","given":"Fransisca"},{"family":"Srinivasan","given":"Srimeenakshi"},{"family":"Souza","given":"Glauco R."},{"family":"Dave","given":"Bhuvanesh"},{"family":"Godin","given":"Biana"}],"accessed":{"date-parts":[["2020",8,1]]},"issued":{"date-parts":[["2015",5]]},"citation-key":"jaganathanThreeDimensionalVitroCoCulture2015"}}],"schema":"https://github.com/citation-style-language/schema/raw/master/csl-citation.json"} </w:instrText>
      </w:r>
      <w:r w:rsidRPr="002A7128">
        <w:rPr>
          <w:rFonts w:ascii="Calibri" w:hAnsi="Calibri" w:cs="Calibri"/>
          <w:color w:val="000000" w:themeColor="text1"/>
          <w:sz w:val="24"/>
          <w:szCs w:val="24"/>
        </w:rPr>
        <w:fldChar w:fldCharType="separate"/>
      </w:r>
      <w:r w:rsidR="00A64B61" w:rsidRPr="002A7128">
        <w:rPr>
          <w:rFonts w:ascii="Calibri" w:hAnsi="Calibri" w:cs="Calibri"/>
          <w:sz w:val="24"/>
          <w:vertAlign w:val="superscript"/>
        </w:rPr>
        <w:t>268</w:t>
      </w:r>
      <w:r w:rsidRPr="002A7128">
        <w:rPr>
          <w:rFonts w:ascii="Calibri" w:hAnsi="Calibri" w:cs="Calibri"/>
          <w:color w:val="000000" w:themeColor="text1"/>
          <w:sz w:val="24"/>
          <w:szCs w:val="24"/>
        </w:rPr>
        <w:fldChar w:fldCharType="end"/>
      </w:r>
      <w:r w:rsidRPr="002A7128">
        <w:rPr>
          <w:rFonts w:ascii="Calibri" w:hAnsi="Calibri" w:cs="Calibri"/>
          <w:color w:val="000000" w:themeColor="text1"/>
          <w:sz w:val="24"/>
          <w:szCs w:val="24"/>
        </w:rPr>
        <w:t xml:space="preserve">), which allows faster imaging </w:t>
      </w:r>
      <w:r w:rsidRPr="002A7128">
        <w:rPr>
          <w:rFonts w:ascii="Calibri" w:hAnsi="Calibri" w:cs="Calibri"/>
          <w:color w:val="000000" w:themeColor="text1"/>
          <w:sz w:val="24"/>
          <w:szCs w:val="24"/>
        </w:rPr>
        <w:fldChar w:fldCharType="begin"/>
      </w:r>
      <w:r w:rsidR="00317E7D" w:rsidRPr="002A7128">
        <w:rPr>
          <w:rFonts w:ascii="Calibri" w:hAnsi="Calibri" w:cs="Calibri"/>
          <w:color w:val="000000" w:themeColor="text1"/>
          <w:sz w:val="24"/>
          <w:szCs w:val="24"/>
        </w:rPr>
        <w:instrText xml:space="preserve"> ADDIN ZOTERO_ITEM CSL_CITATION {"citationID":"zsd0ZMkL","properties":{"formattedCitation":"\\super 271\\nosupersub{}","plainCitation":"271","noteIndex":0},"citationItems":[{"id":"wiida5Bo/aKUYOp1N","uris":["http://zotero.org/users/local/PVfTvcvz/items/LBDTTQ9P"],"itemData":{"id":776,"type":"article-journal","abstract":"Multicellular spheroids are an established system for three-dimensional cell culture. Spheroids are typically generated using hanging drop or non-adherent culture; however, an emerging technique is to use magnetic levitation. Herein, mesenchymal stem cell spheroids were generated using magnetic nanoparticles and subsequently cultured within a type I collagen gel, with a view towards developing a bone marrow niche environment. Cells were loaded with magnetic nanoparticles, and suspended beneath an external magnet, inducing self-assembly of multicellular spheroids. Cells in spheroids were viable and compared to corresponding monolayer controls, maintained stem cell phenotype and were quiescent. Interestingly, core spheroid necrosis was not observed, even with increasing spheroid size, in contrast to other commonly used spheroid systems. This mesenchymal stem cell spheroid culture presents a potential platform for modelling in vitro bone marrow stem cell niches, elucidating interactions between cells, as well as a useful model for drug delivery studies.","container-title":"Journal of Tissue Engineering","DOI":"10.1177/2041731417704428","ISSN":"2041-7314","journalAbbreviation":"J Tissue Eng","note":"PMID: 28616152\nPMCID: PMC5460809","source":"PubMed Central","title":"Magnetically levitated mesenchymal stem cell spheroids cultured with a collagen gel maintain phenotype and quiescence","URL":"https://www.ncbi.nlm.nih.gov/pmc/articles/PMC5460809/","volume":"8","author":[{"family":"Lewis","given":"Natasha S"},{"family":"Lewis","given":"Emily EL"},{"family":"Mullin","given":"Margaret"},{"family":"Wheadon","given":"Helen"},{"family":"Dalby","given":"Matthew J"},{"family":"Berry","given":"Catherine C"}],"accessed":{"date-parts":[["2020",10,10]]},"issued":{"date-parts":[["2017",4,24]]}}}],"schema":"https://github.com/citation-style-language/schema/raw/master/csl-citation.json"} </w:instrText>
      </w:r>
      <w:r w:rsidRPr="002A7128">
        <w:rPr>
          <w:rFonts w:ascii="Calibri" w:hAnsi="Calibri" w:cs="Calibri"/>
          <w:color w:val="000000" w:themeColor="text1"/>
          <w:sz w:val="24"/>
          <w:szCs w:val="24"/>
        </w:rPr>
        <w:fldChar w:fldCharType="separate"/>
      </w:r>
      <w:r w:rsidR="00A64B61" w:rsidRPr="002A7128">
        <w:rPr>
          <w:rFonts w:ascii="Calibri" w:hAnsi="Calibri" w:cs="Calibri"/>
          <w:sz w:val="24"/>
          <w:vertAlign w:val="superscript"/>
        </w:rPr>
        <w:t>271</w:t>
      </w:r>
      <w:r w:rsidRPr="002A7128">
        <w:rPr>
          <w:rFonts w:ascii="Calibri" w:hAnsi="Calibri" w:cs="Calibri"/>
          <w:color w:val="000000" w:themeColor="text1"/>
          <w:sz w:val="24"/>
          <w:szCs w:val="24"/>
        </w:rPr>
        <w:fldChar w:fldCharType="end"/>
      </w:r>
      <w:r w:rsidRPr="002A7128">
        <w:rPr>
          <w:rFonts w:ascii="Calibri" w:hAnsi="Calibri" w:cs="Calibri"/>
          <w:color w:val="000000" w:themeColor="text1"/>
          <w:sz w:val="24"/>
          <w:szCs w:val="24"/>
        </w:rPr>
        <w:t>.</w:t>
      </w:r>
      <w:r w:rsidRPr="002A7128">
        <w:rPr>
          <w:rFonts w:ascii="Calibri" w:hAnsi="Calibri" w:cs="Calibri"/>
          <w:sz w:val="24"/>
          <w:szCs w:val="24"/>
        </w:rPr>
        <w:t xml:space="preserve"> </w:t>
      </w:r>
      <w:bookmarkEnd w:id="141"/>
      <w:r w:rsidRPr="002A7128">
        <w:rPr>
          <w:rFonts w:ascii="Calibri" w:hAnsi="Calibri" w:cs="Calibri"/>
          <w:sz w:val="24"/>
          <w:szCs w:val="24"/>
        </w:rPr>
        <w:t xml:space="preserve">It must be considered that, even though magnetic nanoparticles have been shown not to affect cell behavior or an inflammatory response within 30-500 G magnetic field </w:t>
      </w:r>
      <w:r w:rsidRPr="002A7128">
        <w:rPr>
          <w:rFonts w:ascii="Calibri" w:hAnsi="Calibri" w:cs="Calibri"/>
          <w:sz w:val="24"/>
          <w:szCs w:val="24"/>
        </w:rPr>
        <w:fldChar w:fldCharType="begin"/>
      </w:r>
      <w:r w:rsidR="00317E7D" w:rsidRPr="002A7128">
        <w:rPr>
          <w:rFonts w:ascii="Calibri" w:hAnsi="Calibri" w:cs="Calibri"/>
          <w:sz w:val="24"/>
          <w:szCs w:val="24"/>
        </w:rPr>
        <w:instrText xml:space="preserve"> ADDIN ZOTERO_ITEM CSL_CITATION {"citationID":"Mvj55n7v","properties":{"formattedCitation":"\\super 248,270\\nosupersub{}","plainCitation":"248,270","noteIndex":0},"citationItems":[{"id":"wiida5Bo/9sIwHcif","uris":["http://zotero.org/users/local/91fNc9yk/items/Z8452RK4"],"itemData":{"id":653,"type":"article-journal","container-title":"Nature Nanotechnology","DOI":"10.1038/nnano.2010.23","ISSN":"1748-3387, 1748-3395","issue":"4","journalAbbreviation":"Nature Nanotech","language":"en","page":"291-296","source":"DOI.org (Crossref)","title":"Three-dimensional tissue culture based on magnetic cell levitation","volume":"5","author":[{"family":"Souza","given":"Glauco R."},{"family":"Molina","given":"Jennifer R."},{"family":"Raphael","given":"Robert M."},{"family":"Ozawa","given":"Michael G."},{"family":"Stark","given":"Daniel J."},{"family":"Levin","given":"Carly S."},{"family":"Bronk","given":"Lawrence F."},{"family":"Ananta","given":"Jeyarama S."},{"family":"Mandelin","given":"Jami"},{"family":"Georgescu","given":"Maria-Magdalena"},{"family":"Bankson","given":"James A."},{"family":"Gelovani","given":"Juri G."},{"family":"Killian","given":"T. C."},{"family":"Arap","given":"Wadih"},{"family":"Pasqualini","given":"Renata"}],"issued":{"date-parts":[["2010",4]]}}},{"id":688,"uris":["http://zotero.org/users/5797461/items/S4HDNKIW"],"itemData":{"id":688,"type":"article-journal","container-title":"Tissue Engineering Part C: Methods","DOI":"10.1089/ten.tec.2012.0157","ISSN":"1937-3384, 1937-3392","issue":"9","journalAbbreviation":"Tissue Engineering Part C: Methods","language":"en","page":"665-675","source":"DOI.org (Crossref)","title":"Assembly of a Three-Dimensional Multitype Bronchiole Coculture Model Using Magnetic Levitation","URL":"https://www.liebertpub.com/doi/10.1089/ten.tec.2012.0157","volume":"19","author":[{"family":"Tseng","given":"Hubert"},{"family":"Gage","given":"Jacob A."},{"family":"Raphael","given":"Robert M."},{"family":"Moore","given":"Robert H."},{"family":"Killian","given":"Thomas C."},{"family":"Grande-Allen","given":"K. Jane"},{"family":"Souza","given":"Glauco R."}],"accessed":{"date-parts":[["2020",8,1]]},"issued":{"date-parts":[["2013",9]]},"citation-key":"tsengAssemblyThreeDimensionalMultitype2013"}}],"schema":"https://github.com/citation-style-language/schema/raw/master/csl-citation.json"}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248,270</w:t>
      </w:r>
      <w:r w:rsidRPr="002A7128">
        <w:rPr>
          <w:rFonts w:ascii="Calibri" w:hAnsi="Calibri" w:cs="Calibri"/>
          <w:sz w:val="24"/>
          <w:szCs w:val="24"/>
        </w:rPr>
        <w:fldChar w:fldCharType="end"/>
      </w:r>
      <w:r w:rsidRPr="002A7128">
        <w:rPr>
          <w:rFonts w:ascii="Calibri" w:hAnsi="Calibri" w:cs="Calibri"/>
          <w:sz w:val="24"/>
          <w:szCs w:val="24"/>
        </w:rPr>
        <w:t xml:space="preserve">, a higher magnetic field (800-400 G) has been shown to affect cell behavior </w:t>
      </w:r>
      <w:r w:rsidRPr="002A7128">
        <w:rPr>
          <w:rFonts w:ascii="Calibri" w:hAnsi="Calibri" w:cs="Calibri"/>
          <w:sz w:val="24"/>
          <w:szCs w:val="24"/>
        </w:rPr>
        <w:fldChar w:fldCharType="begin"/>
      </w:r>
      <w:r w:rsidR="00A64B61" w:rsidRPr="002A7128">
        <w:rPr>
          <w:rFonts w:ascii="Calibri" w:hAnsi="Calibri" w:cs="Calibri"/>
          <w:sz w:val="24"/>
          <w:szCs w:val="24"/>
        </w:rPr>
        <w:instrText xml:space="preserve"> ADDIN ZOTERO_ITEM CSL_CITATION {"citationID":"jglh744f","properties":{"formattedCitation":"\\super 272\\nosupersub{}","plainCitation":"272","noteIndex":0},"citationItems":[{"id":692,"uris":["http://zotero.org/users/5797461/items/JU7F2PQW"],"itemData":{"id":692,"type":"article-journal","container-title":"Bioelectromagnetics","DOI":"10.1002/bem.20501","ISSN":"01978462, 1521186X","issue":"6","journalAbbreviation":"Bioelectromagnetics","language":"en","page":"446-453","source":"DOI.org (Crossref)","title":"Inhibitory effects of a gradient static magnetic field on normal angiogenesis","URL":"http://doi.wiley.com/10.1002/bem.20501","volume":"30","author":[{"family":"Wang","given":"Zhe"},{"family":"Yang","given":"Pengfei"},{"family":"Xu","given":"Huiyun"},{"family":"Qian","given":"Airong"},{"family":"Hu","given":"Lifang"},{"family":"Shang","given":"Peng"}],"accessed":{"date-parts":[["2020",8,2]]},"issued":{"date-parts":[["2009",9]]},"citation-key":"wangInhibitoryEffectsGradient2009"}}],"schema":"https://github.com/citation-style-language/schema/raw/master/csl-citation.json"} </w:instrText>
      </w:r>
      <w:r w:rsidRPr="002A7128">
        <w:rPr>
          <w:rFonts w:ascii="Calibri" w:hAnsi="Calibri" w:cs="Calibri"/>
          <w:sz w:val="24"/>
          <w:szCs w:val="24"/>
        </w:rPr>
        <w:fldChar w:fldCharType="separate"/>
      </w:r>
      <w:r w:rsidR="00A64B61" w:rsidRPr="002A7128">
        <w:rPr>
          <w:rFonts w:ascii="Calibri" w:hAnsi="Calibri" w:cs="Calibri"/>
          <w:sz w:val="24"/>
          <w:vertAlign w:val="superscript"/>
        </w:rPr>
        <w:t>272</w:t>
      </w:r>
      <w:r w:rsidRPr="002A7128">
        <w:rPr>
          <w:rFonts w:ascii="Calibri" w:hAnsi="Calibri" w:cs="Calibri"/>
          <w:sz w:val="24"/>
          <w:szCs w:val="24"/>
        </w:rPr>
        <w:fldChar w:fldCharType="end"/>
      </w:r>
      <w:r w:rsidRPr="002A7128">
        <w:rPr>
          <w:rFonts w:ascii="Calibri" w:hAnsi="Calibri" w:cs="Calibri"/>
          <w:sz w:val="24"/>
          <w:szCs w:val="24"/>
        </w:rPr>
        <w:t xml:space="preserve">. </w:t>
      </w:r>
    </w:p>
    <w:p w14:paraId="31FB533E" w14:textId="77777777" w:rsidR="00AC547B" w:rsidRPr="002A7128" w:rsidRDefault="000711C0" w:rsidP="00F675B4">
      <w:pPr>
        <w:pStyle w:val="MDPI52figure"/>
        <w:keepNext/>
        <w:spacing w:line="480" w:lineRule="auto"/>
        <w:rPr>
          <w:rFonts w:ascii="Calibri" w:hAnsi="Calibri" w:cs="Calibri"/>
        </w:rPr>
      </w:pPr>
      <w:r w:rsidRPr="002A7128">
        <w:rPr>
          <w:rFonts w:ascii="Calibri" w:hAnsi="Calibri" w:cs="Calibri"/>
          <w:noProof/>
          <w:lang w:eastAsia="zh-CN" w:bidi="ar-SA"/>
        </w:rPr>
        <w:lastRenderedPageBreak/>
        <w:drawing>
          <wp:inline distT="0" distB="0" distL="0" distR="0" wp14:anchorId="24E2F1D5" wp14:editId="31643512">
            <wp:extent cx="5556515" cy="2910846"/>
            <wp:effectExtent l="0" t="0" r="6350" b="3810"/>
            <wp:docPr id="13" name="Picture 13" descr="A picture containing monitor, screen, room,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monitor, screen, room, window&#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56515" cy="2910846"/>
                    </a:xfrm>
                    <a:prstGeom prst="rect">
                      <a:avLst/>
                    </a:prstGeom>
                  </pic:spPr>
                </pic:pic>
              </a:graphicData>
            </a:graphic>
          </wp:inline>
        </w:drawing>
      </w:r>
    </w:p>
    <w:p w14:paraId="1A8D5EC7" w14:textId="4121C13C" w:rsidR="000711C0" w:rsidRPr="002A7128" w:rsidRDefault="00AC547B" w:rsidP="002A45FA">
      <w:pPr>
        <w:pStyle w:val="Caption"/>
        <w:spacing w:line="480" w:lineRule="auto"/>
        <w:jc w:val="both"/>
        <w:rPr>
          <w:rFonts w:ascii="Calibri" w:hAnsi="Calibri" w:cs="Calibri"/>
          <w:i w:val="0"/>
          <w:iCs w:val="0"/>
          <w:color w:val="000000" w:themeColor="text1"/>
          <w:sz w:val="24"/>
          <w:szCs w:val="24"/>
          <w:u w:val="single"/>
        </w:rPr>
      </w:pPr>
      <w:bookmarkStart w:id="142" w:name="_Ref103518786"/>
      <w:bookmarkStart w:id="143" w:name="_Toc120789441"/>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23</w:t>
      </w:r>
      <w:r w:rsidRPr="002A7128">
        <w:rPr>
          <w:rFonts w:ascii="Calibri" w:hAnsi="Calibri" w:cs="Calibri"/>
          <w:b/>
          <w:bCs/>
          <w:i w:val="0"/>
          <w:iCs w:val="0"/>
          <w:color w:val="000000" w:themeColor="text1"/>
          <w:sz w:val="24"/>
          <w:szCs w:val="24"/>
        </w:rPr>
        <w:fldChar w:fldCharType="end"/>
      </w:r>
      <w:bookmarkEnd w:id="142"/>
      <w:r w:rsidRPr="002A7128">
        <w:rPr>
          <w:rFonts w:ascii="Calibri" w:hAnsi="Calibri" w:cs="Calibri"/>
          <w:b/>
          <w:bCs/>
          <w:i w:val="0"/>
          <w:iCs w:val="0"/>
          <w:color w:val="000000" w:themeColor="text1"/>
          <w:sz w:val="24"/>
          <w:szCs w:val="24"/>
        </w:rPr>
        <w:t xml:space="preserve"> </w:t>
      </w:r>
      <w:r w:rsidRPr="002A7128">
        <w:rPr>
          <w:rFonts w:ascii="Calibri" w:hAnsi="Calibri" w:cs="Calibri"/>
          <w:b/>
          <w:bCs/>
          <w:i w:val="0"/>
          <w:iCs w:val="0"/>
          <w:snapToGrid w:val="0"/>
          <w:color w:val="000000" w:themeColor="text1"/>
          <w:sz w:val="24"/>
          <w:szCs w:val="24"/>
        </w:rPr>
        <w:t>Matrix-free formation techniques.</w:t>
      </w:r>
      <w:r w:rsidRPr="002A7128">
        <w:rPr>
          <w:rFonts w:ascii="Calibri" w:hAnsi="Calibri" w:cs="Calibri"/>
          <w:i w:val="0"/>
          <w:iCs w:val="0"/>
          <w:snapToGrid w:val="0"/>
          <w:color w:val="000000" w:themeColor="text1"/>
          <w:sz w:val="24"/>
          <w:szCs w:val="24"/>
        </w:rPr>
        <w:t xml:space="preserve"> A) In the liquid overlay technique, cells are seeded onto a surface that prevents adhesion, encouraging cell-cell adhesion. B) In the hanging drop technique, cells are suspended in drops from the underside of a culture plate lid. C) In the spinner flask technique, rotational motion encourages cell-cell adhesion. D) In the magnetic levitation technique, cells take in magnetic nanoparticles and are aggregated by magnetic force.</w:t>
      </w:r>
      <w:bookmarkEnd w:id="143"/>
    </w:p>
    <w:p w14:paraId="22A2B789" w14:textId="24CFF958" w:rsidR="000711C0" w:rsidRPr="002A7128" w:rsidRDefault="00757770">
      <w:pPr>
        <w:pStyle w:val="Heading2"/>
        <w:numPr>
          <w:ilvl w:val="1"/>
          <w:numId w:val="9"/>
        </w:numPr>
        <w:spacing w:line="480" w:lineRule="auto"/>
        <w:rPr>
          <w:rFonts w:ascii="Calibri" w:hAnsi="Calibri" w:cs="Calibri"/>
          <w:u w:val="single"/>
        </w:rPr>
      </w:pPr>
      <w:bookmarkStart w:id="144" w:name="_Toc120794193"/>
      <w:r w:rsidRPr="002A7128">
        <w:rPr>
          <w:rFonts w:ascii="Calibri" w:eastAsia="Times New Roman" w:hAnsi="Calibri" w:cs="Calibri"/>
          <w:shd w:val="clear" w:color="auto" w:fill="FFFFFF"/>
        </w:rPr>
        <w:t>The effects of size and shape of the ovarian cancer spheroids on the drug resistance and migration</w:t>
      </w:r>
      <w:bookmarkEnd w:id="144"/>
    </w:p>
    <w:p w14:paraId="5767B8A4" w14:textId="77777777" w:rsidR="000711C0" w:rsidRPr="002A7128" w:rsidRDefault="000711C0" w:rsidP="00F675B4">
      <w:pPr>
        <w:spacing w:line="480" w:lineRule="auto"/>
        <w:rPr>
          <w:rFonts w:ascii="Calibri" w:hAnsi="Calibri" w:cs="Calibri"/>
          <w:color w:val="000000" w:themeColor="text1"/>
        </w:rPr>
      </w:pPr>
      <w:r w:rsidRPr="002A7128">
        <w:rPr>
          <w:rFonts w:ascii="Calibri" w:hAnsi="Calibri" w:cs="Calibri"/>
          <w:color w:val="000000" w:themeColor="text1"/>
        </w:rPr>
        <w:t xml:space="preserve">This study is published, and citation key is the following: </w:t>
      </w:r>
    </w:p>
    <w:p w14:paraId="41235C6C" w14:textId="463C839E" w:rsidR="000711C0" w:rsidRPr="002A7128" w:rsidRDefault="000711C0" w:rsidP="00F675B4">
      <w:pPr>
        <w:spacing w:line="480" w:lineRule="auto"/>
        <w:jc w:val="both"/>
        <w:rPr>
          <w:rFonts w:ascii="Calibri" w:hAnsi="Calibri" w:cs="Calibri"/>
          <w:color w:val="000000" w:themeColor="text1"/>
        </w:rPr>
      </w:pPr>
      <w:proofErr w:type="spellStart"/>
      <w:r w:rsidRPr="002A7128">
        <w:rPr>
          <w:rFonts w:ascii="Calibri" w:hAnsi="Calibri" w:cs="Calibri"/>
          <w:color w:val="000000" w:themeColor="text1"/>
          <w:shd w:val="clear" w:color="auto" w:fill="FFFFFF"/>
        </w:rPr>
        <w:t>Gunay</w:t>
      </w:r>
      <w:proofErr w:type="spellEnd"/>
      <w:r w:rsidRPr="002A7128">
        <w:rPr>
          <w:rFonts w:ascii="Calibri" w:hAnsi="Calibri" w:cs="Calibri"/>
          <w:color w:val="000000" w:themeColor="text1"/>
          <w:shd w:val="clear" w:color="auto" w:fill="FFFFFF"/>
        </w:rPr>
        <w:t xml:space="preserve">, </w:t>
      </w:r>
      <w:proofErr w:type="spellStart"/>
      <w:r w:rsidRPr="002A7128">
        <w:rPr>
          <w:rFonts w:ascii="Calibri" w:hAnsi="Calibri" w:cs="Calibri"/>
          <w:color w:val="000000" w:themeColor="text1"/>
          <w:shd w:val="clear" w:color="auto" w:fill="FFFFFF"/>
        </w:rPr>
        <w:t>Gokhan</w:t>
      </w:r>
      <w:proofErr w:type="spellEnd"/>
      <w:r w:rsidRPr="002A7128">
        <w:rPr>
          <w:rFonts w:ascii="Calibri" w:hAnsi="Calibri" w:cs="Calibri"/>
          <w:color w:val="000000" w:themeColor="text1"/>
          <w:shd w:val="clear" w:color="auto" w:fill="FFFFFF"/>
        </w:rPr>
        <w:t xml:space="preserve">, </w:t>
      </w:r>
      <w:proofErr w:type="spellStart"/>
      <w:r w:rsidRPr="002A7128">
        <w:rPr>
          <w:rFonts w:ascii="Calibri" w:hAnsi="Calibri" w:cs="Calibri"/>
          <w:color w:val="000000" w:themeColor="text1"/>
          <w:shd w:val="clear" w:color="auto" w:fill="FFFFFF"/>
        </w:rPr>
        <w:t>Hande</w:t>
      </w:r>
      <w:proofErr w:type="spellEnd"/>
      <w:r w:rsidRPr="002A7128">
        <w:rPr>
          <w:rFonts w:ascii="Calibri" w:hAnsi="Calibri" w:cs="Calibri"/>
          <w:color w:val="000000" w:themeColor="text1"/>
          <w:shd w:val="clear" w:color="auto" w:fill="FFFFFF"/>
        </w:rPr>
        <w:t xml:space="preserve"> A. </w:t>
      </w:r>
      <w:proofErr w:type="spellStart"/>
      <w:r w:rsidRPr="002A7128">
        <w:rPr>
          <w:rFonts w:ascii="Calibri" w:hAnsi="Calibri" w:cs="Calibri"/>
          <w:color w:val="000000" w:themeColor="text1"/>
          <w:shd w:val="clear" w:color="auto" w:fill="FFFFFF"/>
        </w:rPr>
        <w:t>Kirit</w:t>
      </w:r>
      <w:proofErr w:type="spellEnd"/>
      <w:r w:rsidRPr="002A7128">
        <w:rPr>
          <w:rFonts w:ascii="Calibri" w:hAnsi="Calibri" w:cs="Calibri"/>
          <w:color w:val="000000" w:themeColor="text1"/>
          <w:shd w:val="clear" w:color="auto" w:fill="FFFFFF"/>
        </w:rPr>
        <w:t xml:space="preserve">, Advika </w:t>
      </w:r>
      <w:proofErr w:type="spellStart"/>
      <w:r w:rsidRPr="002A7128">
        <w:rPr>
          <w:rFonts w:ascii="Calibri" w:hAnsi="Calibri" w:cs="Calibri"/>
          <w:color w:val="000000" w:themeColor="text1"/>
          <w:shd w:val="clear" w:color="auto" w:fill="FFFFFF"/>
        </w:rPr>
        <w:t>Kamatar</w:t>
      </w:r>
      <w:proofErr w:type="spellEnd"/>
      <w:r w:rsidRPr="002A7128">
        <w:rPr>
          <w:rFonts w:ascii="Calibri" w:hAnsi="Calibri" w:cs="Calibri"/>
          <w:color w:val="000000" w:themeColor="text1"/>
          <w:shd w:val="clear" w:color="auto" w:fill="FFFFFF"/>
        </w:rPr>
        <w:t xml:space="preserve">, </w:t>
      </w:r>
      <w:proofErr w:type="spellStart"/>
      <w:r w:rsidRPr="002A7128">
        <w:rPr>
          <w:rFonts w:ascii="Calibri" w:hAnsi="Calibri" w:cs="Calibri"/>
          <w:color w:val="000000" w:themeColor="text1"/>
          <w:shd w:val="clear" w:color="auto" w:fill="FFFFFF"/>
        </w:rPr>
        <w:t>Ofelya</w:t>
      </w:r>
      <w:proofErr w:type="spellEnd"/>
      <w:r w:rsidRPr="002A7128">
        <w:rPr>
          <w:rFonts w:ascii="Calibri" w:hAnsi="Calibri" w:cs="Calibri"/>
          <w:color w:val="000000" w:themeColor="text1"/>
          <w:shd w:val="clear" w:color="auto" w:fill="FFFFFF"/>
        </w:rPr>
        <w:t xml:space="preserve"> Baghdasaryan, </w:t>
      </w:r>
      <w:proofErr w:type="spellStart"/>
      <w:r w:rsidRPr="002A7128">
        <w:rPr>
          <w:rFonts w:ascii="Calibri" w:hAnsi="Calibri" w:cs="Calibri"/>
          <w:color w:val="000000" w:themeColor="text1"/>
          <w:shd w:val="clear" w:color="auto" w:fill="FFFFFF"/>
        </w:rPr>
        <w:t>Seren</w:t>
      </w:r>
      <w:proofErr w:type="spellEnd"/>
      <w:r w:rsidRPr="002A7128">
        <w:rPr>
          <w:rFonts w:ascii="Calibri" w:hAnsi="Calibri" w:cs="Calibri"/>
          <w:color w:val="000000" w:themeColor="text1"/>
          <w:shd w:val="clear" w:color="auto" w:fill="FFFFFF"/>
        </w:rPr>
        <w:t xml:space="preserve"> </w:t>
      </w:r>
      <w:proofErr w:type="spellStart"/>
      <w:r w:rsidRPr="002A7128">
        <w:rPr>
          <w:rFonts w:ascii="Calibri" w:hAnsi="Calibri" w:cs="Calibri"/>
          <w:color w:val="000000" w:themeColor="text1"/>
          <w:shd w:val="clear" w:color="auto" w:fill="FFFFFF"/>
        </w:rPr>
        <w:t>Hamsici</w:t>
      </w:r>
      <w:proofErr w:type="spellEnd"/>
      <w:r w:rsidRPr="002A7128">
        <w:rPr>
          <w:rFonts w:ascii="Calibri" w:hAnsi="Calibri" w:cs="Calibri"/>
          <w:color w:val="000000" w:themeColor="text1"/>
          <w:shd w:val="clear" w:color="auto" w:fill="FFFFFF"/>
        </w:rPr>
        <w:t xml:space="preserve">, and Handan </w:t>
      </w:r>
      <w:proofErr w:type="spellStart"/>
      <w:r w:rsidRPr="002A7128">
        <w:rPr>
          <w:rFonts w:ascii="Calibri" w:hAnsi="Calibri" w:cs="Calibri"/>
          <w:color w:val="000000" w:themeColor="text1"/>
          <w:shd w:val="clear" w:color="auto" w:fill="FFFFFF"/>
        </w:rPr>
        <w:t>Acar</w:t>
      </w:r>
      <w:proofErr w:type="spellEnd"/>
      <w:r w:rsidRPr="002A7128">
        <w:rPr>
          <w:rFonts w:ascii="Calibri" w:hAnsi="Calibri" w:cs="Calibri"/>
          <w:color w:val="000000" w:themeColor="text1"/>
          <w:shd w:val="clear" w:color="auto" w:fill="FFFFFF"/>
        </w:rPr>
        <w:t>. "The effects of size and shape of the ovarian cancer spheroids on the drug resistance and migration." </w:t>
      </w:r>
      <w:r w:rsidRPr="002A7128">
        <w:rPr>
          <w:rFonts w:ascii="Calibri" w:hAnsi="Calibri" w:cs="Calibri"/>
          <w:i/>
          <w:iCs/>
          <w:color w:val="000000" w:themeColor="text1"/>
        </w:rPr>
        <w:t>Gynecologic Oncology</w:t>
      </w:r>
      <w:r w:rsidRPr="002A7128">
        <w:rPr>
          <w:rFonts w:ascii="Calibri" w:hAnsi="Calibri" w:cs="Calibri"/>
          <w:color w:val="000000" w:themeColor="text1"/>
          <w:shd w:val="clear" w:color="auto" w:fill="FFFFFF"/>
        </w:rPr>
        <w:t> 159, no. 2 (2020): 563-572.</w:t>
      </w:r>
      <w:r w:rsidR="006D34B7" w:rsidRPr="002A7128">
        <w:rPr>
          <w:rFonts w:ascii="Calibri" w:hAnsi="Calibri" w:cs="Calibri"/>
          <w:color w:val="000000" w:themeColor="text1"/>
        </w:rPr>
        <w:t xml:space="preserve"> </w:t>
      </w:r>
    </w:p>
    <w:p w14:paraId="6EB4EA02" w14:textId="03D9C347" w:rsidR="00757770" w:rsidRPr="002A7128" w:rsidRDefault="00757770">
      <w:pPr>
        <w:pStyle w:val="Heading2"/>
        <w:numPr>
          <w:ilvl w:val="2"/>
          <w:numId w:val="9"/>
        </w:numPr>
        <w:spacing w:line="480" w:lineRule="auto"/>
        <w:rPr>
          <w:rFonts w:ascii="Calibri" w:hAnsi="Calibri" w:cs="Calibri"/>
        </w:rPr>
      </w:pPr>
      <w:bookmarkStart w:id="145" w:name="_Toc120794194"/>
      <w:r w:rsidRPr="002A7128">
        <w:rPr>
          <w:rFonts w:ascii="Calibri" w:hAnsi="Calibri" w:cs="Calibri"/>
        </w:rPr>
        <w:lastRenderedPageBreak/>
        <w:t>Abstract</w:t>
      </w:r>
      <w:bookmarkEnd w:id="145"/>
    </w:p>
    <w:p w14:paraId="3E5A0957" w14:textId="0F287FB1" w:rsidR="000711C0" w:rsidRPr="002A7128" w:rsidRDefault="000711C0" w:rsidP="00F675B4">
      <w:pPr>
        <w:spacing w:line="480" w:lineRule="auto"/>
        <w:jc w:val="both"/>
        <w:rPr>
          <w:rFonts w:ascii="Calibri" w:hAnsi="Calibri" w:cs="Calibri"/>
        </w:rPr>
      </w:pPr>
      <w:r w:rsidRPr="002A7128">
        <w:rPr>
          <w:rFonts w:ascii="Calibri" w:hAnsi="Calibri" w:cs="Calibri"/>
        </w:rPr>
        <w:t>High fatality in ovarian cancer is attributed to metastasis, propagated by the release of multi-cellular aggregates/spheroids into the peritoneal cavity and their subsequent mesothelial invasion of peritoneal organs. Spheroids are therefore a common and clinically relevant in vitro model for ovarian cancer research. Spheroids in patients vary significantly in size and shape and display enhanced resistance to anti-cancer drugs compared to monolayers. However, there is no consensus on how spheroid size and shape affect drug resistance. Moreover, existing data regarding the influence of epithelial-to-mesenchymal transition (EMT) profile on spheroid shape and migration is inconclusive.</w:t>
      </w:r>
    </w:p>
    <w:p w14:paraId="1F252F1E" w14:textId="362F3576" w:rsidR="000711C0" w:rsidRPr="002A7128" w:rsidRDefault="000711C0">
      <w:pPr>
        <w:pStyle w:val="Heading2"/>
        <w:numPr>
          <w:ilvl w:val="2"/>
          <w:numId w:val="9"/>
        </w:numPr>
        <w:spacing w:line="480" w:lineRule="auto"/>
        <w:rPr>
          <w:rFonts w:ascii="Calibri" w:hAnsi="Calibri" w:cs="Calibri"/>
        </w:rPr>
      </w:pPr>
      <w:bookmarkStart w:id="146" w:name="_Toc120794195"/>
      <w:r w:rsidRPr="002A7128">
        <w:rPr>
          <w:rFonts w:ascii="Calibri" w:hAnsi="Calibri" w:cs="Calibri"/>
        </w:rPr>
        <w:t>Introduction</w:t>
      </w:r>
      <w:bookmarkEnd w:id="146"/>
    </w:p>
    <w:p w14:paraId="766648A6" w14:textId="164A19A1" w:rsidR="000711C0" w:rsidRPr="002A7128" w:rsidRDefault="000711C0" w:rsidP="00F675B4">
      <w:pPr>
        <w:spacing w:line="480" w:lineRule="auto"/>
        <w:jc w:val="both"/>
        <w:rPr>
          <w:rFonts w:ascii="Calibri" w:hAnsi="Calibri" w:cs="Calibri"/>
        </w:rPr>
      </w:pPr>
      <w:r w:rsidRPr="002A7128">
        <w:rPr>
          <w:rFonts w:ascii="Calibri" w:hAnsi="Calibri" w:cs="Calibri"/>
        </w:rPr>
        <w:t>Epithelial ovarian cancer (EOC) is the most lethal gynecological disorder. EOC makes up 90% of all ovarian cancer cases,</w:t>
      </w:r>
      <w:r w:rsidRPr="002A7128">
        <w:rPr>
          <w:rFonts w:ascii="Calibri" w:hAnsi="Calibri" w:cs="Calibri"/>
        </w:rPr>
        <w:fldChar w:fldCharType="begin"/>
      </w:r>
      <w:r w:rsidR="00317E7D" w:rsidRPr="002A7128">
        <w:rPr>
          <w:rFonts w:ascii="Calibri" w:hAnsi="Calibri" w:cs="Calibri"/>
        </w:rPr>
        <w:instrText xml:space="preserve"> ADDIN ZOTERO_ITEM CSL_CITATION {"citationID":"GsjkprFQ","properties":{"formattedCitation":"\\super 273\\nosupersub{}","plainCitation":"273","noteIndex":0},"citationItems":[{"id":"wiida5Bo/SlzX9d5C","uris":["http://zotero.org/users/local/91fNc9yk/items/86HNYXYG"],"itemData":{"id":561,"type":"article-journal","container-title":"CA: A Cancer Journal for Clinicians","DOI":"10.3322/caac.21456","ISSN":"00079235","issue":"4","journalAbbreviation":"CA: A Cancer Journal for Clinicians","language":"en","page":"284-296","source":"DOI.org (Crossref)","title":"Ovarian cancer statistics, 2018: Ovarian Cancer Statistics, 2018","title-short":"Ovarian cancer statistics, 2018","volume":"68","author":[{"family":"Torre","given":"Lindsey A."},{"family":"Trabert","given":"Britton"},{"family":"DeSantis","given":"Carol E."},{"family":"Miller","given":"Kimberly D."},{"family":"Samimi","given":"Goli"},{"family":"Runowicz","given":"Carolyn D."},{"family":"Gaudet","given":"Mia M."},{"family":"Jemal","given":"Ahmedin"},{"family":"Siegel","given":"Rebecca L."}],"issued":{"date-parts":[["2018",7]]}}}],"schema":"https://github.com/citation-style-language/schema/raw/master/csl-citation.json"}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273</w:t>
      </w:r>
      <w:r w:rsidRPr="002A7128">
        <w:rPr>
          <w:rFonts w:ascii="Calibri" w:hAnsi="Calibri" w:cs="Calibri"/>
        </w:rPr>
        <w:fldChar w:fldCharType="end"/>
      </w:r>
      <w:r w:rsidRPr="002A7128">
        <w:rPr>
          <w:rFonts w:ascii="Calibri" w:hAnsi="Calibri" w:cs="Calibri"/>
        </w:rPr>
        <w:t xml:space="preserve"> and is fatal to more than 70% of patients within 5 years of diagnosis</w:t>
      </w:r>
      <w:r w:rsidRPr="002A7128">
        <w:rPr>
          <w:rFonts w:ascii="Calibri" w:hAnsi="Calibri" w:cs="Calibri"/>
        </w:rPr>
        <w:fldChar w:fldCharType="begin"/>
      </w:r>
      <w:r w:rsidR="00317E7D" w:rsidRPr="002A7128">
        <w:rPr>
          <w:rFonts w:ascii="Calibri" w:hAnsi="Calibri" w:cs="Calibri"/>
        </w:rPr>
        <w:instrText xml:space="preserve"> ADDIN ZOTERO_ITEM CSL_CITATION {"citationID":"wUxsq8JR","properties":{"formattedCitation":"\\super 274\\nosupersub{}","plainCitation":"274","noteIndex":0},"citationItems":[{"id":"wiida5Bo/Z80OaBa1","uris":["http://zotero.org/users/local/91fNc9yk/items/DBKB9T8K"],"itemData":{"id":13,"type":"article-journal","abstract":"The biology of ovarian carcinoma differs from that of hematogenously metastasizing tumors because ovarian cancer cells primarily disseminate within the peritoneal cavity and are only superficially invasive. However, since the rapidly proliferating tumors compress visceral organs and are only temporarily chemosensitive, ovarian carcinoma is a deadly disease, with a cure rate of only 30%. There are a number of genetic and epigenetic changes that lead to ovarian carcinoma cell transformation. Ovarian carcinoma could originate from any of three potential sites: the surfaces of the ovary, the fallopian tube, or the mesothelium-lined peritoneal cavity. Ovarian cacinoma tumorigenesis then either progresses along a stepwise mutation process from a slow growing borderline tumor to a well-differentiated carcinoma (type I) or involves a genetically unstable high-grade serous carcinoma that metastasizes rapidly (type II). During initial tumorigenesis, ovarian carcinoma cells undergo an epithelial-to- mesenchymal transition, which involves a change in cadherin and integrin expression and upregulation of proteolytic pathways. Carried by the peritoneal fluid, cancer cell spheroids overcome anoikis and attach preferentially on the abdominal peritoneum or omentum, where the cancer cells revert to their epithelial phenotype. The initial steps of metastasis are regulated by a controlled interaction of adhesion receptors and proteases, and late metastasis is characterized by the oncogene-driven fast growth of tumor nodules on mesothelium covered surfaces, causing ascites, bowel obstruction, and tumor cachexia. Copyright © American Society for Investigative Pathology.","container-title":"American Journal of Pathology","DOI":"10.2353/ajpath.2010.100105","ISSN":"0002-9440","issue":"3","page":"1053-1064","title":"Ovarian cancer development and metastasis","volume":"177","author":[{"family":"Lengyel","given":"Ernst"}],"issued":{"date-parts":[["2010"]]}}}],"schema":"https://github.com/citation-style-language/schema/raw/master/csl-citation.json"}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274</w:t>
      </w:r>
      <w:r w:rsidRPr="002A7128">
        <w:rPr>
          <w:rFonts w:ascii="Calibri" w:hAnsi="Calibri" w:cs="Calibri"/>
        </w:rPr>
        <w:fldChar w:fldCharType="end"/>
      </w:r>
      <w:r w:rsidRPr="002A7128">
        <w:rPr>
          <w:rFonts w:ascii="Calibri" w:hAnsi="Calibri" w:cs="Calibri"/>
        </w:rPr>
        <w:t>. High mortality rates are attributed to peritoneal metastasis during the advanced stages of the cancer through tumor tissue dissemination into the ascites either as single cells or multi-cellular aggregates/spheroids</w:t>
      </w:r>
      <w:r w:rsidRPr="002A7128">
        <w:rPr>
          <w:rFonts w:ascii="Calibri" w:hAnsi="Calibri" w:cs="Calibri"/>
        </w:rPr>
        <w:fldChar w:fldCharType="begin"/>
      </w:r>
      <w:r w:rsidR="00317E7D" w:rsidRPr="002A7128">
        <w:rPr>
          <w:rFonts w:ascii="Calibri" w:hAnsi="Calibri" w:cs="Calibri"/>
        </w:rPr>
        <w:instrText xml:space="preserve"> ADDIN ZOTERO_ITEM CSL_CITATION {"citationID":"X4dYy7AW","properties":{"formattedCitation":"\\super 275\\nosupersub{}","plainCitation":"275","noteIndex":0},"citationItems":[{"id":"wiida5Bo/NYg0BP23","uris":["http://zotero.org/users/local/91fNc9yk/items/5BVJL6K5"],"itemData":{"id":26,"type":"article-journal","abstract":"Malignant ascites presents a considerable clinical challenge to the management of ovarian cancer, but also provides a wealth of opportunities for translational research. The accessibility of ascitic fluid and its cellular components make it an excellent source of tumour tissue for the investigation of prognostic and predictive biomarkers, pharmacodynamic markers and for molecular profiling analysis. In this Opinion article, we discuss recent advances in our understanding of its pathophysiology, the development of new methods to characterize its molecular features and how these findings can be used to improve the treatment of malignant ascites, particularly in the context of ovarian cancer.","container-title":"Nature Reviews Cancer","DOI":"10.1038/nrc3432","title":"Meeting the challenge of ascites in ovarian cancer: New avenues for therapy and research","author":[{"family":"Kipps","given":"Emma"},{"family":"Tan","given":"David S.P."},{"family":"Kaye","given":"Stan B."}],"issued":{"date-parts":[["2013"]]}}}],"schema":"https://github.com/citation-style-language/schema/raw/master/csl-citation.json"}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275</w:t>
      </w:r>
      <w:r w:rsidRPr="002A7128">
        <w:rPr>
          <w:rFonts w:ascii="Calibri" w:hAnsi="Calibri" w:cs="Calibri"/>
        </w:rPr>
        <w:fldChar w:fldCharType="end"/>
      </w:r>
      <w:r w:rsidRPr="002A7128">
        <w:rPr>
          <w:rFonts w:ascii="Calibri" w:hAnsi="Calibri" w:cs="Calibri"/>
        </w:rPr>
        <w:t>. Regardless of the cancer type, malignant ascites are associated with poor prognosis</w:t>
      </w:r>
      <w:r w:rsidRPr="002A7128">
        <w:rPr>
          <w:rFonts w:ascii="Calibri" w:hAnsi="Calibri" w:cs="Calibri"/>
        </w:rPr>
        <w:fldChar w:fldCharType="begin"/>
      </w:r>
      <w:r w:rsidR="00317E7D" w:rsidRPr="002A7128">
        <w:rPr>
          <w:rFonts w:ascii="Calibri" w:hAnsi="Calibri" w:cs="Calibri"/>
        </w:rPr>
        <w:instrText xml:space="preserve"> ADDIN ZOTERO_ITEM CSL_CITATION {"citationID":"CB8qrYp1","properties":{"formattedCitation":"\\super 276\\nosupersub{}","plainCitation":"276","noteIndex":0},"citationItems":[{"id":"wiida5Bo/0yhwzsMr","uris":["http://zotero.org/users/local/91fNc9yk/items/BBXK64NC"],"itemData":{"id":587,"type":"article-journal","container-title":"Annals of Oncology","DOI":"10.1093/annonc/mdl499","ISSN":"09237534","issue":"5","journalAbbreviation":"Annals of Oncology","language":"en","page":"945-949","source":"DOI.org (Crossref)","title":"Pattern and prognostic factors in patients with malignant ascites: a retrospective study","title-short":"Pattern and prognostic factors in patients with malignant ascites","volume":"18","author":[{"family":"Ayantunde","given":"A.A."},{"family":"Parsons","given":"S.L."}],"issued":{"date-parts":[["2007",5]]}}}],"schema":"https://github.com/citation-style-language/schema/raw/master/csl-citation.json"}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276</w:t>
      </w:r>
      <w:r w:rsidRPr="002A7128">
        <w:rPr>
          <w:rFonts w:ascii="Calibri" w:hAnsi="Calibri" w:cs="Calibri"/>
        </w:rPr>
        <w:fldChar w:fldCharType="end"/>
      </w:r>
      <w:r w:rsidRPr="002A7128">
        <w:rPr>
          <w:rFonts w:ascii="Calibri" w:hAnsi="Calibri" w:cs="Calibri"/>
        </w:rPr>
        <w:t>, and observed in more than one third of EOC patients</w:t>
      </w:r>
      <w:r w:rsidRPr="002A7128">
        <w:rPr>
          <w:rFonts w:ascii="Calibri" w:hAnsi="Calibri" w:cs="Calibri"/>
        </w:rPr>
        <w:fldChar w:fldCharType="begin"/>
      </w:r>
      <w:r w:rsidR="00317E7D" w:rsidRPr="002A7128">
        <w:rPr>
          <w:rFonts w:ascii="Calibri" w:hAnsi="Calibri" w:cs="Calibri"/>
        </w:rPr>
        <w:instrText xml:space="preserve"> ADDIN ZOTERO_ITEM CSL_CITATION {"citationID":"PN5rs3nA","properties":{"formattedCitation":"\\super 275\\nosupersub{}","plainCitation":"275","noteIndex":0},"citationItems":[{"id":"wiida5Bo/NYg0BP23","uris":["http://zotero.org/users/local/91fNc9yk/items/5BVJL6K5"],"itemData":{"id":26,"type":"article-journal","abstract":"Malignant ascites presents a considerable clinical challenge to the management of ovarian cancer, but also provides a wealth of opportunities for translational research. The accessibility of ascitic fluid and its cellular components make it an excellent source of tumour tissue for the investigation of prognostic and predictive biomarkers, pharmacodynamic markers and for molecular profiling analysis. In this Opinion article, we discuss recent advances in our understanding of its pathophysiology, the development of new methods to characterize its molecular features and how these findings can be used to improve the treatment of malignant ascites, particularly in the context of ovarian cancer.","container-title":"Nature Reviews Cancer","DOI":"10.1038/nrc3432","title":"Meeting the challenge of ascites in ovarian cancer: New avenues for therapy and research","author":[{"family":"Kipps","given":"Emma"},{"family":"Tan","given":"David S.P."},{"family":"Kaye","given":"Stan B."}],"issued":{"date-parts":[["2013"]]}}}],"schema":"https://github.com/citation-style-language/schema/raw/master/csl-citation.json"}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275</w:t>
      </w:r>
      <w:r w:rsidRPr="002A7128">
        <w:rPr>
          <w:rFonts w:ascii="Calibri" w:hAnsi="Calibri" w:cs="Calibri"/>
        </w:rPr>
        <w:fldChar w:fldCharType="end"/>
      </w:r>
      <w:r w:rsidRPr="002A7128">
        <w:rPr>
          <w:rFonts w:ascii="Calibri" w:hAnsi="Calibri" w:cs="Calibri"/>
        </w:rPr>
        <w:t>. Collective detachment and spheroid formation within patient ascites potentiate resistance in cancer cells against anoikis</w:t>
      </w:r>
      <w:r w:rsidRPr="002A7128">
        <w:rPr>
          <w:rFonts w:ascii="Calibri" w:hAnsi="Calibri" w:cs="Calibri"/>
        </w:rPr>
        <w:fldChar w:fldCharType="begin"/>
      </w:r>
      <w:r w:rsidR="00317E7D" w:rsidRPr="002A7128">
        <w:rPr>
          <w:rFonts w:ascii="Calibri" w:hAnsi="Calibri" w:cs="Calibri"/>
        </w:rPr>
        <w:instrText xml:space="preserve"> ADDIN ZOTERO_ITEM CSL_CITATION {"citationID":"8FItHFt4","properties":{"formattedCitation":"\\super 277\\nosupersub{}","plainCitation":"277","noteIndex":0},"citationItems":[{"id":"wiida5Bo/Dwzr2UDs","uris":["http://zotero.org/users/local/91fNc9yk/items/DVKMQN9S"],"itemData":{"id":44,"type":"article-journal","abstract":"Ovarian cancer is the most lethal gynecological cancer, where survival rates have had modest improvement over the last 30 years. Metastasis of cancer cells is a major clinical problem, and patient mortality occurs when ovarian cancer cells spread beyond the confinement of ovaries. Disseminated ovarian cancer cells typically spread within the abdomen, where ascites accumulation aids in their transit. Metastatic ascites contain multicellular spheroids, which promote chemo-resistance and recurrence. However, little is known about the origin and mechanisms through which spheroids arise. Using live-imaging of 3D culture models and animal models, we report that epithelial ovarian cancer (EOC) cells, the most common type of ovarian cancer, can spontaneously detach as either single cells or clusters. We report that clusters are more resistant to anoikis and have a potent survival advantage over single cells. Using in vivo lineage tracing, we found that multicellular spheroids arise preferentially from collective detachment, rather than aggregation in the abdomen. Finally, we report that multicellular spheroids from collective detachment are capable of seeding intra-abdominal metastases that retain intra-tumoral heterogeneity from the primary tumor.","container-title":"Oncogene","DOI":"10.1038/s41388-018-0317-x","title":"Multicellular detachment generates metastatic spheroids during intra-abdominal dissemination in epithelial ovarian cancer","author":[{"family":"Al Habyan","given":"Sara"},{"family":"Kalos","given":"Christina"},{"family":"Szymborski","given":"Joseph"},{"family":"McCaffrey","given":"Luke"}],"issued":{"date-parts":[["2018"]]}}}],"schema":"https://github.com/citation-style-language/schema/raw/master/csl-citation.json"}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277</w:t>
      </w:r>
      <w:r w:rsidRPr="002A7128">
        <w:rPr>
          <w:rFonts w:ascii="Calibri" w:hAnsi="Calibri" w:cs="Calibri"/>
        </w:rPr>
        <w:fldChar w:fldCharType="end"/>
      </w:r>
      <w:r w:rsidRPr="002A7128">
        <w:rPr>
          <w:rFonts w:ascii="Calibri" w:hAnsi="Calibri" w:cs="Calibri"/>
        </w:rPr>
        <w:t xml:space="preserve"> as well as anti-cancer drug treatments</w:t>
      </w:r>
      <w:r w:rsidRPr="002A7128">
        <w:rPr>
          <w:rFonts w:ascii="Calibri" w:hAnsi="Calibri" w:cs="Calibri"/>
        </w:rPr>
        <w:fldChar w:fldCharType="begin"/>
      </w:r>
      <w:r w:rsidR="00317E7D" w:rsidRPr="002A7128">
        <w:rPr>
          <w:rFonts w:ascii="Calibri" w:hAnsi="Calibri" w:cs="Calibri"/>
        </w:rPr>
        <w:instrText xml:space="preserve"> ADDIN ZOTERO_ITEM CSL_CITATION {"citationID":"cuOwPMrw","properties":{"formattedCitation":"\\super 278\\nosupersub{}","plainCitation":"278","noteIndex":0},"citationItems":[{"id":"wiida5Bo/3PWvyGSZ","uris":["http://zotero.org/users/local/91fNc9yk/items/KWK7GE5A"],"itemData":{"id":63,"type":"article-journal","abstract":"We previously established that multicellular ovarian cancer spheroids develop intrinsic multidrug resistance with the appearance of quiescent cell areas. p27 protein is a determinant of such resistance. However, the precise molecular basis of such resistance remains unknown. We demonstrated herein that these multicellular ovarian cancer spheroids expressed high levels of p27 and P-gp protein. Compared with monolayer cells, there is a significant increase in the resistance of spheroids cells to anticancer reagent Taxol. Antisense oligodeoxynucleotide not only mediated downregulation of p27, but also P-gp expression in multicellular spheroids. Selective small interfering RNAs (siRNA) of P-gp with MDR1-targeted short hairpin RNAs (shRNA) expression vector sensitized the cells to Taxol. These results suggest that both p27 and P-gp can modulate Taxol sensitivity respectively, while p27 requires P-gp for its full function. Increased P-gp protein expression through p27 mediation is one of the major mechanisms of Taxol resistance in ovarian cancer multicellular spheroids.","container-title":"Oncology Reports","DOI":"10.3892/or.17.1.117","ISSN":"1021-335X, 1791-2431","journalAbbreviation":"Oncol Rep","language":"en","source":"DOI.org (Crossref)","title":"Knock-down of P-glycoprotein reverses taxol resistance in ovarian cancer multicellular spheroids","URL":"http://www.spandidos-publications.com/10.3892/or.17.1.117","author":[{"family":"Xing","given":"Hui"},{"family":"Wang","given":"Shixuan"},{"family":"Weng","given":"Danhui"},{"family":"Chen","given":"Gang"},{"family":"Yang","given":"Xiaokui"},{"family":"Zhou","given":"Jianfeng"},{"family":"Xu","given":"Gang"},{"family":"Lu","given":"Yunpin"},{"family":"Ma","given":"Ding"}],"accessed":{"date-parts":[["2019",6,13]]},"issued":{"date-parts":[["2007",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278</w:t>
      </w:r>
      <w:r w:rsidRPr="002A7128">
        <w:rPr>
          <w:rFonts w:ascii="Calibri" w:hAnsi="Calibri" w:cs="Calibri"/>
        </w:rPr>
        <w:fldChar w:fldCharType="end"/>
      </w:r>
      <w:r w:rsidRPr="002A7128">
        <w:rPr>
          <w:rFonts w:ascii="Calibri" w:hAnsi="Calibri" w:cs="Calibri"/>
        </w:rPr>
        <w:t>. These spheroids within the ascites can attach and invade the other peritoneal organs through the mesothelial layer</w:t>
      </w:r>
      <w:r w:rsidRPr="002A7128">
        <w:rPr>
          <w:rFonts w:ascii="Calibri" w:hAnsi="Calibri" w:cs="Calibri"/>
        </w:rPr>
        <w:fldChar w:fldCharType="begin"/>
      </w:r>
      <w:r w:rsidR="00317E7D" w:rsidRPr="002A7128">
        <w:rPr>
          <w:rFonts w:ascii="Calibri" w:hAnsi="Calibri" w:cs="Calibri"/>
        </w:rPr>
        <w:instrText xml:space="preserve"> ADDIN ZOTERO_ITEM CSL_CITATION {"citationID":"Vf4sx0nz","properties":{"formattedCitation":"\\super 279\\nosupersub{}","plainCitation":"279","noteIndex":0},"citationItems":[{"id":"wiida5Bo/Xt5L9p3J","uris":["http://zotero.org/users/local/91fNc9yk/items/9F483SAU"],"itemData":{"id":515,"type":"article-journal","abstract":"BACKGROUND: Malignant ascites often develops in advanced stages of ovarian carcinoma, consisting of single and aggregated tumor cells, or spheroids. Spheroids have commonly been used as tumor models to study drug efficacy, and have shown resistance to some chemotherapies and radiation. However, little is known about the adhesive or invasive capabilities of spheroids, and whether this particular cellular component of the ascites can contribute to dissemination of ovarian cancer. Here, we examined the invasive ability of ascites spheroids recovered from seven ovarian carcinoma patients and one primary peritoneal carcinoma (PPC) patient.\nMETHODS: Ascites spheroids were isolated from patients, purified, and immunohistochemical analyses were performed by a pathologist to confirm diagnosis. In vitro assays were designed to quantify spheroid disaggregation on a variety of extracellular matrices and dissemination on and invasion into normal human mesothelial cell monolayers. Cell proliferation and viability were determined in each assay, and statistical significance demonstrated by the student's t-test.\nRESULTS: Spheroids from all of the patients' ascites samples disaggregated on extracellular matrix components, with the PPC spheroids capable of complete disaggregation on type I collagen. Additionally, all of the ascites spheroid samples adhered to and disaggregated on live human mesothelial cell monolayers, typically without invading them. However, the PPC ascites spheroids and one ovarian carcinoma ascites spheroid sample occasionally formed invasive foci in the mesothelial cell monolayers, suggestive of a more invasive phenotype.\nCONCLUSION: We present here in vitro assays using ascites spheroids that imitate the spread of ovarian cancer in vivo. Our results suggest that systematic studies of the ascites cellular content are necessary to understand the biology of ovarian carcinoma.","container-title":"Journal of Translational Medicine","DOI":"10.1186/1479-5876-4-6","ISSN":"1479-5876","journalAbbreviation":"J Transl Med","language":"eng","note":"PMID: 16433903\nPMCID: PMC1397876","page":"6","source":"PubMed","title":"Disaggregation and invasion of ovarian carcinoma ascites spheroids","volume":"4","author":[{"family":"Burleson","given":"Kathryn M."},{"family":"Boente","given":"Matthew P."},{"family":"Pambuccian","given":"Stefan E."},{"family":"Skubitz","given":"Amy P. N."}],"issued":{"date-parts":[["2006",1,24]]}}}],"schema":"https://github.com/citation-style-language/schema/raw/master/csl-citation.json"}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279</w:t>
      </w:r>
      <w:r w:rsidRPr="002A7128">
        <w:rPr>
          <w:rFonts w:ascii="Calibri" w:hAnsi="Calibri" w:cs="Calibri"/>
        </w:rPr>
        <w:fldChar w:fldCharType="end"/>
      </w:r>
      <w:r w:rsidRPr="002A7128">
        <w:rPr>
          <w:rFonts w:ascii="Calibri" w:hAnsi="Calibri" w:cs="Calibri"/>
        </w:rPr>
        <w:t>,</w:t>
      </w:r>
      <w:r w:rsidRPr="002A7128">
        <w:rPr>
          <w:rFonts w:ascii="Calibri" w:hAnsi="Calibri" w:cs="Calibri"/>
        </w:rPr>
        <w:fldChar w:fldCharType="begin"/>
      </w:r>
      <w:r w:rsidR="00317E7D" w:rsidRPr="002A7128">
        <w:rPr>
          <w:rFonts w:ascii="Calibri" w:hAnsi="Calibri" w:cs="Calibri"/>
        </w:rPr>
        <w:instrText xml:space="preserve"> ADDIN ZOTERO_ITEM CSL_CITATION {"citationID":"PFxGVSdz","properties":{"formattedCitation":"\\super 280\\nosupersub{}","plainCitation":"280","noteIndex":0},"citationItems":[{"id":"wiida5Bo/zZMHcE1T","uris":["http://zotero.org/users/local/91fNc9yk/items/PD4FRZS9"],"itemData":{"id":566,"type":"article-journal","abstract":"The peritoneal mesothelium is composed of an extensive monolayer of mesothelial cells that lines the body's serous cavity and internal organs and was previously thought to act principally as a protective nonadhesive lubricating surface to facilitate intracoelomic movement. With the introduction of peritoneal dialysis over three decades ago, there has been much interest in the cell biology of peritoneal mesothelial cells. Independent studies have highlighted specific properties of the peritoneal mesothelial cell, including antigen presentation, regenerative properties, clearance of fibrin; synthesis of cytokines, growth factors, and matrix proteins; and secretion of lubricants to protect the tissue from abrasion, adhesion, infection, and tumor dissemination. It is now evident that the mesothelium is not merely a passive membrane but, rather, a dynamic membrane that contributes substantially to the structural, functional, and homeostatic properties of the peritoneum. Since peritoneal mesothelial cells in culture possess immunohistochemical markers identical to mesothelial stem cells, the culture of mesothelial cells offers researchers an essential tool to assess their morphologic, structural, and functional properties. This review will discuss current procedures to isolate peritoneal mesothelial cells from human omental specimens, animal sources, and spent dialysate. Furthermore, the functional and morphologic properties of mesothelial cells are discussed, together with the potential use of mesothelial cell culture in research and clinical applications.","container-title":"Peritoneal Dialysis International: Journal of the International Society for Peritoneal Dialysis","ISSN":"0896-8608","issue":"2","journalAbbreviation":"Perit Dial Int","language":"eng","note":"PMID: 16623418","page":"162-173","source":"PubMed","title":"Peritoneal mesothelial cell culture and biology","volume":"26","author":[{"family":"Yung","given":"Susan"},{"family":"Li","given":"Fu Keung"},{"family":"Chan","given":"Tak Mao"}],"issued":{"date-parts":[["2006",4]]}}}],"schema":"https://github.com/citation-style-language/schema/raw/master/csl-citation.json"}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280</w:t>
      </w:r>
      <w:r w:rsidRPr="002A7128">
        <w:rPr>
          <w:rFonts w:ascii="Calibri" w:hAnsi="Calibri" w:cs="Calibri"/>
        </w:rPr>
        <w:fldChar w:fldCharType="end"/>
      </w:r>
      <w:r w:rsidRPr="002A7128">
        <w:rPr>
          <w:rFonts w:ascii="Calibri" w:hAnsi="Calibri" w:cs="Calibri"/>
        </w:rPr>
        <w:t>. Patient-derived spheroids exhibit a wide range of size</w:t>
      </w:r>
      <w:r w:rsidRPr="002A7128">
        <w:rPr>
          <w:rFonts w:ascii="Calibri" w:hAnsi="Calibri" w:cs="Calibri"/>
        </w:rPr>
        <w:fldChar w:fldCharType="begin"/>
      </w:r>
      <w:r w:rsidR="00317E7D" w:rsidRPr="002A7128">
        <w:rPr>
          <w:rFonts w:ascii="Calibri" w:hAnsi="Calibri" w:cs="Calibri"/>
        </w:rPr>
        <w:instrText xml:space="preserve"> ADDIN ZOTERO_ITEM CSL_CITATION {"citationID":"MOgFD40q","properties":{"formattedCitation":"\\super 281\\nosupersub{}","plainCitation":"281","noteIndex":0},"citationItems":[{"id":"wiida5Bo/SR1B1r67","uris":["http://zotero.org/users/local/91fNc9yk/items/ITM2LL25"],"itemData":{"id":25,"type":"article-journal","abstract":"Serous, mucinous, endometrioid and clear cell human ovarian carcinoma cells were isolated as multicellular aggregates from patient effusions by filtration on nylon mesh of defined porosity and examined by light microscopy.  The cell clusters ranged from compact to loosely adherent groups of cells to spheroids with a central lumen surrounded by a cell monolayer.  There was considerable variation in cluster morphology between effusions from different patients as well as within effusion from the same patient.  Apparent budding of clusters was observed as well as different stages of cluster growth and development.  This was observed for all histologic types studied.  Electron microscopy of serous, mucinous and clear cell types showed that cells forming clusters were attached to each other by desmosomes, demonstrating that cluster formation did not result from a nonspecific stickiness of cells.  Irregular microvilli were present on the external periphery of the various carcinoma cells and a prominent glycocalyx was present on the surface of mucinous carcinoma cells.  Extensive interdigitation of cytoplasmic extensions and extended villi was present in mucinous and serous clusters which appeared to strengthen cluster cohesiveness.  Nuclei were irregular with prominent nucleoli frequently present.  The cell clusters usually remained intact and viable in culture but generally did not attach to glass or plastic substrata, whereas mesothelial cells and nonactivated histiocytes rapidly attached.  When carcinoma cell clusters did attach, they were resistant to detachment by trypsin-EDTA treatment, in contrast to the nonmalignant cells.[on SciFinder (R)]","container-title":"Pathobiology","DOI":"10.1159/000163419","title":"Isolation and Morphologic Characterization of Human Ovarian Carcinoma Cell Clusters Present in Effusions","author":[{"family":"Allen","given":"Howard J."},{"family":"Porter","given":"Carl"},{"family":"Gamarra","given":"Marie"},{"family":"Piver","given":"Steven"},{"family":"Johnson","given":"Edward A.Z."}],"issued":{"date-parts":[["2008"]]}}}],"schema":"https://github.com/citation-style-language/schema/raw/master/csl-citation.json"}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281</w:t>
      </w:r>
      <w:r w:rsidRPr="002A7128">
        <w:rPr>
          <w:rFonts w:ascii="Calibri" w:hAnsi="Calibri" w:cs="Calibri"/>
        </w:rPr>
        <w:fldChar w:fldCharType="end"/>
      </w:r>
      <w:r w:rsidRPr="002A7128">
        <w:rPr>
          <w:rFonts w:ascii="Calibri" w:hAnsi="Calibri" w:cs="Calibri"/>
        </w:rPr>
        <w:t xml:space="preserve"> and morphology, such that spheroids can be observed both as loose aggregates and tight (compact) spherical aggregates even within the ascites of the </w:t>
      </w:r>
      <w:r w:rsidRPr="002A7128">
        <w:rPr>
          <w:rFonts w:ascii="Calibri" w:hAnsi="Calibri" w:cs="Calibri"/>
        </w:rPr>
        <w:lastRenderedPageBreak/>
        <w:t>same patient</w:t>
      </w:r>
      <w:r w:rsidRPr="002A7128">
        <w:rPr>
          <w:rFonts w:ascii="Calibri" w:hAnsi="Calibri" w:cs="Calibri"/>
        </w:rPr>
        <w:fldChar w:fldCharType="begin"/>
      </w:r>
      <w:r w:rsidR="00317E7D" w:rsidRPr="002A7128">
        <w:rPr>
          <w:rFonts w:ascii="Calibri" w:hAnsi="Calibri" w:cs="Calibri"/>
        </w:rPr>
        <w:instrText xml:space="preserve"> ADDIN ZOTERO_ITEM CSL_CITATION {"citationID":"0fuzJjbx","properties":{"formattedCitation":"\\super 282\\nosupersub{}","plainCitation":"282","noteIndex":0},"citationItems":[{"id":"wiida5Bo/xQoRTbbv","uris":["http://zotero.org/users/local/91fNc9yk/items/AIE7T6DW"],"itemData":{"id":527,"type":"article-journal","container-title":"PLoS ONE","DOI":"10.1371/journal.pone.0046858","ISSN":"1932-6203","issue":"10","journalAbbreviation":"PLoS ONE","language":"en","page":"e46858","source":"DOI.org (Crossref)","title":"Isolation and Characterization of Tumor Cells from the Ascites of Ovarian Cancer Patients: Molecular Phenotype of Chemoresistant Ovarian Tumors","title-short":"Isolation and Characterization of Tumor Cells from the Ascites of Ovarian Cancer Patients","volume":"7","author":[{"family":"Latifi","given":"Ardian"},{"family":"Luwor","given":"Rodney B."},{"family":"Bilandzic","given":"Maree"},{"family":"Nazaretian","given":"Simon"},{"family":"Stenvers","given":"Kaye"},{"family":"Pyman","given":"Jan"},{"family":"Zhu","given":"Hongjian"},{"family":"Thompson","given":"Erik W."},{"family":"Quinn","given":"Michael A."},{"family":"Findlay","given":"Jock K."},{"family":"Ahmed","given":"Nuzhat"}],"editor":[{"family":"Hawkins","given":"Shannon M."}],"issued":{"date-parts":[["2012",10,8]]}}}],"schema":"https://github.com/citation-style-language/schema/raw/master/csl-citation.json"}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282</w:t>
      </w:r>
      <w:r w:rsidRPr="002A7128">
        <w:rPr>
          <w:rFonts w:ascii="Calibri" w:hAnsi="Calibri" w:cs="Calibri"/>
        </w:rPr>
        <w:fldChar w:fldCharType="end"/>
      </w:r>
      <w:r w:rsidRPr="002A7128">
        <w:rPr>
          <w:rFonts w:ascii="Calibri" w:hAnsi="Calibri" w:cs="Calibri"/>
        </w:rPr>
        <w:t xml:space="preserve">. However, experimental investigation of the specific effects of spheroid size and morphology on drug sensitivity is scarce.  </w:t>
      </w:r>
    </w:p>
    <w:p w14:paraId="4620D16D" w14:textId="29E8D8CC" w:rsidR="000711C0" w:rsidRPr="002A7128" w:rsidRDefault="000711C0" w:rsidP="00F675B4">
      <w:pPr>
        <w:spacing w:line="480" w:lineRule="auto"/>
        <w:jc w:val="both"/>
        <w:rPr>
          <w:rFonts w:ascii="Calibri" w:hAnsi="Calibri" w:cs="Calibri"/>
        </w:rPr>
      </w:pPr>
      <w:r w:rsidRPr="002A7128">
        <w:rPr>
          <w:rFonts w:ascii="Calibri" w:hAnsi="Calibri" w:cs="Calibri"/>
        </w:rPr>
        <w:t>Recognized as a key event during cancer progression</w:t>
      </w:r>
      <w:r w:rsidRPr="002A7128">
        <w:rPr>
          <w:rFonts w:ascii="Calibri" w:hAnsi="Calibri" w:cs="Calibri"/>
        </w:rPr>
        <w:fldChar w:fldCharType="begin"/>
      </w:r>
      <w:r w:rsidR="00317E7D" w:rsidRPr="002A7128">
        <w:rPr>
          <w:rFonts w:ascii="Calibri" w:hAnsi="Calibri" w:cs="Calibri"/>
        </w:rPr>
        <w:instrText xml:space="preserve"> ADDIN ZOTERO_ITEM CSL_CITATION {"citationID":"TeCwxQDP","properties":{"formattedCitation":"\\super 283\\nosupersub{}","plainCitation":"283","noteIndex":0},"citationItems":[{"id":"wiida5Bo/d8Zdc1CN","uris":["http://zotero.org/users/local/91fNc9yk/items/LQBSJF3S"],"itemData":{"id":598,"type":"article-journal","container-title":"Cell","DOI":"10.1016/j.cell.2009.11.007","ISSN":"00928674","issue":"5","journalAbbreviation":"Cell","language":"en","page":"871-890","source":"DOI.org (Crossref)","title":"Epithelial-Mesenchymal Transitions in Development and Disease","volume":"139","author":[{"family":"Thiery","given":"Jean Paul"},{"family":"Acloque","given":"Hervé"},{"family":"Huang","given":"Ruby Y.J."},{"family":"Nieto","given":"M. Angela"}],"issued":{"date-parts":[["2009",11]]}}}],"schema":"https://github.com/citation-style-language/schema/raw/master/csl-citation.json"}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283</w:t>
      </w:r>
      <w:r w:rsidRPr="002A7128">
        <w:rPr>
          <w:rFonts w:ascii="Calibri" w:hAnsi="Calibri" w:cs="Calibri"/>
        </w:rPr>
        <w:fldChar w:fldCharType="end"/>
      </w:r>
      <w:r w:rsidRPr="002A7128">
        <w:rPr>
          <w:rFonts w:ascii="Calibri" w:hAnsi="Calibri" w:cs="Calibri"/>
        </w:rPr>
        <w:t>, epithelial-to-mesenchymal transition (EMT) is the phenotypic switch of the tumor tissue from epithelial to mesenchymal (i.e., a decrease in cell-cell adhesion, leading to increased proliferation, motility and invasiveness)</w:t>
      </w:r>
      <w:r w:rsidRPr="002A7128">
        <w:rPr>
          <w:rFonts w:ascii="Calibri" w:hAnsi="Calibri" w:cs="Calibri"/>
        </w:rPr>
        <w:fldChar w:fldCharType="begin"/>
      </w:r>
      <w:r w:rsidR="00A64B61" w:rsidRPr="002A7128">
        <w:rPr>
          <w:rFonts w:ascii="Calibri" w:hAnsi="Calibri" w:cs="Calibri"/>
        </w:rPr>
        <w:instrText xml:space="preserve"> ADDIN ZOTERO_ITEM CSL_CITATION {"citationID":"AieRALpb","properties":{"formattedCitation":"\\super 284\\nosupersub{}","plainCitation":"284","noteIndex":0},"citationItems":[{"id":134,"uris":["http://zotero.org/users/5797461/items/MPMJL9AC"],"itemData":{"id":134,"type":"chapter","container-title":"Progress in Molecular Biology and Translational Science","ISBN":"978-0-12-394311-8","language":"en","note":"DOI: 10.1016/B978-0-12-394311-8.00014-5","page":"317-336","publisher":"Elsevier","source":"DOI.org (Crossref)","title":"Cadherins and Epithelial-to-Mesenchymal Transition","URL":"https://linkinghub.elsevier.com/retrieve/pii/B9780123943118000145","volume":"116","author":[{"family":"Gheldof","given":"Alexander"},{"family":"Berx","given":"Geert"}],"accessed":{"date-parts":[["2019",7,2]]},"issued":{"date-parts":[["2013"]]},"citation-key":"gheldof_cadherins_2013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284</w:t>
      </w:r>
      <w:r w:rsidRPr="002A7128">
        <w:rPr>
          <w:rFonts w:ascii="Calibri" w:hAnsi="Calibri" w:cs="Calibri"/>
        </w:rPr>
        <w:fldChar w:fldCharType="end"/>
      </w:r>
      <w:r w:rsidRPr="002A7128">
        <w:rPr>
          <w:rFonts w:ascii="Calibri" w:hAnsi="Calibri" w:cs="Calibri"/>
        </w:rPr>
        <w:t>. This transition is regulated by a number of transcription factors, and characterized by the downregulation of several epithelial markers and the upregulation of several mesenchymal markers</w:t>
      </w:r>
      <w:r w:rsidRPr="002A7128">
        <w:rPr>
          <w:rFonts w:ascii="Calibri" w:hAnsi="Calibri" w:cs="Calibri"/>
        </w:rPr>
        <w:fldChar w:fldCharType="begin"/>
      </w:r>
      <w:r w:rsidR="00317E7D" w:rsidRPr="002A7128">
        <w:rPr>
          <w:rFonts w:ascii="Calibri" w:hAnsi="Calibri" w:cs="Calibri"/>
        </w:rPr>
        <w:instrText xml:space="preserve"> ADDIN ZOTERO_ITEM CSL_CITATION {"citationID":"gA4TEGav","properties":{"formattedCitation":"\\super 285\\nosupersub{}","plainCitation":"285","noteIndex":0},"citationItems":[{"id":"wiida5Bo/YOl44jet","uris":["http://zotero.org/users/local/91fNc9yk/items/5XZ39H39"],"itemData":{"id":565,"type":"article-journal","container-title":"Cells Tissues Organs","DOI":"10.1159/000101307","ISSN":"1422-6405, 1422-6421","issue":"1-3","journalAbbreviation":"Cells Tissues Organs","language":"en","page":"85-94","source":"DOI.org (Crossref)","title":"Epithelial-Mesenchymal Transition in Ovarian Cancer Progression: A Crucial Role for the Endothelin Axis","title-short":"Epithelial-Mesenchymal Transition in Ovarian Cancer Progression","volume":"185","author":[{"family":"Bagnato","given":"Anna"},{"family":"Rosanò","given":"Laura"}],"issued":{"date-parts":[["2007"]]}}}],"schema":"https://github.com/citation-style-language/schema/raw/master/csl-citation.json"}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285</w:t>
      </w:r>
      <w:r w:rsidRPr="002A7128">
        <w:rPr>
          <w:rFonts w:ascii="Calibri" w:hAnsi="Calibri" w:cs="Calibri"/>
        </w:rPr>
        <w:fldChar w:fldCharType="end"/>
      </w:r>
      <w:r w:rsidRPr="002A7128">
        <w:rPr>
          <w:rFonts w:ascii="Calibri" w:hAnsi="Calibri" w:cs="Calibri"/>
        </w:rPr>
        <w:t>. E-cadherin is one such epithelial marker; it plays a key role in cell-cell adhesion as a transmembrane protein localized at the epithelial cell membranes</w:t>
      </w:r>
      <w:r w:rsidRPr="002A7128">
        <w:rPr>
          <w:rFonts w:ascii="Calibri" w:hAnsi="Calibri" w:cs="Calibri"/>
        </w:rPr>
        <w:fldChar w:fldCharType="begin"/>
      </w:r>
      <w:r w:rsidR="00317E7D" w:rsidRPr="002A7128">
        <w:rPr>
          <w:rFonts w:ascii="Calibri" w:hAnsi="Calibri" w:cs="Calibri"/>
        </w:rPr>
        <w:instrText xml:space="preserve"> ADDIN ZOTERO_ITEM CSL_CITATION {"citationID":"DHttq513","properties":{"formattedCitation":"\\super 286,287\\nosupersub{}","plainCitation":"286,287","noteIndex":0},"citationItems":[{"id":"wiida5Bo/mBXZ99zU","uris":["http://zotero.org/users/local/91fNc9yk/items/2TX3BDTF"],"itemData":{"id":520,"type":"article-journal","abstract":"Over recent years cadherins have emerged as a growing superfamily of molecules, and a complex picture of their structure and their biological functions is becoming apparent. Variation in their extracellular region leads to the large potential for recognition properties of this superfamily. This is demonstrated strikingly by the recently discovered FYN-binding CNR-protocadherins; these exhibit alternative expression of the extracellular portion, which could lead to distinct cell recognition in different neuronal populations, whereas their cytoplasmic part, and therefore intracellular interactions, is constant. Diversity in the cytoplasmic moiety of the cadherins imparts specificity to their interactions with cytoplasmic components; for example, classical cadherins interact with catenins and the actin filament network, desmosomal cadherins interact with catenins and the intermediate filament system and CNR-cadherins interact with the SRC-family kinase FYN. Recent evidence suggests that CNR-cadherins, 7TM-cadherins and T-cadherin, which is tethered to the membrane by a GPI anchor, all localise to lipid rafts, specialised cell membrane domains rich in signalling molecules. Originally thought of as cell adhesion molecules, cadherin superfamily molecules are now known to be involved in many biological processes, such as cell recognition, cell signalling, cell communication, morphogenesis, angiogenesis and possibly even neurotransmission.","container-title":"Journal of Cell Science","ISSN":"0021-9533","issue":"Pt 4","journalAbbreviation":"J. Cell. Sci.","language":"eng","note":"PMID: 11171368","page":"629-641","source":"PubMed","title":"The cadherin superfamily: diversity in form and function","title-short":"The cadherin superfamily","volume":"114","author":[{"family":"Angst","given":"B. D."},{"family":"Marcozzi","given":"C."},{"family":"Magee","given":"A. I."}],"issued":{"date-parts":[["2001",2]]}}},{"id":"wiida5Bo/V0tWG234","uris":["http://zotero.org/users/local/91fNc9yk/items/QFULYZYQ"],"itemData":{"id":519,"type":"article-journal","container-title":"Cell and Tissue Research","DOI":"10.1007/s00441-005-0148-2","ISSN":"0302-766X, 1432-0878","issue":"3","journalAbbreviation":"Cell Tissue Res","language":"en","page":"411-422","source":"DOI.org (Crossref)","title":"Dynamic analysis of hepatoma spheroid formation: roles of E-cadherin and β1-integrin","title-short":"Dynamic analysis of hepatoma spheroid formation","volume":"324","author":[{"family":"Lin","given":"Ruei-Zeng"},{"family":"Chou","given":"Li-Fang"},{"family":"Chien","given":"Chi-Chen Michael"},{"family":"Chang","given":"Hwan-You"}],"issued":{"date-parts":[["2006",6]]}}}],"schema":"https://github.com/citation-style-language/schema/raw/master/csl-citation.json"}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286,287</w:t>
      </w:r>
      <w:r w:rsidRPr="002A7128">
        <w:rPr>
          <w:rFonts w:ascii="Calibri" w:hAnsi="Calibri" w:cs="Calibri"/>
        </w:rPr>
        <w:fldChar w:fldCharType="end"/>
      </w:r>
      <w:r w:rsidRPr="002A7128">
        <w:rPr>
          <w:rFonts w:ascii="Calibri" w:hAnsi="Calibri" w:cs="Calibri"/>
        </w:rPr>
        <w:t xml:space="preserve"> and strengthens cell-cell interactions in collaboration with cytoskeleton proteins</w:t>
      </w:r>
      <w:r w:rsidRPr="002A7128">
        <w:rPr>
          <w:rFonts w:ascii="Calibri" w:hAnsi="Calibri" w:cs="Calibri"/>
        </w:rPr>
        <w:fldChar w:fldCharType="begin"/>
      </w:r>
      <w:r w:rsidR="00317E7D" w:rsidRPr="002A7128">
        <w:rPr>
          <w:rFonts w:ascii="Calibri" w:hAnsi="Calibri" w:cs="Calibri"/>
        </w:rPr>
        <w:instrText xml:space="preserve"> ADDIN ZOTERO_ITEM CSL_CITATION {"citationID":"OYjAcPAq","properties":{"formattedCitation":"\\super 288\\nosupersub{}","plainCitation":"288","noteIndex":0},"citationItems":[{"id":"wiida5Bo/wglyvkKE","uris":["http://zotero.org/users/local/91fNc9yk/items/MQSX9ZGU"],"itemData":{"id":532,"type":"article-journal","container-title":"Cellular and Molecular Life Sciences","DOI":"10.1007/s00018-008-8281-1","ISSN":"1420-682X, 1420-9071","issue":"23","journalAbbreviation":"Cell. Mol. Life Sci.","language":"en","page":"3756-3788","source":"DOI.org (Crossref)","title":"The cell-cell adhesion molecule E-cadherin","volume":"65","author":[{"family":"Roy","given":"F.","non-dropping-particle":"van"},{"family":"Berx","given":"G."}],"issued":{"date-parts":[["2008",12]]}}}],"schema":"https://github.com/citation-style-language/schema/raw/master/csl-citation.json"}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288</w:t>
      </w:r>
      <w:r w:rsidRPr="002A7128">
        <w:rPr>
          <w:rFonts w:ascii="Calibri" w:hAnsi="Calibri" w:cs="Calibri"/>
        </w:rPr>
        <w:fldChar w:fldCharType="end"/>
      </w:r>
      <w:r w:rsidRPr="002A7128">
        <w:rPr>
          <w:rFonts w:ascii="Calibri" w:hAnsi="Calibri" w:cs="Calibri"/>
        </w:rPr>
        <w:t xml:space="preserve"> EOC is a complex disease and may originate either from the epithelial cells at the surface of ovaries or from those of the fallopian tubes</w:t>
      </w:r>
      <w:r w:rsidRPr="002A7128">
        <w:rPr>
          <w:rFonts w:ascii="Calibri" w:hAnsi="Calibri" w:cs="Calibri"/>
        </w:rPr>
        <w:fldChar w:fldCharType="begin"/>
      </w:r>
      <w:r w:rsidR="00317E7D" w:rsidRPr="002A7128">
        <w:rPr>
          <w:rFonts w:ascii="Calibri" w:hAnsi="Calibri" w:cs="Calibri"/>
        </w:rPr>
        <w:instrText xml:space="preserve"> ADDIN ZOTERO_ITEM CSL_CITATION {"citationID":"HPOXrppJ","properties":{"formattedCitation":"\\super 289\\nosupersub{}","plainCitation":"289","noteIndex":0},"citationItems":[{"id":"wiida5Bo/xqs5RpHQ","uris":["http://zotero.org/users/local/91fNc9yk/items/62PHM5P5"],"itemData":{"id":522,"type":"article-journal","container-title":"Endocrine Reviews","DOI":"10.1210/edrv.22.2.0422","ISSN":"0163-769X, 1945-7189","issue":"2","journalAbbreviation":"Endocrine Reviews","language":"en","page":"255-288","source":"DOI.org (Crossref)","title":"Ovarian Surface Epithelium: Biology, Endocrinology, and Pathology &lt;sup&gt;1&lt;/sup&gt;","title-short":"Ovarian Surface Epithelium","volume":"22","author":[{"family":"Auersperg","given":"Nelly"},{"family":"Wong","given":"Alice S. T."},{"family":"Choi","given":"Kyung-Chul"},{"family":"Kang","given":"Sung Keun"},{"family":"Leung","given":"Peter C. K."}],"issued":{"date-parts":[["2001",4]]}}}],"schema":"https://github.com/citation-style-language/schema/raw/master/csl-citation.json"}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289</w:t>
      </w:r>
      <w:r w:rsidRPr="002A7128">
        <w:rPr>
          <w:rFonts w:ascii="Calibri" w:hAnsi="Calibri" w:cs="Calibri"/>
        </w:rPr>
        <w:fldChar w:fldCharType="end"/>
      </w:r>
      <w:r w:rsidRPr="002A7128">
        <w:rPr>
          <w:rFonts w:ascii="Calibri" w:hAnsi="Calibri" w:cs="Calibri"/>
        </w:rPr>
        <w:t xml:space="preserve"> where E-cadherin regulates the epithelial cell behavior</w:t>
      </w:r>
      <w:r w:rsidRPr="002A7128">
        <w:rPr>
          <w:rFonts w:ascii="Calibri" w:hAnsi="Calibri" w:cs="Calibri"/>
        </w:rPr>
        <w:fldChar w:fldCharType="begin"/>
      </w:r>
      <w:r w:rsidR="00317E7D" w:rsidRPr="002A7128">
        <w:rPr>
          <w:rFonts w:ascii="Calibri" w:hAnsi="Calibri" w:cs="Calibri"/>
        </w:rPr>
        <w:instrText xml:space="preserve"> ADDIN ZOTERO_ITEM CSL_CITATION {"citationID":"j38k8mo4","properties":{"formattedCitation":"\\super 288\\nosupersub{}","plainCitation":"288","noteIndex":0},"citationItems":[{"id":"wiida5Bo/wglyvkKE","uris":["http://zotero.org/users/local/91fNc9yk/items/MQSX9ZGU"],"itemData":{"id":532,"type":"article-journal","container-title":"Cellular and Molecular Life Sciences","DOI":"10.1007/s00018-008-8281-1","ISSN":"1420-682X, 1420-9071","issue":"23","journalAbbreviation":"Cell. Mol. Life Sci.","language":"en","page":"3756-3788","source":"DOI.org (Crossref)","title":"The cell-cell adhesion molecule E-cadherin","volume":"65","author":[{"family":"Roy","given":"F.","non-dropping-particle":"van"},{"family":"Berx","given":"G."}],"issued":{"date-parts":[["2008",12]]}}}],"schema":"https://github.com/citation-style-language/schema/raw/master/csl-citation.json"}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288</w:t>
      </w:r>
      <w:r w:rsidRPr="002A7128">
        <w:rPr>
          <w:rFonts w:ascii="Calibri" w:hAnsi="Calibri" w:cs="Calibri"/>
        </w:rPr>
        <w:fldChar w:fldCharType="end"/>
      </w:r>
      <w:r w:rsidRPr="002A7128">
        <w:rPr>
          <w:rFonts w:ascii="Calibri" w:hAnsi="Calibri" w:cs="Calibri"/>
        </w:rPr>
        <w:t>. While E-cadherin is downregulated in EMT, vimentin (a mesenchymal intermediate filament cytoskeletal protein) is upregulated in EMT;</w:t>
      </w:r>
      <w:r w:rsidRPr="002A7128">
        <w:rPr>
          <w:rFonts w:ascii="Calibri" w:hAnsi="Calibri" w:cs="Calibri"/>
        </w:rPr>
        <w:fldChar w:fldCharType="begin"/>
      </w:r>
      <w:r w:rsidR="00317E7D" w:rsidRPr="002A7128">
        <w:rPr>
          <w:rFonts w:ascii="Calibri" w:hAnsi="Calibri" w:cs="Calibri"/>
        </w:rPr>
        <w:instrText xml:space="preserve"> ADDIN ZOTERO_ITEM CSL_CITATION {"citationID":"piwhDHcM","properties":{"formattedCitation":"\\super 290\\nosupersub{}","plainCitation":"290","noteIndex":0},"citationItems":[{"id":"wiida5Bo/QxsJbaam","uris":["http://zotero.org/users/local/91fNc9yk/items/KERZUA6F"],"itemData":{"id":568,"type":"article-journal","container-title":"The FASEB Journal","DOI":"10.1096/fj.09-151639","ISSN":"0892-6638, 1530-6860","issue":"6","journalAbbreviation":"FASEB j.","language":"en","page":"1838-1851","source":"DOI.org (Crossref)","title":"Vimentin induces changes in cell shape, motility, and adhesion during the epithelial to mesenchymal transition","volume":"24","author":[{"family":"Mendez","given":"Melissa G."},{"family":"Kojima","given":"Shin‐Ichiro"},{"family":"Goldman","given":"Robert D."}],"issued":{"date-parts":[["2010",6]]}}}],"schema":"https://github.com/citation-style-language/schema/raw/master/csl-citation.json"}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290</w:t>
      </w:r>
      <w:r w:rsidRPr="002A7128">
        <w:rPr>
          <w:rFonts w:ascii="Calibri" w:hAnsi="Calibri" w:cs="Calibri"/>
        </w:rPr>
        <w:fldChar w:fldCharType="end"/>
      </w:r>
      <w:r w:rsidRPr="002A7128">
        <w:rPr>
          <w:rFonts w:ascii="Calibri" w:hAnsi="Calibri" w:cs="Calibri"/>
        </w:rPr>
        <w:t xml:space="preserve"> overexpression of vimentin is highly correlated with increased motility and invasive profile in cancer cells</w:t>
      </w:r>
      <w:r w:rsidRPr="002A7128">
        <w:rPr>
          <w:rFonts w:ascii="Calibri" w:hAnsi="Calibri" w:cs="Calibri"/>
        </w:rPr>
        <w:fldChar w:fldCharType="begin"/>
      </w:r>
      <w:r w:rsidR="00317E7D" w:rsidRPr="002A7128">
        <w:rPr>
          <w:rFonts w:ascii="Calibri" w:hAnsi="Calibri" w:cs="Calibri"/>
        </w:rPr>
        <w:instrText xml:space="preserve"> ADDIN ZOTERO_ITEM CSL_CITATION {"citationID":"Ug07Se77","properties":{"formattedCitation":"\\super 291,292\\nosupersub{}","plainCitation":"291,292","noteIndex":0},"citationItems":[{"id":"wiida5Bo/O0dcQMnU","uris":["http://zotero.org/users/local/91fNc9yk/items/22KA7ZDC"],"itemData":{"id":571,"type":"article-journal","abstract":"Loss of a vimentin network due to gene disruption created viable mice that did not differ overtly from wild-type littermates. Here, primary fibroblasts derived from vimentin-deficient (-/-) and wild-type (+/+) mouse embryos were cultured, and biological functions were studied in in vitro systems resembling stress situations. Stiffness of -/- fibroblasts was reduced by 40% in comparison to wild-type cells. Vimentin-deficient cells also displayed reduced mechanical stability, motility and directional migration towards different chemo-attractive stimuli. Reorganization of collagen fibrils and contraction of collagen lattices were severely impaired. The spatial organization of focal contact proteins, as well as actin microfilament organization was disturbed. Thus, absence of a vimentin filament network does not impair basic cellular functions needed for growth in culture, but cells are mechanically less stable, and we propose that therefore they are impaired in all functions depending upon mechanical stability.","container-title":"Journal of Cell Science","ISSN":"0021-9533","journalAbbreviation":"J. Cell. Sci.","language":"eng","note":"PMID: 9625752","page":"1897-1907","source":"PubMed","title":"Impaired mechanical stability, migration and contractile capacity in vimentin-deficient fibroblasts","volume":"111 ( Pt 13)","author":[{"family":"Eckes","given":"B."},{"family":"Dogic","given":"D."},{"family":"Colucci-Guyon","given":"E."},{"family":"Wang","given":"N."},{"family":"Maniotis","given":"A."},{"family":"Ingber","given":"D."},{"family":"Merckling","given":"A."},{"family":"Langa","given":"F."},{"family":"Aumailley","given":"M."},{"family":"Delouvée","given":"A."},{"family":"Koteliansky","given":"V."},{"family":"Babinet","given":"C."},{"family":"Krieg","given":"T."}],"issued":{"date-parts":[["1998",7]]}}},{"id":"wiida5Bo/6hotTgZz","uris":["http://zotero.org/users/local/91fNc9yk/items/QYVIS7D8"],"itemData":{"id":569,"type":"article-journal","container-title":"American Journal of Respiratory Cell and Molecular Biology","DOI":"10.1165/rcmb.2013-0314TR","ISSN":"1044-1549, 1535-4989","journalAbbreviation":"Am J Respir Cell Mol Biol","language":"en","page":"130827094923003","source":"DOI.org (Crossref)","title":"The Role of Vimentin Intermediate Filaments in the Progression of Lung Cancer","author":[{"family":"Kidd","given":"Martha E"},{"family":"Shumaker","given":"Dale K"},{"family":"Ridge","given":"Karen M"}],"issued":{"date-parts":[["2013",8,27]]}}}],"schema":"https://github.com/citation-style-language/schema/raw/master/csl-citation.json"}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291,292</w:t>
      </w:r>
      <w:r w:rsidRPr="002A7128">
        <w:rPr>
          <w:rFonts w:ascii="Calibri" w:hAnsi="Calibri" w:cs="Calibri"/>
        </w:rPr>
        <w:fldChar w:fldCharType="end"/>
      </w:r>
      <w:r w:rsidRPr="002A7128">
        <w:rPr>
          <w:rFonts w:ascii="Calibri" w:hAnsi="Calibri" w:cs="Calibri"/>
        </w:rPr>
        <w:t>. However, the EOC shows ambiguous EMT phenotype, in terms of expression levels of these markers and how these changes affect the tumor progression and invasiveness</w:t>
      </w:r>
      <w:r w:rsidRPr="002A7128">
        <w:rPr>
          <w:rFonts w:ascii="Calibri" w:hAnsi="Calibri" w:cs="Calibri"/>
        </w:rPr>
        <w:fldChar w:fldCharType="begin"/>
      </w:r>
      <w:r w:rsidR="00A64B61" w:rsidRPr="002A7128">
        <w:rPr>
          <w:rFonts w:ascii="Calibri" w:hAnsi="Calibri" w:cs="Calibri"/>
        </w:rPr>
        <w:instrText xml:space="preserve"> ADDIN ZOTERO_ITEM CSL_CITATION {"citationID":"gCWdkERw","properties":{"formattedCitation":"\\super 293,294\\nosupersub{}","plainCitation":"293,294","noteIndex":0},"citationItems":[{"id":103,"uris":["http://zotero.org/users/5797461/items/37H29239"],"itemData":{"id":103,"type":"article-journal","abstract":"The mesodermally derived normal ovarian surface epithelium (OSE) displays both epithelial and mesenchymal characteristics and exhibits remarkable phenotypic plasticity during post-ovulatory repair. The majority of epithelial ovarian carcinomas (EOC) are derived from the OSE and represent the most lethal of all gynecological malignancies, as most patients (approximately 70%) present at diagnosis with disseminated intra-abdominal metastasis. The predominant pattern of EOC metastasis involves pelvic dissemination rather than lymphatic or hematologic spread, distinguishing EOC from other solid tumors. Acquisition of the metastatic phenotype involves a complex series of interrelated cellular events leading to dissociation (shedding) and dispersal of malignant cells. A key event in this process is disruption of cell-cell contacts via modulation of intercellular junctional components. In contrast to most carcinomas that downregulate E-cadherin expression during tumor progression, a unique feature of primary well-differentiated ovarian cancers is a gain of epithelial features, characterized by an increase in expression of E-cadherin. Subsequent reacquisition of mesenchymal features is observed in more advanced tumors with concomitant loss of E-cadherin expression and/or function during progression to metastasis. The functional consequences of this remarkable phenotypic plasticity are not fully understood, but may play a role in modulation of cell survival in suspension (ascites), chemoresistance, and intraperitoneal anchoring of metastatic lesions.","container-title":"Clinical &amp; Experimental Metastasis","DOI":"10.1007/s10585-008-9171-5","ISSN":"0262-0898","issue":"6","journalAbbreviation":"Clin. Exp. Metastasis","language":"eng","note":"PMID: 18398687\nPMCID: PMC2836537","page":"643-655","source":"PubMed","title":"Phenotypic plasticity of neoplastic ovarian epithelium: unique cadherin profiles in tumor progression","title-short":"Phenotypic plasticity of neoplastic ovarian epithelium","volume":"25","author":[{"family":"Hudson","given":"Laurie G."},{"family":"Zeineldin","given":"Reema"},{"family":"Stack","given":"M. Sharon"}],"issued":{"date-parts":[["2008"]]},"citation-key":"hudson_phenotypic_2008"}},{"id":100,"uris":["http://zotero.org/users/5797461/items/TJ267BZP"],"itemData":{"id":100,"type":"article-journal","abstract":"Cancer that arises from the ovarian surface epithelium (OSE) accounts for approximately 90% of human ovarian cancer, and is the fourth leading cause of cancer-related deaths among women in developed countries. The pathophysiology of epithelial ovarian cancer is still unclear because of the poor understanding of the complex nature of its development and the unusual mechanism(s) of disease progression. Recent studies have reported epithelial-mesenchymal transition (EMT) in cultured OSE and ovarian cancer cell lines in response to various stimuli, but our understanding of the importance of these observations for normal ovarian physiology and cancer progression is not well established. This review highlights the current literature on EMT-associated events in normal OSE and ovarian cancer cell lines, and discusses its implication for normal ovarian function as well as acquisition of neoplastic phenotypes. The pathological changes in OSE in response to EMT during neoplastic transformation and the contribution of hormones, growth factors, and cytokines that initiate and drive EMT to sustain normal ovarian function, as well as cancer development and progression are also discussed. Finally, emphasis is placed on the clinical implications of EMT and potential therapeutic opportunities that may arise from these observations have been proposed.","container-title":"Journal of Cellular Physiology","DOI":"10.1002/jcp.21240","ISSN":"1097-4652","issue":"3","journalAbbreviation":"J. Cell. Physiol.","language":"eng","note":"PMID: 17708542","page":"581-588","source":"PubMed","title":"Epithelial-mesenchymal interconversions in normal ovarian surface epithelium and ovarian carcinomas: an exception to the norm","title-short":"Epithelial-mesenchymal interconversions in normal ovarian surface epithelium and ovarian carcinomas","volume":"213","author":[{"family":"Ahmed","given":"Nuzhat"},{"family":"Thompson","given":"Erik W."},{"family":"Quinn","given":"Michael A."}],"issued":{"date-parts":[["2007",12]]},"citation-key":"ahmed_epithelial-mesenchymal_2007"}}],"schema":"https://github.com/citation-style-language/schema/raw/master/csl-citation.json"}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293,294</w:t>
      </w:r>
      <w:r w:rsidRPr="002A7128">
        <w:rPr>
          <w:rFonts w:ascii="Calibri" w:hAnsi="Calibri" w:cs="Calibri"/>
        </w:rPr>
        <w:fldChar w:fldCharType="end"/>
      </w:r>
      <w:r w:rsidRPr="002A7128">
        <w:rPr>
          <w:rFonts w:ascii="Calibri" w:hAnsi="Calibri" w:cs="Calibri"/>
        </w:rPr>
        <w:t>.</w:t>
      </w:r>
    </w:p>
    <w:p w14:paraId="01A0736D" w14:textId="6DFC8791" w:rsidR="000711C0" w:rsidRPr="002A7128" w:rsidRDefault="000711C0" w:rsidP="00F675B4">
      <w:pPr>
        <w:spacing w:line="480" w:lineRule="auto"/>
        <w:jc w:val="both"/>
        <w:rPr>
          <w:rFonts w:ascii="Calibri" w:hAnsi="Calibri" w:cs="Calibri"/>
          <w:color w:val="000000" w:themeColor="text1"/>
        </w:rPr>
      </w:pPr>
      <w:r w:rsidRPr="002A7128">
        <w:rPr>
          <w:rFonts w:ascii="Calibri" w:hAnsi="Calibri" w:cs="Calibri"/>
        </w:rPr>
        <w:t>Recent advances in three-dimensional (3D) cell culture techniques have substantially reduced the gap between in vitro and in vivo</w:t>
      </w:r>
      <w:r w:rsidRPr="002A7128">
        <w:rPr>
          <w:rFonts w:ascii="Calibri" w:hAnsi="Calibri" w:cs="Calibri"/>
        </w:rPr>
        <w:fldChar w:fldCharType="begin" w:fldLock="1"/>
      </w:r>
      <w:r w:rsidR="00317E7D" w:rsidRPr="002A7128">
        <w:rPr>
          <w:rFonts w:ascii="Calibri" w:hAnsi="Calibri" w:cs="Calibri"/>
        </w:rPr>
        <w:instrText xml:space="preserve"> ADDIN ZOTERO_ITEM CSL_CITATION {"citationID":"DlUEsoFN","properties":{"formattedCitation":"\\super 295\\nosupersub{}","plainCitation":"295","noteIndex":0},"citationItems":[{"id":"wiida5Bo/doFJXByu","uris":["http://www.mendeley.com/documents/?uuid=b9c9ea4e-2fef-4ddd-8eb3-dd6938341138"],"itemData":{"DOI":"10.1038/nrm2236","ISBN":"1471-0080 (Electronic) 1471-0072 (Linking)","ISSN":"14710072","PMID":"17684528","abstract":"Moving from cell monolayers to three-dimensional (3D) cultures is motivated by the need to work with cellular models that mimic the functions of living tissues. Essential cellular functions that are present in tissues are missed by 'petri dish'-based cell cultures. This limits their potential to predict the cellular responses of real organisms. However, establishing 3D cultures as a mainstream approach requires the development of standard protocols, new cell lines and quantitative analysis methods, which include well-suited three-dimensional imaging techniques. We believe that 3D cultures will have a strong impact on drug screening and will also decrease the use of laboratory animals, for example, in the context of toxicity assays.","author":[{"dropping-particle":"","family":"Pampaloni","given":"Francesco","non-dropping-particle":"","parse-names":false,"suffix":""},{"dropping-particle":"","family":"Reynaud","given":"Emmanuel G.","non-dropping-particle":"","parse-names":false,"suffix":""},{"dropping-particle":"","family":"Stelzer","given":"Ernst H K","non-dropping-particle":"","parse-names":false,"suffix":""}],"container-title":"Nature Reviews Molecular Cell Biology","id":"ITEM-1","issued":{"date-parts":[["2007"]]},"title":"The third dimension bridges the gap between cell culture and live tissue","type":"article"}}],"schema":"https://github.com/citation-style-language/schema/raw/master/csl-citation.json"}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295</w:t>
      </w:r>
      <w:r w:rsidRPr="002A7128">
        <w:rPr>
          <w:rFonts w:ascii="Calibri" w:hAnsi="Calibri" w:cs="Calibri"/>
        </w:rPr>
        <w:fldChar w:fldCharType="end"/>
      </w:r>
      <w:r w:rsidRPr="002A7128">
        <w:rPr>
          <w:rFonts w:ascii="Calibri" w:hAnsi="Calibri" w:cs="Calibri"/>
        </w:rPr>
        <w:t xml:space="preserve"> environments. 3D </w:t>
      </w:r>
      <w:r w:rsidRPr="002A7128">
        <w:rPr>
          <w:rFonts w:ascii="Calibri" w:hAnsi="Calibri" w:cs="Calibri"/>
          <w:color w:val="000000" w:themeColor="text1"/>
        </w:rPr>
        <w:t xml:space="preserve">cultures offer </w:t>
      </w:r>
      <w:r w:rsidRPr="002A7128">
        <w:rPr>
          <w:rFonts w:ascii="Calibri" w:hAnsi="Calibri" w:cs="Calibri"/>
          <w:i/>
          <w:color w:val="000000" w:themeColor="text1"/>
        </w:rPr>
        <w:t>in-vivo</w:t>
      </w:r>
      <w:r w:rsidRPr="002A7128">
        <w:rPr>
          <w:rFonts w:ascii="Calibri" w:hAnsi="Calibri" w:cs="Calibri"/>
          <w:color w:val="000000" w:themeColor="text1"/>
        </w:rPr>
        <w:t>-like cell-to-extracellular matrix (ECM) and cell-to-cell interactions which cannot be achieved by traditional monolayer cell culture</w:t>
      </w:r>
      <w:r w:rsidRPr="002A7128">
        <w:rPr>
          <w:rFonts w:ascii="Calibri" w:hAnsi="Calibri" w:cs="Calibri"/>
          <w:color w:val="000000" w:themeColor="text1"/>
        </w:rPr>
        <w:fldChar w:fldCharType="begin" w:fldLock="1"/>
      </w:r>
      <w:r w:rsidR="00317E7D" w:rsidRPr="002A7128">
        <w:rPr>
          <w:rFonts w:ascii="Calibri" w:hAnsi="Calibri" w:cs="Calibri"/>
          <w:color w:val="000000" w:themeColor="text1"/>
        </w:rPr>
        <w:instrText xml:space="preserve"> ADDIN ZOTERO_ITEM CSL_CITATION {"citationID":"2EO4oi3N","properties":{"formattedCitation":"\\super 295,296\\nosupersub{}","plainCitation":"295,296","noteIndex":0},"citationItems":[{"id":"wiida5Bo/doFJXByu","uris":["http://www.mendeley.com/documents/?uuid=b9c9ea4e-2fef-4ddd-8eb3-dd6938341138"],"itemData":{"DOI":"10.1038/nrm2236","ISBN":"1471-0080 (Electronic) 1471-0072 (Linking)","ISSN":"14710072","PMID":"17684528","abstract":"Moving from cell monolayers to three-dimensional (3D) cultures is motivated by the need to work with cellular models that mimic the functions of living tissues. Essential cellular functions that are present in tissues are missed by 'petri dish'-based cell cultures. This limits their potential to predict the cellular responses of real organisms. However, establishing 3D cultures as a mainstream approach requires the development of standard protocols, new cell lines and quantitative analysis methods, which include well-suited three-dimensional imaging techniques. We believe that 3D cultures will have a strong impact on drug screening and will also decrease the use of laboratory animals, for example, in the context of toxicity assays.","author":[{"dropping-particle":"","family":"Pampaloni","given":"Francesco","non-dropping-particle":"","parse-names":false,"suffix":""},{"dropping-particle":"","family":"Reynaud","given":"Emmanuel G.","non-dropping-particle":"","parse-names":false,"suffix":""},{"dropping-particle":"","family":"Stelzer","given":"Ernst H K","non-dropping-particle":"","parse-names":false,"suffix":""}],"container-title":"Nature Reviews Molecular Cell Biology","id":"ITEM-1","issued":{"date-parts":[["2007"]]},"title":"The third dimension bridges the gap between cell culture and live tissue","type":"article"}},{"id":"wiida5Bo/Xl6QtHLN","uris":["http://www.mendeley.com/documents/?uuid=88055a77-e03a-49ad-88f7-3422d6b6f04f"],"itemData":{"DOI":"10.1038/s41568-018-0104-6","ISSN":"14741768","PMID":"30647431","abstract":"One of the problems that has slowed the development and approval of new anticancer therapies is the lack of preclinical models that can be used to identify key molecular, cellular and biophysical features of human cancer progression. This is because most in vitro cancer models fail to faithfully recapitulate the local tissue and organ microenvironment in which tumours form, which substantially contributes to the complex pathophysiology of the disease. More complex in vitro cancer models have been developed, including transwell cell cultures, spheroids and organoids grown within flexible extracellular matrix gels, which better mimic normal and cancerous tissue development than cells maintained on conventional 2D substrates. But these models still lack the tissue–tissue interfaces, organ-level structures, fluid flows and mechanical cues that cells experience within living organs, and furthermore, it is difficult to collect samples from the different tissue microcompartments. In this Review, we outline how recent developments in microfluidic cell culture technology have led to the generation of human organs-on-chips (also known as organ chips) that are now being used to model cancer cell behaviour within human-relevant tissue and organ microenvironments in vitro. Organ chips enable experimentalists to vary local cellular, molecular, chemical and biophysical parameters in a controlled manner, both individually and in precise combinations, while analysing how they contribute to human cancer formation and progression and responses to therapy. We also discuss the challenges that must be overcome to ensure that organ chip models meet the needs of cancer researchers, drug developers and clinicians interested in personalized medicine.","author":[{"dropping-particle":"","family":"Sontheimer-Phelps","given":"Alexandra","non-dropping-particle":"","parse-names":false,"suffix":""},{"dropping-particle":"","family":"Hassell","given":"Bryan A.","non-dropping-particle":"","parse-names":false,"suffix":""},{"dropping-particle":"","family":"Ingber","given":"Donald E.","non-dropping-particle":"","parse-names":false,"suffix":""}],"container-title":"Nature Reviews Cancer","id":"ITEM-2","issued":{"date-parts":[["2019"]]},"title":"Modelling cancer in microfluidic human organs-on-chips","type":"article"}}],"schema":"https://github.com/citation-style-language/schema/raw/master/csl-citation.json"} </w:instrText>
      </w:r>
      <w:r w:rsidRPr="002A7128">
        <w:rPr>
          <w:rFonts w:ascii="Calibri" w:hAnsi="Calibri" w:cs="Calibri"/>
          <w:color w:val="000000" w:themeColor="text1"/>
        </w:rPr>
        <w:fldChar w:fldCharType="separate"/>
      </w:r>
      <w:r w:rsidR="00A64B61" w:rsidRPr="002A7128">
        <w:rPr>
          <w:rFonts w:ascii="Calibri" w:hAnsi="Calibri" w:cs="Calibri"/>
          <w:color w:val="000000"/>
          <w:vertAlign w:val="superscript"/>
        </w:rPr>
        <w:t>295,296</w:t>
      </w:r>
      <w:r w:rsidRPr="002A7128">
        <w:rPr>
          <w:rFonts w:ascii="Calibri" w:hAnsi="Calibri" w:cs="Calibri"/>
          <w:color w:val="000000" w:themeColor="text1"/>
        </w:rPr>
        <w:fldChar w:fldCharType="end"/>
      </w:r>
      <w:r w:rsidRPr="002A7128">
        <w:rPr>
          <w:rFonts w:ascii="Calibri" w:hAnsi="Calibri" w:cs="Calibri"/>
          <w:color w:val="000000" w:themeColor="text1"/>
        </w:rPr>
        <w:t xml:space="preserve">. Because EOC disseminates mainly in the form of multi-cellular </w:t>
      </w:r>
      <w:r w:rsidRPr="002A7128">
        <w:rPr>
          <w:rFonts w:ascii="Calibri" w:hAnsi="Calibri" w:cs="Calibri"/>
          <w:color w:val="000000" w:themeColor="text1"/>
        </w:rPr>
        <w:lastRenderedPageBreak/>
        <w:t xml:space="preserve">aggregates/spheroids, spheroid formation has widely been used for in vitro tumor models to investigate ovarian cancer. </w:t>
      </w:r>
    </w:p>
    <w:p w14:paraId="21088187" w14:textId="52C35A3A" w:rsidR="000711C0" w:rsidRPr="002A7128" w:rsidRDefault="000711C0" w:rsidP="00F675B4">
      <w:pPr>
        <w:spacing w:line="480" w:lineRule="auto"/>
        <w:jc w:val="both"/>
        <w:rPr>
          <w:rFonts w:ascii="Calibri" w:hAnsi="Calibri" w:cs="Calibri"/>
        </w:rPr>
      </w:pPr>
      <w:r w:rsidRPr="002A7128">
        <w:rPr>
          <w:rFonts w:ascii="Calibri" w:hAnsi="Calibri" w:cs="Calibri"/>
        </w:rPr>
        <w:t>In this study, we examined two key EOC cell lines that form spheroids with morphologies and sizes similar to those observed in patients</w:t>
      </w:r>
      <w:r w:rsidRPr="002A7128">
        <w:rPr>
          <w:rFonts w:ascii="Calibri" w:hAnsi="Calibri" w:cs="Calibri"/>
        </w:rPr>
        <w:fldChar w:fldCharType="begin"/>
      </w:r>
      <w:r w:rsidR="00317E7D" w:rsidRPr="002A7128">
        <w:rPr>
          <w:rFonts w:ascii="Calibri" w:hAnsi="Calibri" w:cs="Calibri"/>
        </w:rPr>
        <w:instrText xml:space="preserve"> ADDIN ZOTERO_ITEM CSL_CITATION {"citationID":"mB0LUpUm","properties":{"formattedCitation":"\\super 297\\nosupersub{}","plainCitation":"297","noteIndex":0},"citationItems":[{"id":"wiida5Bo/D9z147K9","uris":["http://zotero.org/users/local/91fNc9yk/items/A3W6SIU2"],"itemData":{"id":77,"type":"article-journal","abstract":"Ovarian carcinoma multicellular spheroids are an in vitro model of micrometastasis whose adhesive abilities have not been elucidated. In this study, we identified adhesion molecules that mediate the formation of ovarian carcinoma spheroids and their subsequent adhesion to extracellular matrix proteins. The NIH:OVCAR5, but not the SKOV3, ovarian carcinoma cell line formed spheroids similar to multicellular aggregates isolated from patient ascitic fluid. NIH:OVCAR5 spheroid formation was augmented by a beta 1-integrin-stimulating monoclonal antibody or exogenous fibronectin, but was inhibited by blocking monoclonal antibodies against the alpha 5- or beta 1-integrin subunits. By immunohistochemical staining, alpha 2-, alpha 3-, alpha 5-, alpha 6-, and beta 1-integrin subunits, CD44, and fibronectin were detected in NIH:OVCAR5 spheroids. NIH:OVCAR5 spheroids adhered to fibronectin, laminin, and type IV collagen, and this adhesion was partially inhibited by blocking antibodies against the alpha 5-, alpha 6-, and alpha 2-integrin subunits, respectively. A blocking monoclonal antibody against the beta 1-integrin subunit completely inhibited adhesion of the spheroids to all three proteins. These results suggest that interactions between the alpha 5 beta 1-integrin and fibronectin mediate the formation of ovarian carcinoma spheroids and that their adhesion to extracellular matrix proteins at sites of secondary tumor growth may be mediated by a complex interaction between multiple integrins and their ligands.","container-title":"The American Journal of Pathology","DOI":"10.1016/s0002-9440(10)63058-1","ISSN":"0002-9440","issue":"6","journalAbbreviation":"Am. J. Pathol.","language":"eng","note":"PMID: 11733357\nPMCID: PMC1850600","page":"2071-2080","source":"PubMed","title":"Beta 1-integrins regulate the formation and adhesion of ovarian carcinoma multicellular spheroids","volume":"159","author":[{"family":"Casey","given":"R. C."},{"family":"Burleson","given":"K. M."},{"family":"Skubitz","given":"K. M."},{"family":"Pambuccian","given":"S. E."},{"family":"Oegema","given":"T. R."},{"family":"Ruff","given":"L. E."},{"family":"Skubitz","given":"A. P."}],"issued":{"date-parts":[["2001",12]]}}}],"schema":"https://github.com/citation-style-language/schema/raw/master/csl-citation.json"}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297</w:t>
      </w:r>
      <w:r w:rsidRPr="002A7128">
        <w:rPr>
          <w:rFonts w:ascii="Calibri" w:hAnsi="Calibri" w:cs="Calibri"/>
        </w:rPr>
        <w:fldChar w:fldCharType="end"/>
      </w:r>
      <w:r w:rsidRPr="002A7128">
        <w:rPr>
          <w:rFonts w:ascii="Calibri" w:hAnsi="Calibri" w:cs="Calibri"/>
        </w:rPr>
        <w:t xml:space="preserve"> using an ultra-low attachment technique. This approach therefore provides an accurate in vitro model of spheroids from patient-derived ascites, supported by the production of two distinct morphologies across various sizes: OVCAR-3 cells form loose aggregates, while OVCAR-8 cells form compact spheroids. Using this approach, we can therefore address the specific questions: 1) Is there a relationship between spheroid size/morphology and drug resistance in EOC spheroids? 2) Do different spheroid morphologies exhibit different expressions of EMT markers? 3) Are the levels of these markers correlated with the migration profiles of spheroids? The results of this study can, therefore, help to elucidate general rules for ovarian cancer studies based on 3D samples.</w:t>
      </w:r>
    </w:p>
    <w:p w14:paraId="5E5DD482" w14:textId="1D080B80" w:rsidR="000711C0" w:rsidRPr="002A7128" w:rsidRDefault="000711C0">
      <w:pPr>
        <w:pStyle w:val="Heading2"/>
        <w:numPr>
          <w:ilvl w:val="2"/>
          <w:numId w:val="9"/>
        </w:numPr>
        <w:spacing w:line="480" w:lineRule="auto"/>
        <w:rPr>
          <w:rFonts w:ascii="Calibri" w:hAnsi="Calibri" w:cs="Calibri"/>
        </w:rPr>
      </w:pPr>
      <w:bookmarkStart w:id="147" w:name="_Toc120794196"/>
      <w:r w:rsidRPr="002A7128">
        <w:rPr>
          <w:rFonts w:ascii="Calibri" w:hAnsi="Calibri" w:cs="Calibri"/>
        </w:rPr>
        <w:t>Materials &amp; Methods</w:t>
      </w:r>
      <w:bookmarkEnd w:id="147"/>
    </w:p>
    <w:p w14:paraId="50AE6F78" w14:textId="518606A4" w:rsidR="000711C0" w:rsidRPr="002A7128" w:rsidRDefault="000711C0">
      <w:pPr>
        <w:pStyle w:val="Heading2"/>
        <w:numPr>
          <w:ilvl w:val="3"/>
          <w:numId w:val="9"/>
        </w:numPr>
        <w:rPr>
          <w:rFonts w:ascii="Calibri" w:hAnsi="Calibri" w:cs="Calibri"/>
        </w:rPr>
      </w:pPr>
      <w:bookmarkStart w:id="148" w:name="_Toc120794197"/>
      <w:r w:rsidRPr="002A7128">
        <w:rPr>
          <w:rFonts w:ascii="Calibri" w:hAnsi="Calibri" w:cs="Calibri"/>
        </w:rPr>
        <w:t>Cell Culture and Reagents</w:t>
      </w:r>
      <w:bookmarkEnd w:id="148"/>
    </w:p>
    <w:p w14:paraId="70396006" w14:textId="77777777" w:rsidR="00AE1687" w:rsidRPr="002A7128" w:rsidRDefault="00AE1687" w:rsidP="00AE1687">
      <w:pPr>
        <w:rPr>
          <w:rFonts w:ascii="Calibri" w:hAnsi="Calibri" w:cs="Calibri"/>
        </w:rPr>
      </w:pPr>
    </w:p>
    <w:p w14:paraId="4EF72C2E" w14:textId="77777777" w:rsidR="000711C0" w:rsidRPr="002A7128" w:rsidRDefault="000711C0" w:rsidP="00F675B4">
      <w:pPr>
        <w:spacing w:line="480" w:lineRule="auto"/>
        <w:jc w:val="both"/>
        <w:rPr>
          <w:rFonts w:ascii="Calibri" w:hAnsi="Calibri" w:cs="Calibri"/>
          <w:bCs/>
        </w:rPr>
      </w:pPr>
      <w:r w:rsidRPr="002A7128">
        <w:rPr>
          <w:rFonts w:ascii="Calibri" w:hAnsi="Calibri" w:cs="Calibri"/>
          <w:bCs/>
        </w:rPr>
        <w:t>Epithelial ovarian cancer cell lines</w:t>
      </w:r>
      <w:r w:rsidRPr="002A7128">
        <w:rPr>
          <w:rFonts w:ascii="Calibri" w:hAnsi="Calibri" w:cs="Calibri"/>
          <w:b/>
        </w:rPr>
        <w:t xml:space="preserve"> </w:t>
      </w:r>
      <w:r w:rsidRPr="002A7128">
        <w:rPr>
          <w:rFonts w:ascii="Calibri" w:hAnsi="Calibri" w:cs="Calibri"/>
          <w:bCs/>
        </w:rPr>
        <w:t>OVCAR-3 (ATCC # HTB-161), OVCAR-8 (</w:t>
      </w:r>
      <w:r w:rsidRPr="002A7128">
        <w:rPr>
          <w:rFonts w:ascii="Calibri" w:hAnsi="Calibri" w:cs="Calibri"/>
        </w:rPr>
        <w:t xml:space="preserve">NCI-Vial Designation 0507715) </w:t>
      </w:r>
      <w:r w:rsidRPr="002A7128">
        <w:rPr>
          <w:rFonts w:ascii="Calibri" w:hAnsi="Calibri" w:cs="Calibri"/>
          <w:bCs/>
        </w:rPr>
        <w:t xml:space="preserve">were cultured in humidified incubator at 37 </w:t>
      </w:r>
      <w:r w:rsidRPr="002A7128">
        <w:rPr>
          <w:rFonts w:ascii="Calibri" w:hAnsi="Calibri" w:cs="Calibri"/>
          <w:bCs/>
        </w:rPr>
        <w:sym w:font="Symbol" w:char="F0B0"/>
      </w:r>
      <w:r w:rsidRPr="002A7128">
        <w:rPr>
          <w:rFonts w:ascii="Calibri" w:hAnsi="Calibri" w:cs="Calibri"/>
          <w:bCs/>
        </w:rPr>
        <w:t>C supplied with 5% CO</w:t>
      </w:r>
      <w:r w:rsidRPr="002A7128">
        <w:rPr>
          <w:rFonts w:ascii="Calibri" w:hAnsi="Calibri" w:cs="Calibri"/>
          <w:bCs/>
          <w:vertAlign w:val="subscript"/>
        </w:rPr>
        <w:t>2</w:t>
      </w:r>
      <w:r w:rsidRPr="002A7128">
        <w:rPr>
          <w:rFonts w:ascii="Calibri" w:hAnsi="Calibri" w:cs="Calibri"/>
          <w:bCs/>
        </w:rPr>
        <w:t>. Cell line authentication and mycoplasma testing was performed by University of Arizona, Genetics Core.  OVCAR-3 and OVCAR-8 cells were cultured in Roswell Park Memorial Institute (RPMI) media (SIGMA R8758) supplemented with 10% FBS (</w:t>
      </w:r>
      <w:proofErr w:type="spellStart"/>
      <w:r w:rsidRPr="002A7128">
        <w:rPr>
          <w:rFonts w:ascii="Calibri" w:hAnsi="Calibri" w:cs="Calibri"/>
          <w:bCs/>
        </w:rPr>
        <w:t>Hyclone</w:t>
      </w:r>
      <w:proofErr w:type="spellEnd"/>
      <w:r w:rsidRPr="002A7128">
        <w:rPr>
          <w:rFonts w:ascii="Calibri" w:hAnsi="Calibri" w:cs="Calibri"/>
          <w:bCs/>
        </w:rPr>
        <w:t xml:space="preserve"> SH30910.03) and </w:t>
      </w:r>
      <w:r w:rsidRPr="002A7128">
        <w:rPr>
          <w:rFonts w:ascii="Calibri" w:hAnsi="Calibri" w:cs="Calibri"/>
        </w:rPr>
        <w:t xml:space="preserve">1% antibiotics; penicillin (100 U/mL), and streptomycin (100 </w:t>
      </w:r>
      <w:r w:rsidRPr="002A7128">
        <w:rPr>
          <w:rFonts w:ascii="Calibri" w:hAnsi="Calibri" w:cs="Calibri"/>
        </w:rPr>
        <w:sym w:font="Symbol" w:char="F06D"/>
      </w:r>
      <w:r w:rsidRPr="002A7128">
        <w:rPr>
          <w:rFonts w:ascii="Calibri" w:hAnsi="Calibri" w:cs="Calibri"/>
        </w:rPr>
        <w:t>g/mL) (</w:t>
      </w:r>
      <w:proofErr w:type="spellStart"/>
      <w:r w:rsidRPr="002A7128">
        <w:rPr>
          <w:rFonts w:ascii="Calibri" w:hAnsi="Calibri" w:cs="Calibri"/>
        </w:rPr>
        <w:t>Thermo</w:t>
      </w:r>
      <w:proofErr w:type="spellEnd"/>
      <w:r w:rsidRPr="002A7128">
        <w:rPr>
          <w:rFonts w:ascii="Calibri" w:hAnsi="Calibri" w:cs="Calibri"/>
        </w:rPr>
        <w:t xml:space="preserve"> Fisher 15240062) </w:t>
      </w:r>
      <w:r w:rsidRPr="002A7128">
        <w:rPr>
          <w:rFonts w:ascii="Calibri" w:hAnsi="Calibri" w:cs="Calibri"/>
          <w:bCs/>
        </w:rPr>
        <w:t xml:space="preserve">according to the manufacturer’s instructions. </w:t>
      </w:r>
      <w:r w:rsidRPr="002A7128">
        <w:rPr>
          <w:rFonts w:ascii="Calibri" w:hAnsi="Calibri" w:cs="Calibri"/>
        </w:rPr>
        <w:t>T75 flask (TPP 90076) and T25 flask (TPP 90026)</w:t>
      </w:r>
      <w:r w:rsidRPr="002A7128">
        <w:rPr>
          <w:rFonts w:ascii="Calibri" w:hAnsi="Calibri" w:cs="Calibri"/>
          <w:bCs/>
        </w:rPr>
        <w:t xml:space="preserve"> were used for </w:t>
      </w:r>
      <w:r w:rsidRPr="002A7128">
        <w:rPr>
          <w:rFonts w:ascii="Calibri" w:hAnsi="Calibri" w:cs="Calibri"/>
          <w:bCs/>
        </w:rPr>
        <w:lastRenderedPageBreak/>
        <w:t xml:space="preserve">culturing the cells and cells were passaged by using trypsin (Sigma 59418C) upon 85% confluency. Media was changed every 2 days. </w:t>
      </w:r>
    </w:p>
    <w:p w14:paraId="7B66B587" w14:textId="5D6DE9C2" w:rsidR="000711C0" w:rsidRDefault="000711C0">
      <w:pPr>
        <w:pStyle w:val="Heading2"/>
        <w:numPr>
          <w:ilvl w:val="3"/>
          <w:numId w:val="9"/>
        </w:numPr>
        <w:rPr>
          <w:rFonts w:ascii="Calibri" w:hAnsi="Calibri" w:cs="Calibri"/>
        </w:rPr>
      </w:pPr>
      <w:bookmarkStart w:id="149" w:name="_Toc120794198"/>
      <w:r w:rsidRPr="002A7128">
        <w:rPr>
          <w:rFonts w:ascii="Calibri" w:hAnsi="Calibri" w:cs="Calibri"/>
        </w:rPr>
        <w:t>Spheroid Formation and Characterization</w:t>
      </w:r>
      <w:bookmarkEnd w:id="149"/>
      <w:r w:rsidRPr="002A7128">
        <w:rPr>
          <w:rFonts w:ascii="Calibri" w:hAnsi="Calibri" w:cs="Calibri"/>
        </w:rPr>
        <w:t xml:space="preserve"> </w:t>
      </w:r>
    </w:p>
    <w:p w14:paraId="5CAD92BD" w14:textId="77777777" w:rsidR="00A86311" w:rsidRPr="00A86311" w:rsidRDefault="00A86311" w:rsidP="00A86311"/>
    <w:p w14:paraId="2E4EED90" w14:textId="77777777" w:rsidR="000711C0" w:rsidRPr="002A7128" w:rsidRDefault="000711C0" w:rsidP="00F675B4">
      <w:pPr>
        <w:spacing w:line="480" w:lineRule="auto"/>
        <w:jc w:val="both"/>
        <w:rPr>
          <w:rFonts w:ascii="Calibri" w:hAnsi="Calibri" w:cs="Calibri"/>
        </w:rPr>
      </w:pPr>
      <w:r w:rsidRPr="002A7128">
        <w:rPr>
          <w:rFonts w:ascii="Calibri" w:hAnsi="Calibri" w:cs="Calibri"/>
          <w:i/>
          <w:iCs/>
          <w:u w:val="single"/>
        </w:rPr>
        <w:t>Spheroids initiated with 50-100-200 and 500 cells</w:t>
      </w:r>
      <w:r w:rsidRPr="002A7128">
        <w:rPr>
          <w:rFonts w:ascii="Calibri" w:hAnsi="Calibri" w:cs="Calibri"/>
        </w:rPr>
        <w:t xml:space="preserve">: </w:t>
      </w:r>
      <w:proofErr w:type="spellStart"/>
      <w:r w:rsidRPr="002A7128">
        <w:rPr>
          <w:rFonts w:ascii="Calibri" w:hAnsi="Calibri" w:cs="Calibri"/>
        </w:rPr>
        <w:t>AggreWell</w:t>
      </w:r>
      <w:r w:rsidRPr="002A7128">
        <w:rPr>
          <w:rFonts w:ascii="Calibri" w:hAnsi="Calibri" w:cs="Calibri"/>
          <w:vertAlign w:val="superscript"/>
        </w:rPr>
        <w:t>TM</w:t>
      </w:r>
      <w:proofErr w:type="spellEnd"/>
      <w:r w:rsidRPr="002A7128">
        <w:rPr>
          <w:rFonts w:ascii="Calibri" w:hAnsi="Calibri" w:cs="Calibri"/>
        </w:rPr>
        <w:t xml:space="preserve"> 400 plates (STEMCELL Technologies 34415) were used to form ovarian cancer spheroids. Briefly, wells were treated with 500 </w:t>
      </w:r>
      <w:r w:rsidRPr="002A7128">
        <w:rPr>
          <w:rFonts w:ascii="Calibri" w:hAnsi="Calibri" w:cs="Calibri"/>
        </w:rPr>
        <w:sym w:font="Symbol" w:char="F06D"/>
      </w:r>
      <w:r w:rsidRPr="002A7128">
        <w:rPr>
          <w:rFonts w:ascii="Calibri" w:hAnsi="Calibri" w:cs="Calibri"/>
        </w:rPr>
        <w:t xml:space="preserve">l/well anti-adherence rinsing solution (STEMCELL Technologies 07010) and centrifuged for 5 min at 1300 </w:t>
      </w:r>
      <w:r w:rsidRPr="002A7128">
        <w:rPr>
          <w:rFonts w:ascii="Calibri" w:hAnsi="Calibri" w:cs="Calibri"/>
          <w:i/>
          <w:iCs/>
        </w:rPr>
        <w:t>g</w:t>
      </w:r>
      <w:r w:rsidRPr="002A7128">
        <w:rPr>
          <w:rFonts w:ascii="Calibri" w:hAnsi="Calibri" w:cs="Calibri"/>
        </w:rPr>
        <w:t xml:space="preserve">. Then rinsing solution was removed and wells were washed with 2 mL of basal medium. 1 mL of fresh media was added into the wells and 1 mL media containing the desired number of cells were added and the plate was immediately centrifuged for 3 min at 100 </w:t>
      </w:r>
      <w:r w:rsidRPr="002A7128">
        <w:rPr>
          <w:rFonts w:ascii="Calibri" w:hAnsi="Calibri" w:cs="Calibri"/>
          <w:i/>
          <w:iCs/>
        </w:rPr>
        <w:t>g</w:t>
      </w:r>
      <w:r w:rsidRPr="002A7128">
        <w:rPr>
          <w:rFonts w:ascii="Calibri" w:hAnsi="Calibri" w:cs="Calibri"/>
        </w:rPr>
        <w:t xml:space="preserve"> to obtain homogeneous distribution into microwells. For all cell lines, spheroids were initiated with 50, 100, 200 and 500 cells and monitored over the course of 6 days. Media was changed every 2 days by slowly removing 1 mL of medium and addition of 1 mL fresh medium. Each well of </w:t>
      </w:r>
      <w:proofErr w:type="spellStart"/>
      <w:r w:rsidRPr="002A7128">
        <w:rPr>
          <w:rFonts w:ascii="Calibri" w:hAnsi="Calibri" w:cs="Calibri"/>
        </w:rPr>
        <w:t>AggreWell</w:t>
      </w:r>
      <w:r w:rsidRPr="002A7128">
        <w:rPr>
          <w:rFonts w:ascii="Calibri" w:hAnsi="Calibri" w:cs="Calibri"/>
          <w:vertAlign w:val="superscript"/>
        </w:rPr>
        <w:t>TM</w:t>
      </w:r>
      <w:proofErr w:type="spellEnd"/>
      <w:r w:rsidRPr="002A7128">
        <w:rPr>
          <w:rFonts w:ascii="Calibri" w:hAnsi="Calibri" w:cs="Calibri"/>
        </w:rPr>
        <w:t xml:space="preserve"> 400 plates (STEMCELL Technologies 34415) contains 1200 microwells, therefore, number of cells added in each well is calculated accordingly: We have added, </w:t>
      </w:r>
      <m:oMath>
        <m:r>
          <m:rPr>
            <m:sty m:val="p"/>
          </m:rPr>
          <w:rPr>
            <w:rFonts w:ascii="Cambria Math" w:hAnsi="Cambria Math" w:cs="Calibri"/>
            <w:vertAlign w:val="superscript"/>
          </w:rPr>
          <w:br/>
        </m:r>
        <m:r>
          <w:rPr>
            <w:rFonts w:ascii="Cambria Math" w:hAnsi="Cambria Math" w:cs="Calibri"/>
            <w:vertAlign w:val="superscript"/>
          </w:rPr>
          <m:t xml:space="preserve">6 x </m:t>
        </m:r>
        <m:sSup>
          <m:sSupPr>
            <m:ctrlPr>
              <w:rPr>
                <w:rFonts w:ascii="Cambria Math" w:hAnsi="Cambria Math" w:cs="Calibri"/>
                <w:i/>
                <w:vertAlign w:val="superscript"/>
              </w:rPr>
            </m:ctrlPr>
          </m:sSupPr>
          <m:e>
            <m:r>
              <w:rPr>
                <w:rFonts w:ascii="Cambria Math" w:hAnsi="Cambria Math" w:cs="Calibri"/>
                <w:vertAlign w:val="superscript"/>
              </w:rPr>
              <m:t>10</m:t>
            </m:r>
          </m:e>
          <m:sup>
            <m:r>
              <w:rPr>
                <w:rFonts w:ascii="Cambria Math" w:hAnsi="Cambria Math" w:cs="Calibri"/>
                <w:vertAlign w:val="superscript"/>
              </w:rPr>
              <m:t>4</m:t>
            </m:r>
          </m:sup>
        </m:sSup>
      </m:oMath>
      <w:r w:rsidRPr="002A7128">
        <w:rPr>
          <w:rFonts w:ascii="Calibri" w:hAnsi="Calibri" w:cs="Calibri"/>
          <w:vertAlign w:val="superscript"/>
        </w:rPr>
        <w:t xml:space="preserve"> </w:t>
      </w:r>
      <w:r w:rsidRPr="002A7128">
        <w:rPr>
          <w:rFonts w:ascii="Calibri" w:hAnsi="Calibri" w:cs="Calibri"/>
        </w:rPr>
        <w:t xml:space="preserve">cells/well to initiate spheroids with 50 cells, </w:t>
      </w:r>
      <m:oMath>
        <m:r>
          <m:rPr>
            <m:sty m:val="p"/>
          </m:rPr>
          <w:rPr>
            <w:rFonts w:ascii="Cambria Math" w:hAnsi="Cambria Math" w:cs="Calibri"/>
            <w:vertAlign w:val="superscript"/>
          </w:rPr>
          <w:br/>
        </m:r>
        <m:r>
          <w:rPr>
            <w:rFonts w:ascii="Cambria Math" w:hAnsi="Cambria Math" w:cs="Calibri"/>
            <w:vertAlign w:val="superscript"/>
          </w:rPr>
          <m:t xml:space="preserve">1.2 x </m:t>
        </m:r>
        <m:sSup>
          <m:sSupPr>
            <m:ctrlPr>
              <w:rPr>
                <w:rFonts w:ascii="Cambria Math" w:hAnsi="Cambria Math" w:cs="Calibri"/>
                <w:i/>
                <w:vertAlign w:val="superscript"/>
              </w:rPr>
            </m:ctrlPr>
          </m:sSupPr>
          <m:e>
            <m:r>
              <w:rPr>
                <w:rFonts w:ascii="Cambria Math" w:hAnsi="Cambria Math" w:cs="Calibri"/>
                <w:vertAlign w:val="superscript"/>
              </w:rPr>
              <m:t>10</m:t>
            </m:r>
          </m:e>
          <m:sup>
            <m:r>
              <w:rPr>
                <w:rFonts w:ascii="Cambria Math" w:hAnsi="Cambria Math" w:cs="Calibri"/>
                <w:vertAlign w:val="superscript"/>
              </w:rPr>
              <m:t>5</m:t>
            </m:r>
          </m:sup>
        </m:sSup>
      </m:oMath>
      <w:r w:rsidRPr="002A7128">
        <w:rPr>
          <w:rFonts w:ascii="Calibri" w:hAnsi="Calibri" w:cs="Calibri"/>
          <w:vertAlign w:val="superscript"/>
        </w:rPr>
        <w:t xml:space="preserve"> </w:t>
      </w:r>
      <w:r w:rsidRPr="002A7128">
        <w:rPr>
          <w:rFonts w:ascii="Calibri" w:hAnsi="Calibri" w:cs="Calibri"/>
        </w:rPr>
        <w:t xml:space="preserve">cells/well to initiate spheroids with 100 cells, </w:t>
      </w:r>
      <m:oMath>
        <m:r>
          <m:rPr>
            <m:sty m:val="p"/>
          </m:rPr>
          <w:rPr>
            <w:rFonts w:ascii="Cambria Math" w:hAnsi="Cambria Math" w:cs="Calibri"/>
            <w:vertAlign w:val="superscript"/>
          </w:rPr>
          <w:br/>
        </m:r>
        <m:r>
          <w:rPr>
            <w:rFonts w:ascii="Cambria Math" w:hAnsi="Cambria Math" w:cs="Calibri"/>
            <w:vertAlign w:val="superscript"/>
          </w:rPr>
          <m:t xml:space="preserve">2.4 x </m:t>
        </m:r>
        <m:sSup>
          <m:sSupPr>
            <m:ctrlPr>
              <w:rPr>
                <w:rFonts w:ascii="Cambria Math" w:hAnsi="Cambria Math" w:cs="Calibri"/>
                <w:i/>
                <w:vertAlign w:val="superscript"/>
              </w:rPr>
            </m:ctrlPr>
          </m:sSupPr>
          <m:e>
            <m:r>
              <w:rPr>
                <w:rFonts w:ascii="Cambria Math" w:hAnsi="Cambria Math" w:cs="Calibri"/>
                <w:vertAlign w:val="superscript"/>
              </w:rPr>
              <m:t>10</m:t>
            </m:r>
          </m:e>
          <m:sup>
            <m:r>
              <w:rPr>
                <w:rFonts w:ascii="Cambria Math" w:hAnsi="Cambria Math" w:cs="Calibri"/>
                <w:vertAlign w:val="superscript"/>
              </w:rPr>
              <m:t>5</m:t>
            </m:r>
          </m:sup>
        </m:sSup>
      </m:oMath>
      <w:r w:rsidRPr="002A7128">
        <w:rPr>
          <w:rFonts w:ascii="Calibri" w:hAnsi="Calibri" w:cs="Calibri"/>
        </w:rPr>
        <w:t xml:space="preserve"> cells/well to initiate spheroids with 200 cells, </w:t>
      </w:r>
      <m:oMath>
        <m:r>
          <m:rPr>
            <m:sty m:val="p"/>
          </m:rPr>
          <w:rPr>
            <w:rFonts w:ascii="Cambria Math" w:hAnsi="Cambria Math" w:cs="Calibri"/>
            <w:vertAlign w:val="superscript"/>
          </w:rPr>
          <w:br/>
        </m:r>
        <m:r>
          <w:rPr>
            <w:rFonts w:ascii="Cambria Math" w:hAnsi="Cambria Math" w:cs="Calibri"/>
            <w:vertAlign w:val="superscript"/>
          </w:rPr>
          <m:t xml:space="preserve">6 x </m:t>
        </m:r>
        <m:sSup>
          <m:sSupPr>
            <m:ctrlPr>
              <w:rPr>
                <w:rFonts w:ascii="Cambria Math" w:hAnsi="Cambria Math" w:cs="Calibri"/>
                <w:i/>
                <w:vertAlign w:val="superscript"/>
              </w:rPr>
            </m:ctrlPr>
          </m:sSupPr>
          <m:e>
            <m:r>
              <w:rPr>
                <w:rFonts w:ascii="Cambria Math" w:hAnsi="Cambria Math" w:cs="Calibri"/>
                <w:vertAlign w:val="superscript"/>
              </w:rPr>
              <m:t>10</m:t>
            </m:r>
          </m:e>
          <m:sup>
            <m:r>
              <w:rPr>
                <w:rFonts w:ascii="Cambria Math" w:hAnsi="Cambria Math" w:cs="Calibri"/>
                <w:vertAlign w:val="superscript"/>
              </w:rPr>
              <m:t>5</m:t>
            </m:r>
          </m:sup>
        </m:sSup>
      </m:oMath>
      <w:r w:rsidRPr="002A7128">
        <w:rPr>
          <w:rFonts w:ascii="Calibri" w:hAnsi="Calibri" w:cs="Calibri"/>
        </w:rPr>
        <w:t xml:space="preserve"> cells/well to initiate spheroids with 500 cells.</w:t>
      </w:r>
    </w:p>
    <w:p w14:paraId="24FC67FC" w14:textId="77777777" w:rsidR="000711C0" w:rsidRPr="002A7128" w:rsidRDefault="000711C0" w:rsidP="00F675B4">
      <w:pPr>
        <w:spacing w:line="480" w:lineRule="auto"/>
        <w:jc w:val="both"/>
        <w:rPr>
          <w:rFonts w:ascii="Calibri" w:hAnsi="Calibri" w:cs="Calibri"/>
        </w:rPr>
      </w:pPr>
      <w:r w:rsidRPr="002A7128">
        <w:rPr>
          <w:rFonts w:ascii="Calibri" w:hAnsi="Calibri" w:cs="Calibri"/>
          <w:i/>
          <w:iCs/>
          <w:u w:val="single"/>
        </w:rPr>
        <w:t>Spheroids initiated with 5000 cells</w:t>
      </w:r>
      <w:r w:rsidRPr="002A7128">
        <w:rPr>
          <w:rFonts w:ascii="Calibri" w:hAnsi="Calibri" w:cs="Calibri"/>
        </w:rPr>
        <w:t xml:space="preserve">: U-Bottom 96 well plates (CELLTREAT 229590) were used to form ovarian cancer spheroids. Briefly, wells were treated with 100 </w:t>
      </w:r>
      <w:r w:rsidRPr="002A7128">
        <w:rPr>
          <w:rFonts w:ascii="Calibri" w:hAnsi="Calibri" w:cs="Calibri"/>
        </w:rPr>
        <w:sym w:font="Symbol" w:char="F06D"/>
      </w:r>
      <w:r w:rsidRPr="002A7128">
        <w:rPr>
          <w:rFonts w:ascii="Calibri" w:hAnsi="Calibri" w:cs="Calibri"/>
        </w:rPr>
        <w:t xml:space="preserve">L/well anti-adherence rinsing solution (STEMCELL Technologies 07010) and centrifuged for 5 min at 1300 </w:t>
      </w:r>
      <w:r w:rsidRPr="002A7128">
        <w:rPr>
          <w:rFonts w:ascii="Calibri" w:hAnsi="Calibri" w:cs="Calibri"/>
          <w:i/>
          <w:iCs/>
        </w:rPr>
        <w:t>g</w:t>
      </w:r>
      <w:r w:rsidRPr="002A7128">
        <w:rPr>
          <w:rFonts w:ascii="Calibri" w:hAnsi="Calibri" w:cs="Calibri"/>
        </w:rPr>
        <w:t xml:space="preserve">. Then rinsing solution was removed and wells were washed with 200 </w:t>
      </w:r>
      <w:r w:rsidRPr="002A7128">
        <w:rPr>
          <w:rFonts w:ascii="Calibri" w:hAnsi="Calibri" w:cs="Calibri"/>
        </w:rPr>
        <w:sym w:font="Symbol" w:char="F06D"/>
      </w:r>
      <w:r w:rsidRPr="002A7128">
        <w:rPr>
          <w:rFonts w:ascii="Calibri" w:hAnsi="Calibri" w:cs="Calibri"/>
        </w:rPr>
        <w:t xml:space="preserve">l/well of basal medium. Then desired </w:t>
      </w:r>
      <w:r w:rsidRPr="002A7128">
        <w:rPr>
          <w:rFonts w:ascii="Calibri" w:hAnsi="Calibri" w:cs="Calibri"/>
        </w:rPr>
        <w:lastRenderedPageBreak/>
        <w:t xml:space="preserve">cell numbers were added into wells in 200 </w:t>
      </w:r>
      <w:r w:rsidRPr="002A7128">
        <w:rPr>
          <w:rFonts w:ascii="Calibri" w:hAnsi="Calibri" w:cs="Calibri"/>
        </w:rPr>
        <w:sym w:font="Symbol" w:char="F06D"/>
      </w:r>
      <w:r w:rsidRPr="002A7128">
        <w:rPr>
          <w:rFonts w:ascii="Calibri" w:hAnsi="Calibri" w:cs="Calibri"/>
        </w:rPr>
        <w:t xml:space="preserve">L/well and centrifuged for 3 min at 100 </w:t>
      </w:r>
      <w:r w:rsidRPr="002A7128">
        <w:rPr>
          <w:rFonts w:ascii="Calibri" w:hAnsi="Calibri" w:cs="Calibri"/>
          <w:i/>
          <w:iCs/>
        </w:rPr>
        <w:t>g</w:t>
      </w:r>
      <w:r w:rsidRPr="002A7128">
        <w:rPr>
          <w:rFonts w:ascii="Calibri" w:hAnsi="Calibri" w:cs="Calibri"/>
        </w:rPr>
        <w:t xml:space="preserve">. Media was changed every 2 days by slowly removing 100 </w:t>
      </w:r>
      <w:r w:rsidRPr="002A7128">
        <w:rPr>
          <w:rFonts w:ascii="Calibri" w:hAnsi="Calibri" w:cs="Calibri"/>
        </w:rPr>
        <w:sym w:font="Symbol" w:char="F06D"/>
      </w:r>
      <w:r w:rsidRPr="002A7128">
        <w:rPr>
          <w:rFonts w:ascii="Calibri" w:hAnsi="Calibri" w:cs="Calibri"/>
        </w:rPr>
        <w:t xml:space="preserve">l/well of medium and addition of 100 </w:t>
      </w:r>
      <w:r w:rsidRPr="002A7128">
        <w:rPr>
          <w:rFonts w:ascii="Calibri" w:hAnsi="Calibri" w:cs="Calibri"/>
        </w:rPr>
        <w:sym w:font="Symbol" w:char="F06D"/>
      </w:r>
      <w:r w:rsidRPr="002A7128">
        <w:rPr>
          <w:rFonts w:ascii="Calibri" w:hAnsi="Calibri" w:cs="Calibri"/>
        </w:rPr>
        <w:t xml:space="preserve">l/well fresh medium. </w:t>
      </w:r>
    </w:p>
    <w:p w14:paraId="022DEAA5" w14:textId="77777777" w:rsidR="000711C0" w:rsidRPr="002A7128" w:rsidRDefault="000711C0" w:rsidP="00F675B4">
      <w:pPr>
        <w:spacing w:line="480" w:lineRule="auto"/>
        <w:jc w:val="both"/>
        <w:rPr>
          <w:rFonts w:ascii="Calibri" w:hAnsi="Calibri" w:cs="Calibri"/>
        </w:rPr>
      </w:pPr>
    </w:p>
    <w:p w14:paraId="368F62FB" w14:textId="29BB652F" w:rsidR="000711C0" w:rsidRDefault="00AE1687">
      <w:pPr>
        <w:pStyle w:val="Heading2"/>
        <w:numPr>
          <w:ilvl w:val="3"/>
          <w:numId w:val="9"/>
        </w:numPr>
        <w:rPr>
          <w:rFonts w:ascii="Calibri" w:hAnsi="Calibri" w:cs="Calibri"/>
        </w:rPr>
      </w:pPr>
      <w:r w:rsidRPr="002A7128">
        <w:rPr>
          <w:rFonts w:ascii="Calibri" w:hAnsi="Calibri" w:cs="Calibri"/>
        </w:rPr>
        <w:t xml:space="preserve"> </w:t>
      </w:r>
      <w:bookmarkStart w:id="150" w:name="_Toc120794199"/>
      <w:r w:rsidR="000711C0" w:rsidRPr="002A7128">
        <w:rPr>
          <w:rFonts w:ascii="Calibri" w:hAnsi="Calibri" w:cs="Calibri"/>
        </w:rPr>
        <w:t>Characterization of Spheroids</w:t>
      </w:r>
      <w:bookmarkEnd w:id="150"/>
    </w:p>
    <w:p w14:paraId="15259265" w14:textId="77777777" w:rsidR="00A86311" w:rsidRPr="00A86311" w:rsidRDefault="00A86311" w:rsidP="00A86311"/>
    <w:p w14:paraId="35D50304" w14:textId="320E80ED" w:rsidR="000711C0" w:rsidRPr="002A7128" w:rsidRDefault="000711C0" w:rsidP="00F675B4">
      <w:pPr>
        <w:spacing w:line="480" w:lineRule="auto"/>
        <w:jc w:val="both"/>
        <w:rPr>
          <w:rFonts w:ascii="Calibri" w:hAnsi="Calibri" w:cs="Calibri"/>
        </w:rPr>
      </w:pPr>
      <w:r w:rsidRPr="002A7128">
        <w:rPr>
          <w:rFonts w:ascii="Calibri" w:hAnsi="Calibri" w:cs="Calibri"/>
        </w:rPr>
        <w:t>Spheroids were imaged every 24 h and later analyzed for their area, diameter, circularity and solidity by using ImageJ as previously described:</w:t>
      </w:r>
      <w:r w:rsidRPr="002A7128">
        <w:rPr>
          <w:rFonts w:ascii="Calibri" w:hAnsi="Calibri" w:cs="Calibri"/>
        </w:rPr>
        <w:fldChar w:fldCharType="begin"/>
      </w:r>
      <w:r w:rsidR="00317E7D" w:rsidRPr="002A7128">
        <w:rPr>
          <w:rFonts w:ascii="Calibri" w:hAnsi="Calibri" w:cs="Calibri"/>
        </w:rPr>
        <w:instrText xml:space="preserve"> ADDIN ZOTERO_ITEM CSL_CITATION {"citationID":"Ht5AI23m","properties":{"formattedCitation":"\\super 264\\nosupersub{}","plainCitation":"264","noteIndex":0},"citationItems":[{"id":"wiida5Bo/y4ogek5Z","uris":["http://zotero.org/users/local/91fNc9yk/items/XIHKH8K4"],"itemData":{"id":557,"type":"article-journal","container-title":"Frontiers in Physiology","DOI":"10.3389/fphys.2017.00605","ISSN":"1664-042X","journalAbbreviation":"Front. Physiol.","page":"605","source":"DOI.org (Crossref)","title":"Comparative Analysis of 3D Bladder Tumor Spheroids Obtained by Forced Floating and Hanging Drop Methods for Drug Screening","volume":"8","author":[{"family":"Amaral","given":"Robson L. F."},{"family":"Miranda","given":"Mariza"},{"family":"Marcato","given":"Priscyla D."},{"family":"Swiech","given":"Kamilla"}],"issued":{"date-parts":[["2017",8,22]]}}}],"schema":"https://github.com/citation-style-language/schema/raw/master/csl-citation.json"}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264</w:t>
      </w:r>
      <w:r w:rsidRPr="002A7128">
        <w:rPr>
          <w:rFonts w:ascii="Calibri" w:hAnsi="Calibri" w:cs="Calibri"/>
        </w:rPr>
        <w:fldChar w:fldCharType="end"/>
      </w:r>
    </w:p>
    <w:p w14:paraId="47E1740A" w14:textId="77777777" w:rsidR="000711C0" w:rsidRPr="002A7128" w:rsidRDefault="000711C0" w:rsidP="00F675B4">
      <w:pPr>
        <w:spacing w:line="480" w:lineRule="auto"/>
        <w:jc w:val="both"/>
        <w:rPr>
          <w:rFonts w:ascii="Calibri" w:hAnsi="Calibri" w:cs="Calibri"/>
        </w:rPr>
      </w:pPr>
      <m:oMathPara>
        <m:oMath>
          <m:r>
            <w:rPr>
              <w:rFonts w:ascii="Cambria Math" w:hAnsi="Cambria Math" w:cs="Calibri"/>
            </w:rPr>
            <m:t>Circularity=</m:t>
          </m:r>
          <m:f>
            <m:fPr>
              <m:ctrlPr>
                <w:rPr>
                  <w:rFonts w:ascii="Cambria Math" w:hAnsi="Cambria Math" w:cs="Calibri"/>
                </w:rPr>
              </m:ctrlPr>
            </m:fPr>
            <m:num>
              <m:d>
                <m:dPr>
                  <m:ctrlPr>
                    <w:rPr>
                      <w:rFonts w:ascii="Cambria Math" w:hAnsi="Cambria Math" w:cs="Calibri"/>
                      <w:i/>
                    </w:rPr>
                  </m:ctrlPr>
                </m:dPr>
                <m:e>
                  <m:r>
                    <w:rPr>
                      <w:rFonts w:ascii="Cambria Math" w:hAnsi="Cambria Math" w:cs="Calibri"/>
                    </w:rPr>
                    <m:t>4π</m:t>
                  </m:r>
                  <m:r>
                    <m:rPr>
                      <m:sty m:val="p"/>
                    </m:rPr>
                    <w:rPr>
                      <w:rFonts w:ascii="Cambria Math" w:hAnsi="Cambria Math" w:cs="Calibri"/>
                    </w:rPr>
                    <m:t xml:space="preserve">× </m:t>
                  </m:r>
                  <m:r>
                    <w:rPr>
                      <w:rFonts w:ascii="Cambria Math" w:hAnsi="Cambria Math" w:cs="Calibri"/>
                    </w:rPr>
                    <m:t>Area</m:t>
                  </m:r>
                  <m:ctrlPr>
                    <w:rPr>
                      <w:rFonts w:ascii="Cambria Math" w:hAnsi="Cambria Math" w:cs="Calibri"/>
                    </w:rPr>
                  </m:ctrlPr>
                </m:e>
              </m:d>
              <m:ctrlPr>
                <w:rPr>
                  <w:rFonts w:ascii="Cambria Math" w:hAnsi="Cambria Math" w:cs="Calibri"/>
                  <w:i/>
                </w:rPr>
              </m:ctrlPr>
            </m:num>
            <m:den>
              <m:sSup>
                <m:sSupPr>
                  <m:ctrlPr>
                    <w:rPr>
                      <w:rFonts w:ascii="Cambria Math" w:hAnsi="Cambria Math" w:cs="Calibri"/>
                    </w:rPr>
                  </m:ctrlPr>
                </m:sSupPr>
                <m:e>
                  <m:r>
                    <w:rPr>
                      <w:rFonts w:ascii="Cambria Math" w:hAnsi="Cambria Math" w:cs="Calibri"/>
                    </w:rPr>
                    <m:t>Perimeter</m:t>
                  </m:r>
                </m:e>
                <m:sup>
                  <m:r>
                    <w:rPr>
                      <w:rFonts w:ascii="Cambria Math" w:hAnsi="Cambria Math" w:cs="Calibri"/>
                    </w:rPr>
                    <m:t>2</m:t>
                  </m:r>
                </m:sup>
              </m:sSup>
            </m:den>
          </m:f>
        </m:oMath>
      </m:oMathPara>
    </w:p>
    <w:p w14:paraId="2F2D7754" w14:textId="77777777" w:rsidR="000711C0" w:rsidRPr="002A7128" w:rsidRDefault="000711C0" w:rsidP="00F675B4">
      <w:pPr>
        <w:spacing w:line="480" w:lineRule="auto"/>
        <w:jc w:val="both"/>
        <w:rPr>
          <w:rFonts w:ascii="Calibri" w:hAnsi="Calibri" w:cs="Calibri"/>
        </w:rPr>
      </w:pPr>
    </w:p>
    <w:p w14:paraId="7E47A73B" w14:textId="77777777" w:rsidR="000711C0" w:rsidRPr="002A7128" w:rsidRDefault="000711C0" w:rsidP="00F675B4">
      <w:pPr>
        <w:spacing w:line="480" w:lineRule="auto"/>
        <w:jc w:val="both"/>
        <w:rPr>
          <w:rFonts w:ascii="Calibri" w:hAnsi="Calibri" w:cs="Calibri"/>
        </w:rPr>
      </w:pPr>
      <m:oMathPara>
        <m:oMath>
          <m:r>
            <w:rPr>
              <w:rFonts w:ascii="Cambria Math" w:hAnsi="Cambria Math" w:cs="Calibri"/>
            </w:rPr>
            <m:t>Solidity=</m:t>
          </m:r>
          <m:f>
            <m:fPr>
              <m:ctrlPr>
                <w:rPr>
                  <w:rFonts w:ascii="Cambria Math" w:hAnsi="Cambria Math" w:cs="Calibri"/>
                  <w:i/>
                </w:rPr>
              </m:ctrlPr>
            </m:fPr>
            <m:num>
              <m:r>
                <w:rPr>
                  <w:rFonts w:ascii="Cambria Math" w:hAnsi="Cambria Math" w:cs="Calibri"/>
                </w:rPr>
                <m:t>Area</m:t>
              </m:r>
            </m:num>
            <m:den>
              <m:r>
                <w:rPr>
                  <w:rFonts w:ascii="Cambria Math" w:hAnsi="Cambria Math" w:cs="Calibri"/>
                </w:rPr>
                <m:t>Convex Area</m:t>
              </m:r>
            </m:den>
          </m:f>
        </m:oMath>
      </m:oMathPara>
    </w:p>
    <w:p w14:paraId="1DE77AD9" w14:textId="77777777" w:rsidR="000711C0" w:rsidRPr="002A7128" w:rsidRDefault="000711C0" w:rsidP="00F675B4">
      <w:pPr>
        <w:spacing w:line="480" w:lineRule="auto"/>
        <w:jc w:val="both"/>
        <w:rPr>
          <w:rFonts w:ascii="Calibri" w:hAnsi="Calibri" w:cs="Calibri"/>
        </w:rPr>
      </w:pPr>
    </w:p>
    <w:p w14:paraId="3160F597" w14:textId="5619577D" w:rsidR="000711C0" w:rsidRPr="002A7128" w:rsidRDefault="000711C0" w:rsidP="00F675B4">
      <w:pPr>
        <w:spacing w:line="480" w:lineRule="auto"/>
        <w:jc w:val="both"/>
        <w:rPr>
          <w:rFonts w:ascii="Calibri" w:hAnsi="Calibri" w:cs="Calibri"/>
        </w:rPr>
      </w:pPr>
      <w:r w:rsidRPr="002A7128">
        <w:rPr>
          <w:rFonts w:ascii="Calibri" w:hAnsi="Calibri" w:cs="Calibri"/>
        </w:rPr>
        <w:t>To ensure viability of spheroids at day 6, Live-Dead Assay (</w:t>
      </w:r>
      <w:proofErr w:type="spellStart"/>
      <w:r w:rsidRPr="002A7128">
        <w:rPr>
          <w:rFonts w:ascii="Calibri" w:hAnsi="Calibri" w:cs="Calibri"/>
        </w:rPr>
        <w:t>Thermo</w:t>
      </w:r>
      <w:proofErr w:type="spellEnd"/>
      <w:r w:rsidRPr="002A7128">
        <w:rPr>
          <w:rFonts w:ascii="Calibri" w:hAnsi="Calibri" w:cs="Calibri"/>
        </w:rPr>
        <w:t xml:space="preserve"> Fisher L3224) was assessed for all spheroid conditions. Spheroids were transferred into a 96 well plate and stained with </w:t>
      </w:r>
      <w:proofErr w:type="spellStart"/>
      <w:r w:rsidRPr="002A7128">
        <w:rPr>
          <w:rFonts w:ascii="Calibri" w:hAnsi="Calibri" w:cs="Calibri"/>
        </w:rPr>
        <w:t>Calcein</w:t>
      </w:r>
      <w:proofErr w:type="spellEnd"/>
      <w:r w:rsidRPr="002A7128">
        <w:rPr>
          <w:rFonts w:ascii="Calibri" w:hAnsi="Calibri" w:cs="Calibri"/>
        </w:rPr>
        <w:t xml:space="preserve">-AM and ethidium homodimer solution according to the manufacturer’s instructions. Spheroid images were taken by using fluorescent microscope (Olympus IX73 equipped with X-Cite 120 </w:t>
      </w:r>
      <w:proofErr w:type="spellStart"/>
      <w:r w:rsidRPr="002A7128">
        <w:rPr>
          <w:rFonts w:ascii="Calibri" w:hAnsi="Calibri" w:cs="Calibri"/>
        </w:rPr>
        <w:t>LEDmini</w:t>
      </w:r>
      <w:proofErr w:type="spellEnd"/>
      <w:r w:rsidRPr="002A7128">
        <w:rPr>
          <w:rFonts w:ascii="Calibri" w:hAnsi="Calibri" w:cs="Calibri"/>
        </w:rPr>
        <w:t xml:space="preserve">, Olympus DP80 camera). </w:t>
      </w:r>
    </w:p>
    <w:p w14:paraId="6FBA5C99" w14:textId="253E42D5" w:rsidR="000711C0" w:rsidRPr="002A7128" w:rsidRDefault="000711C0">
      <w:pPr>
        <w:pStyle w:val="Heading2"/>
        <w:numPr>
          <w:ilvl w:val="3"/>
          <w:numId w:val="9"/>
        </w:numPr>
        <w:rPr>
          <w:rFonts w:ascii="Calibri" w:hAnsi="Calibri" w:cs="Calibri"/>
        </w:rPr>
      </w:pPr>
      <w:bookmarkStart w:id="151" w:name="_Toc120794200"/>
      <w:r w:rsidRPr="002A7128">
        <w:rPr>
          <w:rFonts w:ascii="Calibri" w:hAnsi="Calibri" w:cs="Calibri"/>
        </w:rPr>
        <w:t>Drug Treatment and Viability Experiments</w:t>
      </w:r>
      <w:bookmarkEnd w:id="151"/>
    </w:p>
    <w:p w14:paraId="6096B8D9" w14:textId="77777777" w:rsidR="002A45FA" w:rsidRPr="002A7128" w:rsidRDefault="002A45FA" w:rsidP="002A45FA">
      <w:pPr>
        <w:rPr>
          <w:rFonts w:ascii="Calibri" w:hAnsi="Calibri" w:cs="Calibri"/>
        </w:rPr>
      </w:pPr>
    </w:p>
    <w:p w14:paraId="5B7F4301" w14:textId="77777777" w:rsidR="000711C0" w:rsidRPr="002A7128" w:rsidRDefault="000711C0" w:rsidP="00F675B4">
      <w:pPr>
        <w:spacing w:line="480" w:lineRule="auto"/>
        <w:jc w:val="both"/>
        <w:rPr>
          <w:rFonts w:ascii="Calibri" w:hAnsi="Calibri" w:cs="Calibri"/>
        </w:rPr>
      </w:pPr>
      <w:r w:rsidRPr="002A7128">
        <w:rPr>
          <w:rFonts w:ascii="Calibri" w:hAnsi="Calibri" w:cs="Calibri"/>
          <w:i/>
          <w:iCs/>
          <w:u w:val="single"/>
        </w:rPr>
        <w:t>Spheroids initiated with 50-100-200 and 500 cells</w:t>
      </w:r>
      <w:r w:rsidRPr="002A7128">
        <w:rPr>
          <w:rFonts w:ascii="Calibri" w:hAnsi="Calibri" w:cs="Calibri"/>
        </w:rPr>
        <w:t>: Before drug treatment, spheroids were counted and seeded onto suspension culture 24 well plates (CELLSTAR 662 102). 100 spheroids/well were seeded accordingly with the following formula:</w:t>
      </w:r>
    </w:p>
    <w:p w14:paraId="3C3A6D15" w14:textId="77777777" w:rsidR="000711C0" w:rsidRPr="002A7128" w:rsidRDefault="000711C0" w:rsidP="00F675B4">
      <w:pPr>
        <w:spacing w:line="480" w:lineRule="auto"/>
        <w:jc w:val="both"/>
        <w:rPr>
          <w:rFonts w:ascii="Calibri" w:hAnsi="Calibri" w:cs="Calibri"/>
        </w:rPr>
      </w:pPr>
      <m:oMathPara>
        <m:oMath>
          <m:r>
            <w:rPr>
              <w:rFonts w:ascii="Cambria Math" w:hAnsi="Cambria Math" w:cs="Calibri"/>
            </w:rPr>
            <m:t>Total number of spheroids=Spheroid count</m:t>
          </m:r>
          <m:f>
            <m:fPr>
              <m:ctrlPr>
                <w:rPr>
                  <w:rFonts w:ascii="Cambria Math" w:hAnsi="Cambria Math" w:cs="Calibri"/>
                  <w:i/>
                </w:rPr>
              </m:ctrlPr>
            </m:fPr>
            <m:num>
              <m:d>
                <m:dPr>
                  <m:ctrlPr>
                    <w:rPr>
                      <w:rFonts w:ascii="Cambria Math" w:hAnsi="Cambria Math" w:cs="Calibri"/>
                      <w:i/>
                    </w:rPr>
                  </m:ctrlPr>
                </m:dPr>
                <m:e>
                  <m:r>
                    <w:rPr>
                      <w:rFonts w:ascii="Cambria Math" w:hAnsi="Cambria Math" w:cs="Calibri"/>
                    </w:rPr>
                    <m:t xml:space="preserve">50 </m:t>
                  </m:r>
                  <m:r>
                    <w:rPr>
                      <w:rFonts w:ascii="Cambria Math" w:hAnsi="Cambria Math" w:cs="Calibri"/>
                      <w:i/>
                    </w:rPr>
                    <w:sym w:font="Symbol" w:char="F06D"/>
                  </m:r>
                  <m:r>
                    <w:rPr>
                      <w:rFonts w:ascii="Cambria Math" w:hAnsi="Cambria Math" w:cs="Calibri"/>
                    </w:rPr>
                    <m:t>L</m:t>
                  </m:r>
                </m:e>
              </m:d>
            </m:num>
            <m:den>
              <m:r>
                <w:rPr>
                  <w:rFonts w:ascii="Cambria Math" w:hAnsi="Cambria Math" w:cs="Calibri"/>
                </w:rPr>
                <m:t xml:space="preserve">50 </m:t>
              </m:r>
              <m:r>
                <w:rPr>
                  <w:rFonts w:ascii="Cambria Math" w:hAnsi="Cambria Math" w:cs="Calibri"/>
                  <w:i/>
                </w:rPr>
                <w:sym w:font="Symbol" w:char="F06D"/>
              </m:r>
              <m:r>
                <w:rPr>
                  <w:rFonts w:ascii="Cambria Math" w:hAnsi="Cambria Math" w:cs="Calibri"/>
                </w:rPr>
                <m:t>L</m:t>
              </m:r>
            </m:den>
          </m:f>
          <m:r>
            <w:rPr>
              <w:rFonts w:ascii="Cambria Math" w:hAnsi="Cambria Math" w:cs="Calibri"/>
            </w:rPr>
            <m:t>x Spheroid suspension (</m:t>
          </m:r>
          <m:r>
            <w:rPr>
              <w:rFonts w:ascii="Cambria Math" w:hAnsi="Cambria Math" w:cs="Calibri"/>
              <w:i/>
            </w:rPr>
            <w:sym w:font="Symbol" w:char="F06D"/>
          </m:r>
          <m:r>
            <w:rPr>
              <w:rFonts w:ascii="Cambria Math" w:hAnsi="Cambria Math" w:cs="Calibri"/>
            </w:rPr>
            <m:t>L)</m:t>
          </m:r>
        </m:oMath>
      </m:oMathPara>
    </w:p>
    <w:p w14:paraId="287791CD" w14:textId="1414803F" w:rsidR="000711C0" w:rsidRPr="002A7128" w:rsidRDefault="000711C0" w:rsidP="00F675B4">
      <w:pPr>
        <w:spacing w:line="480" w:lineRule="auto"/>
        <w:jc w:val="both"/>
        <w:rPr>
          <w:rFonts w:ascii="Calibri" w:hAnsi="Calibri" w:cs="Calibri"/>
        </w:rPr>
      </w:pPr>
      <w:r w:rsidRPr="002A7128">
        <w:rPr>
          <w:rFonts w:ascii="Calibri" w:hAnsi="Calibri" w:cs="Calibri"/>
        </w:rPr>
        <w:lastRenderedPageBreak/>
        <w:t xml:space="preserve">Spheroids were incubated for 30 min. Then, Taxol or Cisplatin were added in concentrations of 100 </w:t>
      </w:r>
      <w:proofErr w:type="spellStart"/>
      <w:r w:rsidRPr="002A7128">
        <w:rPr>
          <w:rFonts w:ascii="Calibri" w:hAnsi="Calibri" w:cs="Calibri"/>
        </w:rPr>
        <w:t>nM</w:t>
      </w:r>
      <w:proofErr w:type="spellEnd"/>
      <w:r w:rsidRPr="002A7128">
        <w:rPr>
          <w:rFonts w:ascii="Calibri" w:hAnsi="Calibri" w:cs="Calibri"/>
        </w:rPr>
        <w:t xml:space="preserve">, 1 </w:t>
      </w:r>
      <w:r w:rsidRPr="00795381">
        <w:rPr>
          <w:rFonts w:ascii="Symbol" w:hAnsi="Symbol" w:cs="Calibri"/>
        </w:rPr>
        <w:t></w:t>
      </w:r>
      <w:r w:rsidRPr="002A7128">
        <w:rPr>
          <w:rFonts w:ascii="Calibri" w:hAnsi="Calibri" w:cs="Calibri"/>
        </w:rPr>
        <w:t xml:space="preserve">M, 10 </w:t>
      </w:r>
      <w:r w:rsidRPr="00795381">
        <w:rPr>
          <w:rFonts w:ascii="Symbol" w:hAnsi="Symbol" w:cs="Calibri"/>
        </w:rPr>
        <w:t></w:t>
      </w:r>
      <w:r w:rsidRPr="002A7128">
        <w:rPr>
          <w:rFonts w:ascii="Calibri" w:hAnsi="Calibri" w:cs="Calibri"/>
        </w:rPr>
        <w:t xml:space="preserve">M and 100 </w:t>
      </w:r>
      <w:r w:rsidRPr="00795381">
        <w:rPr>
          <w:rFonts w:ascii="Symbol" w:hAnsi="Symbol" w:cs="Calibri"/>
        </w:rPr>
        <w:t></w:t>
      </w:r>
      <w:r w:rsidRPr="002A7128">
        <w:rPr>
          <w:rFonts w:ascii="Calibri" w:hAnsi="Calibri" w:cs="Calibri"/>
        </w:rPr>
        <w:t xml:space="preserve">M and incubated for 48 h at </w:t>
      </w:r>
      <w:r w:rsidRPr="002A7128">
        <w:rPr>
          <w:rFonts w:ascii="Calibri" w:hAnsi="Calibri" w:cs="Calibri"/>
          <w:bCs/>
        </w:rPr>
        <w:t xml:space="preserve">37 </w:t>
      </w:r>
      <w:r w:rsidR="00795381">
        <w:rPr>
          <w:rFonts w:ascii="Calibri" w:hAnsi="Calibri" w:cs="Calibri"/>
          <w:bCs/>
          <w:vertAlign w:val="superscript"/>
        </w:rPr>
        <w:sym w:font="Symbol" w:char="F0B0"/>
      </w:r>
      <w:r w:rsidRPr="002A7128">
        <w:rPr>
          <w:rFonts w:ascii="Calibri" w:hAnsi="Calibri" w:cs="Calibri"/>
          <w:bCs/>
        </w:rPr>
        <w:t>C and 5% CO</w:t>
      </w:r>
      <w:r w:rsidRPr="002A7128">
        <w:rPr>
          <w:rFonts w:ascii="Calibri" w:hAnsi="Calibri" w:cs="Calibri"/>
          <w:bCs/>
          <w:vertAlign w:val="subscript"/>
        </w:rPr>
        <w:t>2</w:t>
      </w:r>
      <w:r w:rsidRPr="002A7128">
        <w:rPr>
          <w:rFonts w:ascii="Calibri" w:hAnsi="Calibri" w:cs="Calibri"/>
          <w:bCs/>
        </w:rPr>
        <w:t xml:space="preserve">.  At the end of 48 h, images of the spheroids were taken, and viability was assessed using </w:t>
      </w:r>
      <w:proofErr w:type="spellStart"/>
      <w:r w:rsidRPr="002A7128">
        <w:rPr>
          <w:rFonts w:ascii="Calibri" w:hAnsi="Calibri" w:cs="Calibri"/>
        </w:rPr>
        <w:t>CellTiter</w:t>
      </w:r>
      <w:proofErr w:type="spellEnd"/>
      <w:r w:rsidRPr="002A7128">
        <w:rPr>
          <w:rFonts w:ascii="Calibri" w:hAnsi="Calibri" w:cs="Calibri"/>
        </w:rPr>
        <w:t xml:space="preserve">-Glo 3D Cell Viability Assay (Promega G9681). Briefly, plates containing spheroids were equilibrated to room temperature for 30 min, then </w:t>
      </w:r>
      <w:proofErr w:type="spellStart"/>
      <w:r w:rsidRPr="002A7128">
        <w:rPr>
          <w:rFonts w:ascii="Calibri" w:hAnsi="Calibri" w:cs="Calibri"/>
        </w:rPr>
        <w:t>CellTiter</w:t>
      </w:r>
      <w:proofErr w:type="spellEnd"/>
      <w:r w:rsidRPr="002A7128">
        <w:rPr>
          <w:rFonts w:ascii="Calibri" w:hAnsi="Calibri" w:cs="Calibri"/>
        </w:rPr>
        <w:t xml:space="preserve">-Glo 3D solution was added on top of the spheroids 1:1 (v/v) and placed on a shaker to induce efficient cell lysis for 5 min before incubation at room temperature for 20 min to stabilize the luminescent signal in accordance with the manufacturer’s instructions. Luminescence measurement was carried out with </w:t>
      </w:r>
      <w:proofErr w:type="spellStart"/>
      <w:r w:rsidRPr="002A7128">
        <w:rPr>
          <w:rFonts w:ascii="Calibri" w:hAnsi="Calibri" w:cs="Calibri"/>
        </w:rPr>
        <w:t>BioTek</w:t>
      </w:r>
      <w:proofErr w:type="spellEnd"/>
      <w:r w:rsidRPr="002A7128">
        <w:rPr>
          <w:rFonts w:ascii="Calibri" w:hAnsi="Calibri" w:cs="Calibri"/>
        </w:rPr>
        <w:t xml:space="preserve"> Neo2SM microplate reader and relative viability was calculated for each spheroid group. </w:t>
      </w:r>
    </w:p>
    <w:p w14:paraId="0E2130C7" w14:textId="77777777" w:rsidR="000711C0" w:rsidRPr="002A7128" w:rsidRDefault="000711C0" w:rsidP="00F675B4">
      <w:pPr>
        <w:spacing w:line="480" w:lineRule="auto"/>
        <w:jc w:val="both"/>
        <w:rPr>
          <w:rFonts w:ascii="Calibri" w:hAnsi="Calibri" w:cs="Calibri"/>
          <w:bCs/>
        </w:rPr>
      </w:pPr>
      <w:r w:rsidRPr="002A7128">
        <w:rPr>
          <w:rFonts w:ascii="Calibri" w:hAnsi="Calibri" w:cs="Calibri"/>
          <w:i/>
          <w:iCs/>
          <w:u w:val="single"/>
        </w:rPr>
        <w:t>Spheroids initiated with 5000 cells</w:t>
      </w:r>
      <w:r w:rsidRPr="002A7128">
        <w:rPr>
          <w:rFonts w:ascii="Calibri" w:hAnsi="Calibri" w:cs="Calibri"/>
          <w:bCs/>
        </w:rPr>
        <w:t xml:space="preserve">: 100 </w:t>
      </w:r>
      <w:r w:rsidRPr="00795381">
        <w:rPr>
          <w:rFonts w:ascii="Symbol" w:hAnsi="Symbol" w:cs="Calibri"/>
          <w:bCs/>
        </w:rPr>
        <w:t></w:t>
      </w:r>
      <w:r w:rsidRPr="002A7128">
        <w:rPr>
          <w:rFonts w:ascii="Calibri" w:hAnsi="Calibri" w:cs="Calibri"/>
          <w:bCs/>
        </w:rPr>
        <w:t xml:space="preserve">l of cell medium was removed, and 100 </w:t>
      </w:r>
      <w:r w:rsidRPr="00795381">
        <w:rPr>
          <w:rFonts w:ascii="Symbol" w:hAnsi="Symbol" w:cs="Calibri"/>
          <w:bCs/>
        </w:rPr>
        <w:t>m</w:t>
      </w:r>
      <w:r w:rsidRPr="002A7128">
        <w:rPr>
          <w:rFonts w:ascii="Calibri" w:hAnsi="Calibri" w:cs="Calibri"/>
          <w:bCs/>
        </w:rPr>
        <w:t xml:space="preserve">l of drug solutions was added to each well and incubated for 48 h. At the end of 48 h </w:t>
      </w:r>
      <w:proofErr w:type="spellStart"/>
      <w:r w:rsidRPr="002A7128">
        <w:rPr>
          <w:rFonts w:ascii="Calibri" w:hAnsi="Calibri" w:cs="Calibri"/>
          <w:bCs/>
        </w:rPr>
        <w:t>CellTiter</w:t>
      </w:r>
      <w:proofErr w:type="spellEnd"/>
      <w:r w:rsidRPr="002A7128">
        <w:rPr>
          <w:rFonts w:ascii="Calibri" w:hAnsi="Calibri" w:cs="Calibri"/>
          <w:bCs/>
        </w:rPr>
        <w:t xml:space="preserve">-Glo 3D assay was performed as described previously. </w:t>
      </w:r>
      <w:r w:rsidRPr="002A7128">
        <w:rPr>
          <w:rFonts w:ascii="Calibri" w:hAnsi="Calibri" w:cs="Calibri"/>
        </w:rPr>
        <w:t xml:space="preserve">Luminescence measurement was carried out with </w:t>
      </w:r>
      <w:proofErr w:type="spellStart"/>
      <w:r w:rsidRPr="002A7128">
        <w:rPr>
          <w:rFonts w:ascii="Calibri" w:hAnsi="Calibri" w:cs="Calibri"/>
        </w:rPr>
        <w:t>BioTek</w:t>
      </w:r>
      <w:proofErr w:type="spellEnd"/>
      <w:r w:rsidRPr="002A7128">
        <w:rPr>
          <w:rFonts w:ascii="Calibri" w:hAnsi="Calibri" w:cs="Calibri"/>
        </w:rPr>
        <w:t xml:space="preserve"> Neo2SM microplate reader microplate reader and relative viability was calculated for each spheroid group. </w:t>
      </w:r>
    </w:p>
    <w:p w14:paraId="2A590AD3" w14:textId="113E4403" w:rsidR="000711C0" w:rsidRPr="002A7128" w:rsidRDefault="000711C0">
      <w:pPr>
        <w:pStyle w:val="Heading2"/>
        <w:numPr>
          <w:ilvl w:val="3"/>
          <w:numId w:val="9"/>
        </w:numPr>
        <w:rPr>
          <w:rFonts w:ascii="Calibri" w:hAnsi="Calibri" w:cs="Calibri"/>
        </w:rPr>
      </w:pPr>
      <w:bookmarkStart w:id="152" w:name="_Toc120794201"/>
      <w:r w:rsidRPr="002A7128">
        <w:rPr>
          <w:rFonts w:ascii="Calibri" w:hAnsi="Calibri" w:cs="Calibri"/>
        </w:rPr>
        <w:t>Immunocytochemistry</w:t>
      </w:r>
      <w:bookmarkEnd w:id="152"/>
      <w:r w:rsidRPr="002A7128">
        <w:rPr>
          <w:rFonts w:ascii="Calibri" w:hAnsi="Calibri" w:cs="Calibri"/>
        </w:rPr>
        <w:t xml:space="preserve"> </w:t>
      </w:r>
    </w:p>
    <w:p w14:paraId="1CC3DF24" w14:textId="77777777" w:rsidR="002A45FA" w:rsidRPr="002A7128" w:rsidRDefault="002A45FA" w:rsidP="002A45FA">
      <w:pPr>
        <w:rPr>
          <w:rFonts w:ascii="Calibri" w:hAnsi="Calibri" w:cs="Calibri"/>
        </w:rPr>
      </w:pPr>
    </w:p>
    <w:p w14:paraId="350113E6" w14:textId="77777777" w:rsidR="000711C0" w:rsidRPr="002A7128" w:rsidRDefault="000711C0" w:rsidP="00F675B4">
      <w:pPr>
        <w:spacing w:line="480" w:lineRule="auto"/>
        <w:jc w:val="both"/>
        <w:rPr>
          <w:rFonts w:ascii="Calibri" w:hAnsi="Calibri" w:cs="Calibri"/>
        </w:rPr>
      </w:pPr>
      <w:r w:rsidRPr="002A7128">
        <w:rPr>
          <w:rFonts w:ascii="Calibri" w:hAnsi="Calibri" w:cs="Calibri"/>
          <w:u w:val="single"/>
        </w:rPr>
        <w:t>Monolayer cells:</w:t>
      </w:r>
      <w:r w:rsidRPr="002A7128">
        <w:rPr>
          <w:rFonts w:ascii="Calibri" w:hAnsi="Calibri" w:cs="Calibri"/>
        </w:rPr>
        <w:t xml:space="preserve"> OVCAR-3 and OVCAR-8 cells were seeded on glass coverslips in 24 well plate in a density of 20.000 cells/well and incubated overnight for attachment.</w:t>
      </w:r>
    </w:p>
    <w:p w14:paraId="056530D4" w14:textId="77777777" w:rsidR="000711C0" w:rsidRPr="002A7128" w:rsidRDefault="000711C0" w:rsidP="00F675B4">
      <w:pPr>
        <w:spacing w:line="480" w:lineRule="auto"/>
        <w:jc w:val="both"/>
        <w:rPr>
          <w:rFonts w:ascii="Calibri" w:hAnsi="Calibri" w:cs="Calibri"/>
        </w:rPr>
      </w:pPr>
      <w:r w:rsidRPr="002A7128">
        <w:rPr>
          <w:rFonts w:ascii="Calibri" w:hAnsi="Calibri" w:cs="Calibri"/>
          <w:u w:val="single"/>
        </w:rPr>
        <w:t>Spheroids:</w:t>
      </w:r>
      <w:r w:rsidRPr="002A7128">
        <w:rPr>
          <w:rFonts w:ascii="Calibri" w:hAnsi="Calibri" w:cs="Calibri"/>
        </w:rPr>
        <w:t xml:space="preserve"> OVCAR-3 and OVCAR-8 spheroids were prepared as mentioned before and placed on 24 well plates before staining.</w:t>
      </w:r>
    </w:p>
    <w:p w14:paraId="160EF96E" w14:textId="77777777" w:rsidR="000711C0" w:rsidRPr="002A7128" w:rsidRDefault="000711C0" w:rsidP="00F675B4">
      <w:pPr>
        <w:spacing w:line="480" w:lineRule="auto"/>
        <w:jc w:val="both"/>
        <w:rPr>
          <w:rFonts w:ascii="Calibri" w:hAnsi="Calibri" w:cs="Calibri"/>
        </w:rPr>
      </w:pPr>
      <w:r w:rsidRPr="002A7128">
        <w:rPr>
          <w:rFonts w:ascii="Calibri" w:hAnsi="Calibri" w:cs="Calibri"/>
        </w:rPr>
        <w:t>Cells and spheroids were fixed in 4% PFA for 20 min and permeabilized by using 0.5% Triton-X on a shaker for 20 min. Cells and spheroids were then blocked in 3% BSA (Millipore-Sigma A9418) for 1 h at room temperature and stained overnight on a shaker in 1% BSA with Phalloidin-</w:t>
      </w:r>
      <w:proofErr w:type="spellStart"/>
      <w:r w:rsidRPr="002A7128">
        <w:rPr>
          <w:rFonts w:ascii="Calibri" w:hAnsi="Calibri" w:cs="Calibri"/>
        </w:rPr>
        <w:t>iFluor</w:t>
      </w:r>
      <w:proofErr w:type="spellEnd"/>
      <w:r w:rsidRPr="002A7128">
        <w:rPr>
          <w:rFonts w:ascii="Calibri" w:hAnsi="Calibri" w:cs="Calibri"/>
        </w:rPr>
        <w:t xml:space="preserve"> </w:t>
      </w:r>
      <w:r w:rsidRPr="002A7128">
        <w:rPr>
          <w:rFonts w:ascii="Calibri" w:hAnsi="Calibri" w:cs="Calibri"/>
        </w:rPr>
        <w:lastRenderedPageBreak/>
        <w:t xml:space="preserve">555 (Abcam ab176756), E-cadherin (Santa Cruz sc-21791) and Vimentin (Santa Cruz sc-6260). Wells were washed the next day with 1% BSA and incubated for 1 h at room temperature with Donkey Anti-Mouse IgG </w:t>
      </w:r>
      <w:proofErr w:type="spellStart"/>
      <w:r w:rsidRPr="002A7128">
        <w:rPr>
          <w:rFonts w:ascii="Calibri" w:hAnsi="Calibri" w:cs="Calibri"/>
        </w:rPr>
        <w:t>NorthernLights</w:t>
      </w:r>
      <w:proofErr w:type="spellEnd"/>
      <w:r w:rsidRPr="002A7128">
        <w:rPr>
          <w:rFonts w:ascii="Calibri" w:hAnsi="Calibri" w:cs="Calibri"/>
        </w:rPr>
        <w:t xml:space="preserve">™ NL493-conjugated Antibody (NL009) in 1% BSA. Wells washed with 1% BSA and coverslips were mounted in </w:t>
      </w:r>
      <w:proofErr w:type="spellStart"/>
      <w:r w:rsidRPr="002A7128">
        <w:rPr>
          <w:rFonts w:ascii="Calibri" w:hAnsi="Calibri" w:cs="Calibri"/>
        </w:rPr>
        <w:t>ProLong</w:t>
      </w:r>
      <w:proofErr w:type="spellEnd"/>
      <w:r w:rsidRPr="002A7128">
        <w:rPr>
          <w:rFonts w:ascii="Calibri" w:hAnsi="Calibri" w:cs="Calibri"/>
        </w:rPr>
        <w:t xml:space="preserve">™ Glass Antifade </w:t>
      </w:r>
      <w:proofErr w:type="spellStart"/>
      <w:r w:rsidRPr="002A7128">
        <w:rPr>
          <w:rFonts w:ascii="Calibri" w:hAnsi="Calibri" w:cs="Calibri"/>
        </w:rPr>
        <w:t>Mountant</w:t>
      </w:r>
      <w:proofErr w:type="spellEnd"/>
      <w:r w:rsidRPr="002A7128">
        <w:rPr>
          <w:rFonts w:ascii="Calibri" w:hAnsi="Calibri" w:cs="Calibri"/>
        </w:rPr>
        <w:t xml:space="preserve"> with </w:t>
      </w:r>
      <w:proofErr w:type="spellStart"/>
      <w:r w:rsidRPr="002A7128">
        <w:rPr>
          <w:rFonts w:ascii="Calibri" w:hAnsi="Calibri" w:cs="Calibri"/>
        </w:rPr>
        <w:t>NucBlue</w:t>
      </w:r>
      <w:proofErr w:type="spellEnd"/>
      <w:r w:rsidRPr="002A7128">
        <w:rPr>
          <w:rFonts w:ascii="Calibri" w:hAnsi="Calibri" w:cs="Calibri"/>
        </w:rPr>
        <w:t>™ Stain (</w:t>
      </w:r>
      <w:proofErr w:type="spellStart"/>
      <w:r w:rsidRPr="002A7128">
        <w:rPr>
          <w:rFonts w:ascii="Calibri" w:hAnsi="Calibri" w:cs="Calibri"/>
        </w:rPr>
        <w:t>Thermo</w:t>
      </w:r>
      <w:proofErr w:type="spellEnd"/>
      <w:r w:rsidRPr="002A7128">
        <w:rPr>
          <w:rFonts w:ascii="Calibri" w:hAnsi="Calibri" w:cs="Calibri"/>
        </w:rPr>
        <w:t xml:space="preserve"> Fisher P36981) and stored in dark until imaging. </w:t>
      </w:r>
    </w:p>
    <w:p w14:paraId="57839E37" w14:textId="77777777" w:rsidR="000711C0" w:rsidRPr="002A7128" w:rsidRDefault="000711C0" w:rsidP="00F675B4">
      <w:pPr>
        <w:spacing w:line="480" w:lineRule="auto"/>
        <w:jc w:val="both"/>
        <w:rPr>
          <w:rFonts w:ascii="Calibri" w:hAnsi="Calibri" w:cs="Calibri"/>
        </w:rPr>
      </w:pPr>
      <w:r w:rsidRPr="002A7128">
        <w:rPr>
          <w:rFonts w:ascii="Calibri" w:hAnsi="Calibri" w:cs="Calibri"/>
        </w:rPr>
        <w:t xml:space="preserve">Imaging was carried out with Leica SP8 Confocal Microscopy System with 63X immersion objective (1.40 NA </w:t>
      </w:r>
      <w:proofErr w:type="spellStart"/>
      <w:r w:rsidRPr="002A7128">
        <w:rPr>
          <w:rFonts w:ascii="Calibri" w:hAnsi="Calibri" w:cs="Calibri"/>
        </w:rPr>
        <w:t>OilWD</w:t>
      </w:r>
      <w:proofErr w:type="spellEnd"/>
      <w:r w:rsidRPr="002A7128">
        <w:rPr>
          <w:rFonts w:ascii="Calibri" w:hAnsi="Calibri" w:cs="Calibri"/>
        </w:rPr>
        <w:t xml:space="preserve"> 0.14mm HC PL APO) for monolayer cultures and with 40X dipping objective (0.80 NA water U-V-I WD 3.30 mm HCX APO L) for spheroids. </w:t>
      </w:r>
    </w:p>
    <w:p w14:paraId="6F599917" w14:textId="21541676" w:rsidR="000711C0" w:rsidRPr="002A7128" w:rsidRDefault="000711C0">
      <w:pPr>
        <w:pStyle w:val="Heading2"/>
        <w:numPr>
          <w:ilvl w:val="3"/>
          <w:numId w:val="9"/>
        </w:numPr>
        <w:rPr>
          <w:rFonts w:ascii="Calibri" w:hAnsi="Calibri" w:cs="Calibri"/>
        </w:rPr>
      </w:pPr>
      <w:bookmarkStart w:id="153" w:name="_Toc120794202"/>
      <w:r w:rsidRPr="002A7128">
        <w:rPr>
          <w:rFonts w:ascii="Calibri" w:hAnsi="Calibri" w:cs="Calibri"/>
        </w:rPr>
        <w:t>Protein Extraction and Quantification</w:t>
      </w:r>
      <w:bookmarkEnd w:id="153"/>
    </w:p>
    <w:p w14:paraId="31EE710E" w14:textId="77777777" w:rsidR="002A45FA" w:rsidRPr="002A7128" w:rsidRDefault="002A45FA" w:rsidP="002A45FA">
      <w:pPr>
        <w:rPr>
          <w:rFonts w:ascii="Calibri" w:hAnsi="Calibri" w:cs="Calibri"/>
        </w:rPr>
      </w:pPr>
    </w:p>
    <w:p w14:paraId="1AC8F11C" w14:textId="11BCDA7E" w:rsidR="000711C0" w:rsidRPr="002A7128" w:rsidRDefault="000711C0" w:rsidP="00F675B4">
      <w:pPr>
        <w:spacing w:line="480" w:lineRule="auto"/>
        <w:jc w:val="both"/>
        <w:rPr>
          <w:rFonts w:ascii="Calibri" w:hAnsi="Calibri" w:cs="Calibri"/>
        </w:rPr>
      </w:pPr>
      <w:r w:rsidRPr="002A7128">
        <w:rPr>
          <w:rFonts w:ascii="Calibri" w:hAnsi="Calibri" w:cs="Calibri"/>
        </w:rPr>
        <w:t>RIPA lysis and extraction buffer (</w:t>
      </w:r>
      <w:proofErr w:type="spellStart"/>
      <w:r w:rsidRPr="002A7128">
        <w:rPr>
          <w:rFonts w:ascii="Calibri" w:hAnsi="Calibri" w:cs="Calibri"/>
        </w:rPr>
        <w:t>ThermoFisher</w:t>
      </w:r>
      <w:proofErr w:type="spellEnd"/>
      <w:r w:rsidRPr="002A7128">
        <w:rPr>
          <w:rFonts w:ascii="Calibri" w:hAnsi="Calibri" w:cs="Calibri"/>
        </w:rPr>
        <w:t xml:space="preserve"> Scientific 89900) supplemented with halt protease inhibitor (PI) cocktail (</w:t>
      </w:r>
      <w:proofErr w:type="spellStart"/>
      <w:r w:rsidRPr="002A7128">
        <w:rPr>
          <w:rFonts w:ascii="Calibri" w:hAnsi="Calibri" w:cs="Calibri"/>
        </w:rPr>
        <w:t>ThermoFisher</w:t>
      </w:r>
      <w:proofErr w:type="spellEnd"/>
      <w:r w:rsidRPr="002A7128">
        <w:rPr>
          <w:rFonts w:ascii="Calibri" w:hAnsi="Calibri" w:cs="Calibri"/>
        </w:rPr>
        <w:t xml:space="preserve"> Scientific 78430) is used to obtain protein lysates. Cells were collected by trypsinization, spheroids were collected from plates and washed with cold PBS lysed in freshly prepared RIPA and PI cocktail solution. Lysates were incubated for 15 min on ice and centrifuged at 14,000 </w:t>
      </w:r>
      <w:r w:rsidRPr="002A7128">
        <w:rPr>
          <w:rFonts w:ascii="Calibri" w:hAnsi="Calibri" w:cs="Calibri"/>
          <w:i/>
          <w:iCs/>
        </w:rPr>
        <w:t>g</w:t>
      </w:r>
      <w:r w:rsidRPr="002A7128">
        <w:rPr>
          <w:rFonts w:ascii="Calibri" w:hAnsi="Calibri" w:cs="Calibri"/>
        </w:rPr>
        <w:t xml:space="preserve"> for 15 min at 4 </w:t>
      </w:r>
      <w:r w:rsidRPr="002A7128">
        <w:rPr>
          <w:rFonts w:ascii="Calibri" w:hAnsi="Calibri" w:cs="Calibri"/>
          <w:bCs/>
        </w:rPr>
        <w:sym w:font="Symbol" w:char="F0B0"/>
      </w:r>
      <w:r w:rsidRPr="002A7128">
        <w:rPr>
          <w:rFonts w:ascii="Calibri" w:hAnsi="Calibri" w:cs="Calibri"/>
          <w:bCs/>
        </w:rPr>
        <w:t>C</w:t>
      </w:r>
      <w:r w:rsidRPr="002A7128">
        <w:rPr>
          <w:rFonts w:ascii="Calibri" w:hAnsi="Calibri" w:cs="Calibri"/>
        </w:rPr>
        <w:t xml:space="preserve"> according to the manufacturer’s instructions. Supernatants were collected and quantified with BCA protein assay kit (</w:t>
      </w:r>
      <w:proofErr w:type="spellStart"/>
      <w:r w:rsidRPr="002A7128">
        <w:rPr>
          <w:rFonts w:ascii="Calibri" w:hAnsi="Calibri" w:cs="Calibri"/>
        </w:rPr>
        <w:t>ThermoFisher</w:t>
      </w:r>
      <w:proofErr w:type="spellEnd"/>
      <w:r w:rsidRPr="002A7128">
        <w:rPr>
          <w:rFonts w:ascii="Calibri" w:hAnsi="Calibri" w:cs="Calibri"/>
        </w:rPr>
        <w:t xml:space="preserve"> Scientific 23225) by measuring the absorbance at 562 nm in accordance with the manufacturer’s instructions. </w:t>
      </w:r>
    </w:p>
    <w:p w14:paraId="29D68A40" w14:textId="2373E4CE" w:rsidR="000711C0" w:rsidRPr="002A7128" w:rsidRDefault="000711C0">
      <w:pPr>
        <w:pStyle w:val="Heading2"/>
        <w:numPr>
          <w:ilvl w:val="3"/>
          <w:numId w:val="9"/>
        </w:numPr>
        <w:rPr>
          <w:rFonts w:ascii="Calibri" w:hAnsi="Calibri" w:cs="Calibri"/>
        </w:rPr>
      </w:pPr>
      <w:bookmarkStart w:id="154" w:name="_Toc120794203"/>
      <w:r w:rsidRPr="002A7128">
        <w:rPr>
          <w:rFonts w:ascii="Calibri" w:hAnsi="Calibri" w:cs="Calibri"/>
        </w:rPr>
        <w:t>Immunoblotting</w:t>
      </w:r>
      <w:bookmarkEnd w:id="154"/>
      <w:r w:rsidRPr="002A7128">
        <w:rPr>
          <w:rFonts w:ascii="Calibri" w:hAnsi="Calibri" w:cs="Calibri"/>
        </w:rPr>
        <w:t xml:space="preserve"> </w:t>
      </w:r>
    </w:p>
    <w:p w14:paraId="301D6796" w14:textId="77777777" w:rsidR="002A45FA" w:rsidRPr="002A7128" w:rsidRDefault="002A45FA" w:rsidP="002A45FA">
      <w:pPr>
        <w:rPr>
          <w:rFonts w:ascii="Calibri" w:hAnsi="Calibri" w:cs="Calibri"/>
        </w:rPr>
      </w:pPr>
    </w:p>
    <w:p w14:paraId="2682933E" w14:textId="77777777" w:rsidR="000711C0" w:rsidRPr="002A7128" w:rsidRDefault="000711C0" w:rsidP="00F675B4">
      <w:pPr>
        <w:spacing w:line="480" w:lineRule="auto"/>
        <w:jc w:val="both"/>
        <w:rPr>
          <w:rFonts w:ascii="Calibri" w:hAnsi="Calibri" w:cs="Calibri"/>
        </w:rPr>
      </w:pPr>
      <w:r w:rsidRPr="002A7128">
        <w:rPr>
          <w:rFonts w:ascii="Calibri" w:hAnsi="Calibri" w:cs="Calibri"/>
          <w:b/>
          <w:bCs/>
          <w:i/>
          <w:iCs/>
        </w:rPr>
        <w:t>Reagents.</w:t>
      </w:r>
      <w:r w:rsidRPr="002A7128">
        <w:rPr>
          <w:rFonts w:ascii="Calibri" w:hAnsi="Calibri" w:cs="Calibri"/>
        </w:rPr>
        <w:t xml:space="preserve"> Acrylamide/Bis-acrylamide, 30% solution (Sigma A3699), 1.5 M Tris-HCl, pH 8.8 (</w:t>
      </w:r>
      <w:proofErr w:type="spellStart"/>
      <w:r w:rsidRPr="002A7128">
        <w:rPr>
          <w:rFonts w:ascii="Calibri" w:hAnsi="Calibri" w:cs="Calibri"/>
        </w:rPr>
        <w:t>Teknova</w:t>
      </w:r>
      <w:proofErr w:type="spellEnd"/>
      <w:r w:rsidRPr="002A7128">
        <w:rPr>
          <w:rFonts w:ascii="Calibri" w:hAnsi="Calibri" w:cs="Calibri"/>
        </w:rPr>
        <w:t xml:space="preserve"> T1588), Tris HCl Buffer 0.5 M solution, sterile pH 6.8 (Bio Basic SD8122), Ammonium persulfate (Sigma A3678), </w:t>
      </w:r>
      <w:proofErr w:type="spellStart"/>
      <w:r w:rsidRPr="002A7128">
        <w:rPr>
          <w:rFonts w:ascii="Calibri" w:hAnsi="Calibri" w:cs="Calibri"/>
        </w:rPr>
        <w:t>UltraPure</w:t>
      </w:r>
      <w:proofErr w:type="spellEnd"/>
      <w:r w:rsidRPr="002A7128">
        <w:rPr>
          <w:rFonts w:ascii="Calibri" w:hAnsi="Calibri" w:cs="Calibri"/>
        </w:rPr>
        <w:t xml:space="preserve"> 10% SDS (Invitrogen 15553-027), TEMED (</w:t>
      </w:r>
      <w:proofErr w:type="spellStart"/>
      <w:r w:rsidRPr="002A7128">
        <w:rPr>
          <w:rFonts w:ascii="Calibri" w:hAnsi="Calibri" w:cs="Calibri"/>
        </w:rPr>
        <w:t>ThermoFisher</w:t>
      </w:r>
      <w:proofErr w:type="spellEnd"/>
      <w:r w:rsidRPr="002A7128">
        <w:rPr>
          <w:rFonts w:ascii="Calibri" w:hAnsi="Calibri" w:cs="Calibri"/>
        </w:rPr>
        <w:t xml:space="preserve"> Scientific 17919), Dithiothreitol (DTT) (BIO-RAD 1610610) Tris Base (Fisher Bioreagents BP152), </w:t>
      </w:r>
      <w:r w:rsidRPr="002A7128">
        <w:rPr>
          <w:rFonts w:ascii="Calibri" w:hAnsi="Calibri" w:cs="Calibri"/>
        </w:rPr>
        <w:lastRenderedPageBreak/>
        <w:t xml:space="preserve">Glycine (Fisher Bioreagents BP381), 4x </w:t>
      </w:r>
      <w:proofErr w:type="spellStart"/>
      <w:r w:rsidRPr="002A7128">
        <w:rPr>
          <w:rFonts w:ascii="Calibri" w:hAnsi="Calibri" w:cs="Calibri"/>
        </w:rPr>
        <w:t>Laemmli</w:t>
      </w:r>
      <w:proofErr w:type="spellEnd"/>
      <w:r w:rsidRPr="002A7128">
        <w:rPr>
          <w:rFonts w:ascii="Calibri" w:hAnsi="Calibri" w:cs="Calibri"/>
        </w:rPr>
        <w:t xml:space="preserve"> sample buffer (BIO-RAD 1610747), TWEEN 20 (Sigma P9416), Mini Trans-Blot filter paper (BIO-RAD 1703932), Nitrocellulose Membranes 0.45 </w:t>
      </w:r>
      <w:r w:rsidRPr="002A7128">
        <w:rPr>
          <w:rFonts w:ascii="Calibri" w:hAnsi="Calibri" w:cs="Calibri"/>
        </w:rPr>
        <w:t>m (BIO-RAD 1620115), Western Blotting Luminol Reagent (Santa Cruz sc-2048)</w:t>
      </w:r>
    </w:p>
    <w:p w14:paraId="7A576AC4" w14:textId="3FD6AD19" w:rsidR="000711C0" w:rsidRPr="002A7128" w:rsidRDefault="000711C0" w:rsidP="00F675B4">
      <w:pPr>
        <w:spacing w:line="480" w:lineRule="auto"/>
        <w:jc w:val="both"/>
        <w:rPr>
          <w:rFonts w:ascii="Calibri" w:hAnsi="Calibri" w:cs="Calibri"/>
          <w:bCs/>
        </w:rPr>
      </w:pPr>
      <w:r w:rsidRPr="002A7128">
        <w:rPr>
          <w:rFonts w:ascii="Calibri" w:hAnsi="Calibri" w:cs="Calibri"/>
          <w:b/>
          <w:bCs/>
          <w:i/>
          <w:iCs/>
        </w:rPr>
        <w:t>Procedure.</w:t>
      </w:r>
      <w:r w:rsidRPr="002A7128">
        <w:rPr>
          <w:rFonts w:ascii="Calibri" w:hAnsi="Calibri" w:cs="Calibri"/>
        </w:rPr>
        <w:t xml:space="preserve"> Protein samples were diluted in </w:t>
      </w:r>
      <w:proofErr w:type="spellStart"/>
      <w:r w:rsidRPr="002A7128">
        <w:rPr>
          <w:rFonts w:ascii="Calibri" w:hAnsi="Calibri" w:cs="Calibri"/>
        </w:rPr>
        <w:t>Laemmli</w:t>
      </w:r>
      <w:proofErr w:type="spellEnd"/>
      <w:r w:rsidRPr="002A7128">
        <w:rPr>
          <w:rFonts w:ascii="Calibri" w:hAnsi="Calibri" w:cs="Calibri"/>
        </w:rPr>
        <w:t xml:space="preserve"> buffer and boiled for 5 min at 96 </w:t>
      </w:r>
      <w:r w:rsidRPr="002A7128">
        <w:rPr>
          <w:rFonts w:ascii="Calibri" w:hAnsi="Calibri" w:cs="Calibri"/>
          <w:bCs/>
        </w:rPr>
        <w:sym w:font="Symbol" w:char="F0B0"/>
      </w:r>
      <w:r w:rsidRPr="002A7128">
        <w:rPr>
          <w:rFonts w:ascii="Calibri" w:hAnsi="Calibri" w:cs="Calibri"/>
          <w:bCs/>
        </w:rPr>
        <w:t>C.</w:t>
      </w:r>
      <w:r w:rsidRPr="002A7128">
        <w:rPr>
          <w:rFonts w:ascii="Calibri" w:hAnsi="Calibri" w:cs="Calibri"/>
        </w:rPr>
        <w:t xml:space="preserve"> Proteins were then separated by sodium dodecyl sulfate-polyacrylamide gel electrophoresis (SDS-PAGE) gels (8.5%) and transferred to nitrocellulose membranes. After transfer, the membranes were blocked in 5% milk in Tris Buffered Saline with 0.1 % Tween 20 (TBST). Blots were then stained with E-cadherin (Santa Cruz sc-21791), Vimentin (Santa Cruz sc-6260) β-Actin (Santa Cruz sc-47778 HRP), SLUG (Santa Cruz sc-166476) and Vinculin (7F9) (Santa Cruz sc-73614) antibodies in 1% milk in TBST overnight at 4 </w:t>
      </w:r>
      <w:r w:rsidR="00A86311">
        <w:rPr>
          <w:rFonts w:ascii="Calibri" w:hAnsi="Calibri" w:cs="Calibri"/>
          <w:bCs/>
        </w:rPr>
        <w:sym w:font="Symbol" w:char="F0B0"/>
      </w:r>
      <w:r w:rsidRPr="002A7128">
        <w:rPr>
          <w:rFonts w:ascii="Calibri" w:hAnsi="Calibri" w:cs="Calibri"/>
          <w:bCs/>
        </w:rPr>
        <w:t>C. Membranes were washed the next day in TBST and probed with HRP Goat anti-mouse IgG (minimal x-reactivity) Antibody (</w:t>
      </w:r>
      <w:proofErr w:type="spellStart"/>
      <w:r w:rsidRPr="002A7128">
        <w:rPr>
          <w:rFonts w:ascii="Calibri" w:hAnsi="Calibri" w:cs="Calibri"/>
          <w:bCs/>
        </w:rPr>
        <w:t>BioLegend</w:t>
      </w:r>
      <w:proofErr w:type="spellEnd"/>
      <w:r w:rsidRPr="002A7128">
        <w:rPr>
          <w:rFonts w:ascii="Calibri" w:hAnsi="Calibri" w:cs="Calibri"/>
          <w:bCs/>
        </w:rPr>
        <w:t xml:space="preserve"> 405306), washed with TBST. Finally, western blotting luminol reagent solution was added on top of the membranes and chemiluminescence signal was detected by Azure c600 Imaging Biosystems.</w:t>
      </w:r>
    </w:p>
    <w:p w14:paraId="06A7D8B8" w14:textId="731BBA88" w:rsidR="000711C0" w:rsidRPr="002A7128" w:rsidRDefault="000711C0">
      <w:pPr>
        <w:pStyle w:val="Heading2"/>
        <w:numPr>
          <w:ilvl w:val="3"/>
          <w:numId w:val="9"/>
        </w:numPr>
        <w:rPr>
          <w:rFonts w:ascii="Calibri" w:hAnsi="Calibri" w:cs="Calibri"/>
        </w:rPr>
      </w:pPr>
      <w:bookmarkStart w:id="155" w:name="_Toc120794204"/>
      <w:r w:rsidRPr="002A7128">
        <w:rPr>
          <w:rFonts w:ascii="Calibri" w:hAnsi="Calibri" w:cs="Calibri"/>
        </w:rPr>
        <w:t>Migration Assay</w:t>
      </w:r>
      <w:bookmarkEnd w:id="155"/>
    </w:p>
    <w:p w14:paraId="09CFF9D5" w14:textId="77777777" w:rsidR="002A45FA" w:rsidRPr="002A7128" w:rsidRDefault="002A45FA" w:rsidP="002A45FA">
      <w:pPr>
        <w:rPr>
          <w:rFonts w:ascii="Calibri" w:hAnsi="Calibri" w:cs="Calibri"/>
        </w:rPr>
      </w:pPr>
    </w:p>
    <w:p w14:paraId="7031B387" w14:textId="77777777" w:rsidR="000711C0" w:rsidRPr="002A7128" w:rsidRDefault="000711C0" w:rsidP="00F675B4">
      <w:pPr>
        <w:spacing w:line="480" w:lineRule="auto"/>
        <w:jc w:val="both"/>
        <w:rPr>
          <w:rFonts w:ascii="Calibri" w:hAnsi="Calibri" w:cs="Calibri"/>
          <w:b/>
        </w:rPr>
      </w:pPr>
      <w:r w:rsidRPr="002A7128">
        <w:rPr>
          <w:rFonts w:ascii="Calibri" w:hAnsi="Calibri" w:cs="Calibri"/>
          <w:b/>
        </w:rPr>
        <w:t>Monolayer</w:t>
      </w:r>
    </w:p>
    <w:p w14:paraId="3DC13416" w14:textId="77777777" w:rsidR="000711C0" w:rsidRPr="002A7128" w:rsidRDefault="000711C0" w:rsidP="00F675B4">
      <w:pPr>
        <w:spacing w:line="480" w:lineRule="auto"/>
        <w:jc w:val="both"/>
        <w:rPr>
          <w:rFonts w:ascii="Calibri" w:hAnsi="Calibri" w:cs="Calibri"/>
          <w:bCs/>
        </w:rPr>
      </w:pPr>
      <w:r w:rsidRPr="002A7128">
        <w:rPr>
          <w:rFonts w:ascii="Calibri" w:hAnsi="Calibri" w:cs="Calibri"/>
          <w:bCs/>
        </w:rPr>
        <w:t>OVCAR-3 and OVCAR-8 cells were seeded in 6 well plates and cultured to confluency. Then, by using the tip of a 200 ml pipette tip wound area is formed, and the closure is monitored and quantified for 6, 24 and 48 h.</w:t>
      </w:r>
    </w:p>
    <w:p w14:paraId="37F7F527" w14:textId="77777777" w:rsidR="000711C0" w:rsidRPr="002A7128" w:rsidRDefault="000711C0" w:rsidP="00F675B4">
      <w:pPr>
        <w:spacing w:line="480" w:lineRule="auto"/>
        <w:jc w:val="both"/>
        <w:rPr>
          <w:rFonts w:ascii="Calibri" w:hAnsi="Calibri" w:cs="Calibri"/>
          <w:b/>
        </w:rPr>
      </w:pPr>
      <w:r w:rsidRPr="002A7128">
        <w:rPr>
          <w:rFonts w:ascii="Calibri" w:hAnsi="Calibri" w:cs="Calibri"/>
          <w:b/>
        </w:rPr>
        <w:t>Spheroid</w:t>
      </w:r>
    </w:p>
    <w:p w14:paraId="01D75C4B" w14:textId="056DB243" w:rsidR="000711C0" w:rsidRPr="002A7128" w:rsidRDefault="000711C0" w:rsidP="00F675B4">
      <w:pPr>
        <w:spacing w:line="480" w:lineRule="auto"/>
        <w:jc w:val="both"/>
        <w:rPr>
          <w:rFonts w:ascii="Calibri" w:hAnsi="Calibri" w:cs="Calibri"/>
        </w:rPr>
      </w:pPr>
      <w:r w:rsidRPr="002A7128">
        <w:rPr>
          <w:rFonts w:ascii="Calibri" w:hAnsi="Calibri" w:cs="Calibri"/>
        </w:rPr>
        <w:t xml:space="preserve">100 spheroids/well were added on 6 well plates and imaged at t=0 h. Spheroids were imaged again after 6, 24 and 48 h, and the area invaded by the spheroids after these times were quantified using ImageJ. </w:t>
      </w:r>
    </w:p>
    <w:p w14:paraId="3DFC5CCC" w14:textId="0AB00EC3" w:rsidR="000711C0" w:rsidRPr="002A7128" w:rsidRDefault="000711C0">
      <w:pPr>
        <w:pStyle w:val="Heading2"/>
        <w:numPr>
          <w:ilvl w:val="3"/>
          <w:numId w:val="9"/>
        </w:numPr>
        <w:rPr>
          <w:rFonts w:ascii="Calibri" w:hAnsi="Calibri" w:cs="Calibri"/>
        </w:rPr>
      </w:pPr>
      <w:bookmarkStart w:id="156" w:name="_Toc120794205"/>
      <w:r w:rsidRPr="002A7128">
        <w:rPr>
          <w:rFonts w:ascii="Calibri" w:hAnsi="Calibri" w:cs="Calibri"/>
        </w:rPr>
        <w:lastRenderedPageBreak/>
        <w:t>Statistical Analysis</w:t>
      </w:r>
      <w:bookmarkEnd w:id="156"/>
    </w:p>
    <w:p w14:paraId="1F331307" w14:textId="77777777" w:rsidR="002A45FA" w:rsidRPr="002A7128" w:rsidRDefault="002A45FA" w:rsidP="002A45FA">
      <w:pPr>
        <w:rPr>
          <w:rFonts w:ascii="Calibri" w:hAnsi="Calibri" w:cs="Calibri"/>
        </w:rPr>
      </w:pPr>
    </w:p>
    <w:p w14:paraId="0ABB7006" w14:textId="5C5C6917" w:rsidR="000711C0" w:rsidRPr="002A7128" w:rsidRDefault="000711C0" w:rsidP="00F675B4">
      <w:pPr>
        <w:spacing w:line="480" w:lineRule="auto"/>
        <w:jc w:val="both"/>
        <w:rPr>
          <w:rFonts w:ascii="Calibri" w:hAnsi="Calibri" w:cs="Calibri"/>
        </w:rPr>
      </w:pPr>
      <w:r w:rsidRPr="002A7128">
        <w:rPr>
          <w:rFonts w:ascii="Calibri" w:hAnsi="Calibri" w:cs="Calibri"/>
        </w:rPr>
        <w:t xml:space="preserve">All data was analyzed with GraphPad Prism Version 8.3.0. All data are presented as the means </w:t>
      </w:r>
      <m:oMath>
        <m:r>
          <w:rPr>
            <w:rFonts w:ascii="Cambria Math" w:hAnsi="Cambria Math" w:cs="Calibri"/>
          </w:rPr>
          <m:t>±</m:t>
        </m:r>
      </m:oMath>
      <w:r w:rsidRPr="002A7128">
        <w:rPr>
          <w:rFonts w:ascii="Calibri" w:hAnsi="Calibri" w:cs="Calibri"/>
        </w:rPr>
        <w:t xml:space="preserve"> standard deviation. </w:t>
      </w:r>
      <w:r w:rsidRPr="002A7128">
        <w:rPr>
          <w:rFonts w:ascii="Calibri" w:hAnsi="Calibri" w:cs="Calibri"/>
          <w:color w:val="000000" w:themeColor="text1"/>
        </w:rPr>
        <w:t>Statistical analysis was done by 2-way ANOVA test **** p&lt;0.0001, *** p&lt;0.001, ** p&lt;0.01, * p&lt;0.1</w:t>
      </w:r>
      <w:r w:rsidRPr="002A7128">
        <w:rPr>
          <w:rFonts w:ascii="Calibri" w:hAnsi="Calibri" w:cs="Calibri"/>
        </w:rPr>
        <w:t>.</w:t>
      </w:r>
    </w:p>
    <w:p w14:paraId="53C55BB6" w14:textId="64C59529" w:rsidR="000711C0" w:rsidRPr="002A7128" w:rsidRDefault="000711C0">
      <w:pPr>
        <w:pStyle w:val="Heading2"/>
        <w:numPr>
          <w:ilvl w:val="2"/>
          <w:numId w:val="9"/>
        </w:numPr>
        <w:spacing w:line="480" w:lineRule="auto"/>
        <w:rPr>
          <w:rFonts w:ascii="Calibri" w:hAnsi="Calibri" w:cs="Calibri"/>
        </w:rPr>
      </w:pPr>
      <w:bookmarkStart w:id="157" w:name="_Toc120794206"/>
      <w:r w:rsidRPr="002A7128">
        <w:rPr>
          <w:rFonts w:ascii="Calibri" w:hAnsi="Calibri" w:cs="Calibri"/>
        </w:rPr>
        <w:t>Results</w:t>
      </w:r>
      <w:bookmarkEnd w:id="157"/>
      <w:r w:rsidRPr="002A7128">
        <w:rPr>
          <w:rFonts w:ascii="Calibri" w:hAnsi="Calibri" w:cs="Calibri"/>
        </w:rPr>
        <w:t xml:space="preserve"> </w:t>
      </w:r>
    </w:p>
    <w:p w14:paraId="555C4489" w14:textId="617A8581" w:rsidR="000711C0" w:rsidRPr="002A7128" w:rsidRDefault="000711C0">
      <w:pPr>
        <w:pStyle w:val="Heading2"/>
        <w:numPr>
          <w:ilvl w:val="3"/>
          <w:numId w:val="9"/>
        </w:numPr>
        <w:rPr>
          <w:rFonts w:ascii="Calibri" w:hAnsi="Calibri" w:cs="Calibri"/>
        </w:rPr>
      </w:pPr>
      <w:bookmarkStart w:id="158" w:name="_Toc120794207"/>
      <w:r w:rsidRPr="002A7128">
        <w:rPr>
          <w:rFonts w:ascii="Calibri" w:hAnsi="Calibri" w:cs="Calibri"/>
        </w:rPr>
        <w:t>Expression of Epithelial-to-Mesenchymal Markers in Monolayers of EOC Cells</w:t>
      </w:r>
      <w:bookmarkEnd w:id="158"/>
      <w:r w:rsidRPr="002A7128">
        <w:rPr>
          <w:rFonts w:ascii="Calibri" w:hAnsi="Calibri" w:cs="Calibri"/>
        </w:rPr>
        <w:t xml:space="preserve"> </w:t>
      </w:r>
    </w:p>
    <w:p w14:paraId="05A92C4A" w14:textId="77777777" w:rsidR="002A45FA" w:rsidRPr="002A7128" w:rsidRDefault="002A45FA" w:rsidP="002A45FA">
      <w:pPr>
        <w:rPr>
          <w:rFonts w:ascii="Calibri" w:hAnsi="Calibri" w:cs="Calibri"/>
        </w:rPr>
      </w:pPr>
    </w:p>
    <w:p w14:paraId="4FBE196E" w14:textId="0989F0DD" w:rsidR="000711C0" w:rsidRPr="003C420A" w:rsidRDefault="000711C0" w:rsidP="00F675B4">
      <w:pPr>
        <w:spacing w:line="480" w:lineRule="auto"/>
        <w:jc w:val="both"/>
        <w:rPr>
          <w:rFonts w:ascii="Calibri" w:hAnsi="Calibri" w:cs="Calibri"/>
        </w:rPr>
      </w:pPr>
      <w:r w:rsidRPr="002A7128">
        <w:rPr>
          <w:rFonts w:ascii="Calibri" w:hAnsi="Calibri" w:cs="Calibri"/>
        </w:rPr>
        <w:t xml:space="preserve">Initially, we grew the cells in a monolayer. To understand their cell morphology, we stained EOC cells for their F-actin filaments (red), a main cytoskeletal element. While both cell lines showed a strong presence of F-actin filaments, they were prominent at the membrane periphery in OVCAR-3 cells and distributed uniformly throughout the cytoplasm for OVCAR-8 cells </w:t>
      </w:r>
      <w:r w:rsidRPr="002A7128">
        <w:rPr>
          <w:rFonts w:ascii="Calibri" w:hAnsi="Calibri" w:cs="Calibri"/>
          <w:b/>
          <w:bCs/>
        </w:rPr>
        <w:t>(</w:t>
      </w:r>
      <w:r w:rsidR="009D125F" w:rsidRPr="002A7128">
        <w:rPr>
          <w:rFonts w:ascii="Calibri" w:hAnsi="Calibri" w:cs="Calibri"/>
          <w:b/>
          <w:bCs/>
        </w:rPr>
        <w:fldChar w:fldCharType="begin"/>
      </w:r>
      <w:r w:rsidR="009D125F" w:rsidRPr="002A7128">
        <w:rPr>
          <w:rFonts w:ascii="Calibri" w:hAnsi="Calibri" w:cs="Calibri"/>
          <w:b/>
          <w:bCs/>
        </w:rPr>
        <w:instrText xml:space="preserve"> REF _Ref103516923  \* MERGEFORMAT </w:instrText>
      </w:r>
      <w:r w:rsidR="009D125F"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24</w:t>
      </w:r>
      <w:r w:rsidR="009D125F" w:rsidRPr="002A7128">
        <w:rPr>
          <w:rFonts w:ascii="Calibri" w:hAnsi="Calibri" w:cs="Calibri"/>
          <w:b/>
          <w:bCs/>
        </w:rPr>
        <w:fldChar w:fldCharType="end"/>
      </w:r>
      <w:r w:rsidR="009D125F" w:rsidRPr="002A7128">
        <w:rPr>
          <w:rFonts w:ascii="Calibri" w:hAnsi="Calibri" w:cs="Calibri"/>
          <w:b/>
          <w:bCs/>
        </w:rPr>
        <w:t xml:space="preserve"> </w:t>
      </w:r>
      <w:r w:rsidRPr="002A7128">
        <w:rPr>
          <w:rFonts w:ascii="Calibri" w:hAnsi="Calibri" w:cs="Calibri"/>
          <w:b/>
          <w:bCs/>
        </w:rPr>
        <w:t>left column)</w:t>
      </w:r>
      <w:r w:rsidRPr="002A7128">
        <w:rPr>
          <w:rFonts w:ascii="Calibri" w:hAnsi="Calibri" w:cs="Calibri"/>
        </w:rPr>
        <w:t xml:space="preserve">. We then investigated the existence and levels of EMT markers E-cadherin and Vimentin in these monolayers. E-cadherin (green, center column) expression was very low at the cell membrane of OVCAR-3 cells and was not visible in OVCAR-8 cells </w:t>
      </w:r>
      <w:r w:rsidRPr="002A7128">
        <w:rPr>
          <w:rFonts w:ascii="Calibri" w:hAnsi="Calibri" w:cs="Calibri"/>
          <w:b/>
          <w:bCs/>
        </w:rPr>
        <w:t>(</w:t>
      </w:r>
      <w:r w:rsidR="00937D95" w:rsidRPr="002A7128">
        <w:rPr>
          <w:rFonts w:ascii="Calibri" w:hAnsi="Calibri" w:cs="Calibri"/>
          <w:b/>
          <w:bCs/>
        </w:rPr>
        <w:fldChar w:fldCharType="begin"/>
      </w:r>
      <w:r w:rsidR="00937D95" w:rsidRPr="002A7128">
        <w:rPr>
          <w:rFonts w:ascii="Calibri" w:hAnsi="Calibri" w:cs="Calibri"/>
          <w:b/>
          <w:bCs/>
        </w:rPr>
        <w:instrText xml:space="preserve"> REF _Ref103516923 </w:instrText>
      </w:r>
      <w:r w:rsidR="009D125F" w:rsidRPr="002A7128">
        <w:rPr>
          <w:rFonts w:ascii="Calibri" w:hAnsi="Calibri" w:cs="Calibri"/>
          <w:b/>
          <w:bCs/>
        </w:rPr>
        <w:instrText xml:space="preserve"> \* MERGEFORMAT </w:instrText>
      </w:r>
      <w:r w:rsidR="00937D95"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24</w:t>
      </w:r>
      <w:r w:rsidR="00937D95" w:rsidRPr="002A7128">
        <w:rPr>
          <w:rFonts w:ascii="Calibri" w:hAnsi="Calibri" w:cs="Calibri"/>
          <w:b/>
          <w:bCs/>
        </w:rPr>
        <w:fldChar w:fldCharType="end"/>
      </w:r>
      <w:r w:rsidRPr="002A7128">
        <w:rPr>
          <w:rFonts w:ascii="Calibri" w:hAnsi="Calibri" w:cs="Calibri"/>
          <w:b/>
          <w:bCs/>
        </w:rPr>
        <w:t>, center column)</w:t>
      </w:r>
      <w:r w:rsidRPr="002A7128">
        <w:rPr>
          <w:rFonts w:ascii="Calibri" w:hAnsi="Calibri" w:cs="Calibri"/>
        </w:rPr>
        <w:t>. E-cadherin is known to interact with cytoskeletal proteins, explaining the observed accumulation of F-actin on the OVCAR-3 cell membrane</w:t>
      </w:r>
      <w:r w:rsidRPr="002A7128">
        <w:rPr>
          <w:rFonts w:ascii="Calibri" w:hAnsi="Calibri" w:cs="Calibri"/>
          <w:highlight w:val="yellow"/>
        </w:rPr>
        <w:fldChar w:fldCharType="begin"/>
      </w:r>
      <w:r w:rsidR="00317E7D" w:rsidRPr="002A7128">
        <w:rPr>
          <w:rFonts w:ascii="Calibri" w:hAnsi="Calibri" w:cs="Calibri"/>
          <w:highlight w:val="yellow"/>
        </w:rPr>
        <w:instrText xml:space="preserve"> ADDIN ZOTERO_ITEM CSL_CITATION {"citationID":"9UEqftIY","properties":{"formattedCitation":"\\super 298\\nosupersub{}","plainCitation":"298","noteIndex":0},"citationItems":[{"id":"wiida5Bo/CoKWzvXB","uris":["http://zotero.org/users/local/91fNc9yk/items/BSLKGFDN"],"itemData":{"id":524,"type":"article-journal","container-title":"Proceedings of the National Academy of Sciences","DOI":"10.1073/pnas.96.11.6249","ISSN":"0027-8424, 1091-6490","issue":"11","journalAbbreviation":"Proceedings of the National Academy of Sciences","language":"en","page":"6249-6254","source":"DOI.org (Crossref)","title":"E-cadherin induces mesenchymal-to-epithelial transition in human ovarian surface epithelium","volume":"96","author":[{"family":"Auersperg","given":"N."},{"family":"Pan","given":"J."},{"family":"Grove","given":"B. D."},{"family":"Peterson","given":"T."},{"family":"Fisher","given":"J."},{"family":"Maines-Bandiera","given":"S."},{"family":"Somasiri","given":"A."},{"family":"Roskelley","given":"C. D."}],"issued":{"date-parts":[["1999",5,25]]}}}],"schema":"https://github.com/citation-style-language/schema/raw/master/csl-citation.json"} </w:instrText>
      </w:r>
      <w:r w:rsidRPr="002A7128">
        <w:rPr>
          <w:rFonts w:ascii="Calibri" w:hAnsi="Calibri" w:cs="Calibri"/>
          <w:highlight w:val="yellow"/>
        </w:rPr>
        <w:fldChar w:fldCharType="separate"/>
      </w:r>
      <w:r w:rsidR="00A64B61" w:rsidRPr="002A7128">
        <w:rPr>
          <w:rFonts w:ascii="Calibri" w:hAnsi="Calibri" w:cs="Calibri"/>
          <w:vertAlign w:val="superscript"/>
        </w:rPr>
        <w:t>298</w:t>
      </w:r>
      <w:r w:rsidRPr="002A7128">
        <w:rPr>
          <w:rFonts w:ascii="Calibri" w:hAnsi="Calibri" w:cs="Calibri"/>
          <w:highlight w:val="yellow"/>
        </w:rPr>
        <w:fldChar w:fldCharType="end"/>
      </w:r>
      <w:r w:rsidRPr="002A7128">
        <w:rPr>
          <w:rFonts w:ascii="Calibri" w:hAnsi="Calibri" w:cs="Calibri"/>
        </w:rPr>
        <w:t xml:space="preserve">. Vimentin (green, right column) expression showed an opposite trend: while no Vimentin was observed in OVCAR-3 cells, intermediate filaments were present in the cytoplasm of OVCAR-8 cells </w:t>
      </w:r>
      <w:r w:rsidRPr="002A7128">
        <w:rPr>
          <w:rFonts w:ascii="Calibri" w:hAnsi="Calibri" w:cs="Calibri"/>
          <w:b/>
          <w:bCs/>
        </w:rPr>
        <w:t>(</w:t>
      </w:r>
      <w:r w:rsidR="00937D95" w:rsidRPr="002A7128">
        <w:rPr>
          <w:rFonts w:ascii="Calibri" w:hAnsi="Calibri" w:cs="Calibri"/>
          <w:b/>
          <w:bCs/>
        </w:rPr>
        <w:fldChar w:fldCharType="begin"/>
      </w:r>
      <w:r w:rsidR="00937D95" w:rsidRPr="002A7128">
        <w:rPr>
          <w:rFonts w:ascii="Calibri" w:hAnsi="Calibri" w:cs="Calibri"/>
          <w:b/>
          <w:bCs/>
        </w:rPr>
        <w:instrText xml:space="preserve"> REF _Ref103516923 </w:instrText>
      </w:r>
      <w:r w:rsidR="009D125F" w:rsidRPr="002A7128">
        <w:rPr>
          <w:rFonts w:ascii="Calibri" w:hAnsi="Calibri" w:cs="Calibri"/>
          <w:b/>
          <w:bCs/>
        </w:rPr>
        <w:instrText xml:space="preserve"> \* MERGEFORMAT </w:instrText>
      </w:r>
      <w:r w:rsidR="00937D95"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24</w:t>
      </w:r>
      <w:r w:rsidR="00937D95" w:rsidRPr="002A7128">
        <w:rPr>
          <w:rFonts w:ascii="Calibri" w:hAnsi="Calibri" w:cs="Calibri"/>
          <w:b/>
          <w:bCs/>
        </w:rPr>
        <w:fldChar w:fldCharType="end"/>
      </w:r>
      <w:r w:rsidRPr="002A7128">
        <w:rPr>
          <w:rFonts w:ascii="Calibri" w:hAnsi="Calibri" w:cs="Calibri"/>
          <w:b/>
          <w:bCs/>
        </w:rPr>
        <w:t>, right column)</w:t>
      </w:r>
      <w:r w:rsidRPr="002A7128">
        <w:rPr>
          <w:rFonts w:ascii="Calibri" w:hAnsi="Calibri" w:cs="Calibri"/>
        </w:rPr>
        <w:t xml:space="preserve">. We confirmed these expression profiles with western blotting; however, E-cadherin level was too low to be detected by western blotting for OVCAR-3 cells </w:t>
      </w:r>
      <w:r w:rsidRPr="003C420A">
        <w:rPr>
          <w:rFonts w:ascii="Calibri" w:hAnsi="Calibri" w:cs="Calibri"/>
          <w:b/>
          <w:bCs/>
        </w:rPr>
        <w:t>(</w:t>
      </w:r>
      <w:r w:rsidR="00937D95" w:rsidRPr="003C420A">
        <w:rPr>
          <w:rFonts w:ascii="Calibri" w:hAnsi="Calibri" w:cs="Calibri"/>
          <w:b/>
          <w:bCs/>
        </w:rPr>
        <w:fldChar w:fldCharType="begin"/>
      </w:r>
      <w:r w:rsidR="00937D95" w:rsidRPr="003C420A">
        <w:rPr>
          <w:rFonts w:ascii="Calibri" w:hAnsi="Calibri" w:cs="Calibri"/>
          <w:b/>
          <w:bCs/>
        </w:rPr>
        <w:instrText xml:space="preserve"> REF _Ref103516923 </w:instrText>
      </w:r>
      <w:r w:rsidR="00F81EC9" w:rsidRPr="003C420A">
        <w:rPr>
          <w:rFonts w:ascii="Calibri" w:hAnsi="Calibri" w:cs="Calibri"/>
          <w:b/>
          <w:bCs/>
        </w:rPr>
        <w:instrText xml:space="preserve"> \* MERGEFORMAT </w:instrText>
      </w:r>
      <w:r w:rsidR="00937D95" w:rsidRPr="003C420A">
        <w:rPr>
          <w:rFonts w:ascii="Calibri" w:hAnsi="Calibri" w:cs="Calibri"/>
          <w:b/>
          <w:bCs/>
        </w:rPr>
        <w:fldChar w:fldCharType="separate"/>
      </w:r>
      <w:r w:rsidR="007D711E" w:rsidRPr="003C420A">
        <w:rPr>
          <w:rFonts w:ascii="Calibri" w:hAnsi="Calibri" w:cs="Calibri"/>
          <w:b/>
          <w:bCs/>
          <w:color w:val="000000" w:themeColor="text1"/>
        </w:rPr>
        <w:t xml:space="preserve">Figure </w:t>
      </w:r>
      <w:r w:rsidR="007D711E" w:rsidRPr="003C420A">
        <w:rPr>
          <w:rFonts w:ascii="Calibri" w:hAnsi="Calibri" w:cs="Calibri"/>
          <w:b/>
          <w:bCs/>
          <w:noProof/>
          <w:color w:val="000000" w:themeColor="text1"/>
        </w:rPr>
        <w:t>24</w:t>
      </w:r>
      <w:r w:rsidR="00937D95" w:rsidRPr="003C420A">
        <w:rPr>
          <w:rFonts w:ascii="Calibri" w:hAnsi="Calibri" w:cs="Calibri"/>
          <w:b/>
          <w:bCs/>
        </w:rPr>
        <w:fldChar w:fldCharType="end"/>
      </w:r>
      <w:r w:rsidRPr="003C420A">
        <w:rPr>
          <w:rFonts w:ascii="Calibri" w:hAnsi="Calibri" w:cs="Calibri"/>
          <w:b/>
          <w:bCs/>
        </w:rPr>
        <w:t>)</w:t>
      </w:r>
      <w:r w:rsidRPr="003C420A">
        <w:rPr>
          <w:rFonts w:ascii="Calibri" w:hAnsi="Calibri" w:cs="Calibri"/>
        </w:rPr>
        <w:t xml:space="preserve">. </w:t>
      </w:r>
    </w:p>
    <w:p w14:paraId="4AE26CBF" w14:textId="77777777" w:rsidR="000711C0" w:rsidRPr="002A7128" w:rsidRDefault="000711C0" w:rsidP="00F675B4">
      <w:pPr>
        <w:spacing w:line="480" w:lineRule="auto"/>
        <w:jc w:val="both"/>
        <w:rPr>
          <w:rFonts w:ascii="Calibri" w:hAnsi="Calibri" w:cs="Calibri"/>
        </w:rPr>
      </w:pPr>
      <w:r w:rsidRPr="002A7128">
        <w:rPr>
          <w:rFonts w:ascii="Calibri" w:hAnsi="Calibri" w:cs="Calibri"/>
          <w:noProof/>
        </w:rPr>
        <w:lastRenderedPageBreak/>
        <w:drawing>
          <wp:inline distT="0" distB="0" distL="0" distR="0" wp14:anchorId="6C54D252" wp14:editId="00F2E196">
            <wp:extent cx="5684108" cy="2265749"/>
            <wp:effectExtent l="0" t="0" r="5715"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91677" cy="2268766"/>
                    </a:xfrm>
                    <a:prstGeom prst="rect">
                      <a:avLst/>
                    </a:prstGeom>
                  </pic:spPr>
                </pic:pic>
              </a:graphicData>
            </a:graphic>
          </wp:inline>
        </w:drawing>
      </w:r>
    </w:p>
    <w:p w14:paraId="28C09EF4" w14:textId="4DC5E5EA" w:rsidR="000711C0" w:rsidRDefault="000711C0" w:rsidP="003C420A">
      <w:pPr>
        <w:pStyle w:val="Caption"/>
        <w:spacing w:line="480" w:lineRule="auto"/>
        <w:jc w:val="both"/>
        <w:rPr>
          <w:rFonts w:ascii="Calibri" w:hAnsi="Calibri" w:cs="Calibri"/>
          <w:i w:val="0"/>
          <w:iCs w:val="0"/>
          <w:color w:val="000000" w:themeColor="text1"/>
          <w:sz w:val="24"/>
          <w:szCs w:val="24"/>
        </w:rPr>
      </w:pPr>
      <w:bookmarkStart w:id="159" w:name="_Ref103516923"/>
      <w:bookmarkStart w:id="160" w:name="_Toc120789442"/>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24</w:t>
      </w:r>
      <w:r w:rsidRPr="002A7128">
        <w:rPr>
          <w:rFonts w:ascii="Calibri" w:hAnsi="Calibri" w:cs="Calibri"/>
          <w:b/>
          <w:bCs/>
          <w:i w:val="0"/>
          <w:iCs w:val="0"/>
          <w:color w:val="000000" w:themeColor="text1"/>
          <w:sz w:val="24"/>
          <w:szCs w:val="24"/>
        </w:rPr>
        <w:fldChar w:fldCharType="end"/>
      </w:r>
      <w:bookmarkEnd w:id="159"/>
      <w:r w:rsidRPr="002A7128">
        <w:rPr>
          <w:rFonts w:ascii="Calibri" w:hAnsi="Calibri" w:cs="Calibri"/>
          <w:b/>
          <w:bCs/>
          <w:i w:val="0"/>
          <w:iCs w:val="0"/>
          <w:color w:val="000000" w:themeColor="text1"/>
          <w:sz w:val="24"/>
          <w:szCs w:val="24"/>
        </w:rPr>
        <w:t>.</w:t>
      </w:r>
      <w:r w:rsidRPr="002A7128">
        <w:rPr>
          <w:rFonts w:ascii="Calibri" w:hAnsi="Calibri" w:cs="Calibri"/>
          <w:i w:val="0"/>
          <w:iCs w:val="0"/>
          <w:color w:val="000000" w:themeColor="text1"/>
          <w:sz w:val="24"/>
          <w:szCs w:val="24"/>
        </w:rPr>
        <w:t xml:space="preserve"> </w:t>
      </w:r>
      <w:r w:rsidRPr="002A7128">
        <w:rPr>
          <w:rFonts w:ascii="Calibri" w:hAnsi="Calibri" w:cs="Calibri"/>
          <w:b/>
          <w:bCs/>
          <w:i w:val="0"/>
          <w:iCs w:val="0"/>
          <w:color w:val="000000" w:themeColor="text1"/>
          <w:sz w:val="24"/>
          <w:szCs w:val="24"/>
        </w:rPr>
        <w:t>Analysis of EMT markers in OVCAR-3 and OVCAR-8 cell lines.</w:t>
      </w:r>
      <w:r w:rsidRPr="002A7128">
        <w:rPr>
          <w:rFonts w:ascii="Calibri" w:hAnsi="Calibri" w:cs="Calibri"/>
          <w:i w:val="0"/>
          <w:iCs w:val="0"/>
          <w:color w:val="000000" w:themeColor="text1"/>
          <w:sz w:val="24"/>
          <w:szCs w:val="24"/>
        </w:rPr>
        <w:t xml:space="preserve"> (A) Confocal imaging of actin cytoskeleton (red, left column), E-cadherin (green, center column) and Vimentin (green, right column). Scale bar is 50 </w:t>
      </w:r>
      <w:r w:rsidRPr="00FD1007">
        <w:rPr>
          <w:rFonts w:ascii="Symbol" w:hAnsi="Symbol" w:cs="Calibri"/>
          <w:i w:val="0"/>
          <w:iCs w:val="0"/>
          <w:color w:val="000000" w:themeColor="text1"/>
          <w:sz w:val="24"/>
          <w:szCs w:val="24"/>
        </w:rPr>
        <w:t></w:t>
      </w:r>
      <w:r w:rsidRPr="002A7128">
        <w:rPr>
          <w:rFonts w:ascii="Calibri" w:hAnsi="Calibri" w:cs="Calibri"/>
          <w:i w:val="0"/>
          <w:iCs w:val="0"/>
          <w:color w:val="000000" w:themeColor="text1"/>
          <w:sz w:val="24"/>
          <w:szCs w:val="24"/>
        </w:rPr>
        <w:t xml:space="preserve">m, and blue staining indicates DAPI (nuclei) in each image. (B) Western blotting of E-Cadherin and Vimentin; and housekeeping </w:t>
      </w:r>
      <w:r w:rsidRPr="007678DF">
        <w:rPr>
          <w:rFonts w:ascii="Symbol" w:hAnsi="Symbol" w:cs="Calibri"/>
          <w:i w:val="0"/>
          <w:iCs w:val="0"/>
          <w:color w:val="000000" w:themeColor="text1"/>
          <w:sz w:val="24"/>
          <w:szCs w:val="24"/>
        </w:rPr>
        <w:t></w:t>
      </w:r>
      <w:r w:rsidRPr="002A7128">
        <w:rPr>
          <w:rFonts w:ascii="Calibri" w:hAnsi="Calibri" w:cs="Calibri"/>
          <w:i w:val="0"/>
          <w:iCs w:val="0"/>
          <w:color w:val="000000" w:themeColor="text1"/>
          <w:sz w:val="24"/>
          <w:szCs w:val="24"/>
        </w:rPr>
        <w:t xml:space="preserve">-actin was included for total protein loading control. (C) </w:t>
      </w:r>
      <w:r w:rsidR="00FD1007">
        <w:rPr>
          <w:rFonts w:ascii="Calibri" w:hAnsi="Calibri" w:cs="Calibri"/>
          <w:i w:val="0"/>
          <w:iCs w:val="0"/>
          <w:color w:val="000000" w:themeColor="text1"/>
          <w:sz w:val="24"/>
          <w:szCs w:val="24"/>
        </w:rPr>
        <w:t>I</w:t>
      </w:r>
      <w:r w:rsidRPr="002A7128">
        <w:rPr>
          <w:rFonts w:ascii="Calibri" w:hAnsi="Calibri" w:cs="Calibri"/>
          <w:i w:val="0"/>
          <w:iCs w:val="0"/>
          <w:color w:val="000000" w:themeColor="text1"/>
          <w:sz w:val="24"/>
          <w:szCs w:val="24"/>
        </w:rPr>
        <w:t>llustration of OVCAR-3 and OVCAR-8 in epithelial and mesenchymal phenotype spectrum.</w:t>
      </w:r>
      <w:bookmarkEnd w:id="160"/>
    </w:p>
    <w:p w14:paraId="3C122A3C" w14:textId="77777777" w:rsidR="007678DF" w:rsidRPr="007678DF" w:rsidRDefault="007678DF" w:rsidP="007678DF"/>
    <w:p w14:paraId="006899F7" w14:textId="73852E17" w:rsidR="003C420A" w:rsidRDefault="000711C0" w:rsidP="007678DF">
      <w:pPr>
        <w:keepNext/>
        <w:spacing w:line="480" w:lineRule="auto"/>
        <w:jc w:val="both"/>
        <w:rPr>
          <w:rFonts w:ascii="Calibri" w:hAnsi="Calibri" w:cs="Calibri"/>
          <w:color w:val="000000" w:themeColor="text1"/>
          <w:shd w:val="clear" w:color="auto" w:fill="FFFFFF"/>
        </w:rPr>
      </w:pPr>
      <w:r w:rsidRPr="002A7128">
        <w:rPr>
          <w:rFonts w:ascii="Calibri" w:hAnsi="Calibri" w:cs="Calibri"/>
          <w:color w:val="000000" w:themeColor="text1"/>
        </w:rPr>
        <w:t>Differences in E-cadherin expression in the patient derived tumors are well documented. E-cadherin expression is generally induced in well differentiated ovarian cancers</w:t>
      </w:r>
      <w:r w:rsidRPr="002A7128">
        <w:rPr>
          <w:rFonts w:ascii="Calibri" w:hAnsi="Calibri" w:cs="Calibri"/>
          <w:color w:val="000000" w:themeColor="text1"/>
        </w:rPr>
        <w:fldChar w:fldCharType="begin"/>
      </w:r>
      <w:r w:rsidR="00317E7D" w:rsidRPr="002A7128">
        <w:rPr>
          <w:rFonts w:ascii="Calibri" w:hAnsi="Calibri" w:cs="Calibri"/>
          <w:color w:val="000000" w:themeColor="text1"/>
        </w:rPr>
        <w:instrText xml:space="preserve"> ADDIN ZOTERO_ITEM CSL_CITATION {"citationID":"wGeb3VuN","properties":{"formattedCitation":"\\super 299,300\\nosupersub{}","plainCitation":"299,300","noteIndex":0},"citationItems":[{"id":"wiida5Bo/Ai98MN8D","uris":["http://zotero.org/users/local/91fNc9yk/items/CMI9B4GK"],"itemData":{"id":714,"type":"article-journal","container-title":"Gynecologic Oncology","DOI":"10.1016/j.ygyno.2004.03.037","ISSN":"00908258","issue":"1","journalAbbreviation":"Gynecologic Oncology","language":"en","page":"16-24","source":"DOI.org (Crossref)","title":"Immunohistochemical patterns for α- and β-catenin, E- and N-cadherin expression in ovarian epithelial tumors","volume":"94","author":[{"family":"Marques","given":"Frances Roveri"},{"family":"Fonsechi-Carvasan","given":"Gislaine Aparecida"},{"family":"De Angelo Andrade","given":"Liliana Aparecida Lucci"},{"family":"Böttcher-Luiz","given":"Fátima"}],"issued":{"date-parts":[["2004",7]]}}},{"id":"wiida5Bo/nP8sOQhH","uris":["http://zotero.org/users/local/91fNc9yk/items/4Y9YTVQH"],"itemData":{"id":713,"type":"article-journal","container-title":"Histopathology","DOI":"10.1046/j.1365-2559.1998.00341.x","ISSN":"0309-0167, 1365-2559","issue":"1","journalAbbreviation":"Histopathology","language":"en","page":"69-80","source":"DOI.org (Crossref)","title":"Expression of E‐cadherin, α‐catenin and β‐catenin in normal ovarian surface epithelium and epithelial ovarian cancers","volume":"32","author":[{"literal":"Davies"},{"literal":"Worsley"},{"literal":"Ponder"}],"issued":{"date-parts":[["1998",1]]}}}],"schema":"https://github.com/citation-style-language/schema/raw/master/csl-citation.json"} </w:instrText>
      </w:r>
      <w:r w:rsidRPr="002A7128">
        <w:rPr>
          <w:rFonts w:ascii="Calibri" w:hAnsi="Calibri" w:cs="Calibri"/>
          <w:color w:val="000000" w:themeColor="text1"/>
        </w:rPr>
        <w:fldChar w:fldCharType="separate"/>
      </w:r>
      <w:r w:rsidR="00A64B61" w:rsidRPr="002A7128">
        <w:rPr>
          <w:rFonts w:ascii="Calibri" w:hAnsi="Calibri" w:cs="Calibri"/>
          <w:color w:val="000000"/>
          <w:vertAlign w:val="superscript"/>
        </w:rPr>
        <w:t>299,300</w:t>
      </w:r>
      <w:r w:rsidRPr="002A7128">
        <w:rPr>
          <w:rFonts w:ascii="Calibri" w:hAnsi="Calibri" w:cs="Calibri"/>
          <w:color w:val="000000" w:themeColor="text1"/>
        </w:rPr>
        <w:fldChar w:fldCharType="end"/>
      </w:r>
      <w:r w:rsidRPr="002A7128">
        <w:rPr>
          <w:rFonts w:ascii="Calibri" w:hAnsi="Calibri" w:cs="Calibri"/>
          <w:color w:val="000000" w:themeColor="text1"/>
        </w:rPr>
        <w:t xml:space="preserve">. Hayley et al. studied the functional characterization of several HGSOC cell lines and concluded that the HGSOC cell lines with the highest vimentin expression showed the lowest E-cadherin expression, and vice versa. It is known that the HGSOC cell lines exhibit a wide range of different characteristics, EMT </w:t>
      </w:r>
      <w:r w:rsidRPr="002A7128">
        <w:rPr>
          <w:rFonts w:ascii="Calibri" w:hAnsi="Calibri" w:cs="Calibri"/>
          <w:color w:val="000000" w:themeColor="text1"/>
        </w:rPr>
        <w:lastRenderedPageBreak/>
        <w:t xml:space="preserve">phenotype, and drug resistance. Such wide range is correlated with the </w:t>
      </w:r>
      <w:r w:rsidRPr="002A7128">
        <w:rPr>
          <w:rFonts w:ascii="Calibri" w:hAnsi="Calibri" w:cs="Calibri"/>
          <w:color w:val="000000" w:themeColor="text1"/>
          <w:shd w:val="clear" w:color="auto" w:fill="FFFFFF"/>
        </w:rPr>
        <w:t>characteristics of the disease in clinic</w:t>
      </w:r>
      <w:r w:rsidRPr="002A7128">
        <w:rPr>
          <w:rFonts w:ascii="Calibri" w:hAnsi="Calibri" w:cs="Calibri"/>
          <w:color w:val="000000" w:themeColor="text1"/>
          <w:shd w:val="clear" w:color="auto" w:fill="FFFFFF"/>
        </w:rPr>
        <w:fldChar w:fldCharType="begin"/>
      </w:r>
      <w:r w:rsidR="00317E7D" w:rsidRPr="002A7128">
        <w:rPr>
          <w:rFonts w:ascii="Calibri" w:hAnsi="Calibri" w:cs="Calibri"/>
          <w:color w:val="000000" w:themeColor="text1"/>
          <w:shd w:val="clear" w:color="auto" w:fill="FFFFFF"/>
        </w:rPr>
        <w:instrText xml:space="preserve"> ADDIN ZOTERO_ITEM CSL_CITATION {"citationID":"PWs5jzlP","properties":{"formattedCitation":"\\super 301\\nosupersub{}","plainCitation":"301","noteIndex":0},"citationItems":[{"id":"wiida5Bo/cHD7XVU3","uris":["http://zotero.org/users/local/91fNc9yk/items/3UZ8MXXA"],"itemData":{"id":577,"type":"article-journal","container-title":"Oncotarget","DOI":"10.18632/oncotarget.9053","ISSN":"1949-2553","issue":"22","journalAbbreviation":"Oncotarget","language":"en","source":"DOI.org (Crossref)","title":"Functional characterization of a panel of high-grade serous ovarian cancer cell lines as representative experimental models of the disease","URL":"http://www.oncotarget.com/fulltext/9053","volume":"7","author":[{"family":"Haley","given":"James"},{"family":"Tomar","given":"Sunil"},{"family":"Pulliam","given":"Nicholas"},{"family":"Xiong","given":"Sen"},{"family":"Perkins","given":"Susan M."},{"family":"Karpf","given":"Adam R."},{"family":"Mitra","given":"Sumegha"},{"family":"Nephew","given":"Kenneth P."},{"family":"Mitra","given":"Anirban K."}],"accessed":{"date-parts":[["2020",3,30]]},"issued":{"date-parts":[["2016",5,31]]}}}],"schema":"https://github.com/citation-style-language/schema/raw/master/csl-citation.json"} </w:instrText>
      </w:r>
      <w:r w:rsidRPr="002A7128">
        <w:rPr>
          <w:rFonts w:ascii="Calibri" w:hAnsi="Calibri" w:cs="Calibri"/>
          <w:color w:val="000000" w:themeColor="text1"/>
          <w:shd w:val="clear" w:color="auto" w:fill="FFFFFF"/>
        </w:rPr>
        <w:fldChar w:fldCharType="separate"/>
      </w:r>
      <w:r w:rsidR="00A64B61" w:rsidRPr="002A7128">
        <w:rPr>
          <w:rFonts w:ascii="Calibri" w:hAnsi="Calibri" w:cs="Calibri"/>
          <w:color w:val="000000"/>
          <w:vertAlign w:val="superscript"/>
        </w:rPr>
        <w:t>301</w:t>
      </w:r>
      <w:r w:rsidRPr="002A7128">
        <w:rPr>
          <w:rFonts w:ascii="Calibri" w:hAnsi="Calibri" w:cs="Calibri"/>
          <w:color w:val="000000" w:themeColor="text1"/>
          <w:shd w:val="clear" w:color="auto" w:fill="FFFFFF"/>
        </w:rPr>
        <w:fldChar w:fldCharType="end"/>
      </w:r>
      <w:r w:rsidRPr="002A7128">
        <w:rPr>
          <w:rFonts w:ascii="Calibri" w:hAnsi="Calibri" w:cs="Calibri"/>
          <w:color w:val="000000" w:themeColor="text1"/>
          <w:shd w:val="clear" w:color="auto" w:fill="FFFFFF"/>
        </w:rPr>
        <w:t>.</w:t>
      </w:r>
    </w:p>
    <w:p w14:paraId="01DD0443" w14:textId="77777777" w:rsidR="007678DF" w:rsidRPr="002A7128" w:rsidRDefault="007678DF" w:rsidP="007678DF">
      <w:pPr>
        <w:keepNext/>
        <w:spacing w:line="480" w:lineRule="auto"/>
        <w:jc w:val="both"/>
        <w:rPr>
          <w:rFonts w:ascii="Calibri" w:hAnsi="Calibri" w:cs="Calibri"/>
        </w:rPr>
      </w:pPr>
    </w:p>
    <w:p w14:paraId="112610A3" w14:textId="77777777" w:rsidR="00BA612B" w:rsidRPr="002A7128" w:rsidRDefault="00BA612B" w:rsidP="00F675B4">
      <w:pPr>
        <w:keepNext/>
        <w:spacing w:line="480" w:lineRule="auto"/>
        <w:jc w:val="both"/>
        <w:rPr>
          <w:rFonts w:ascii="Calibri" w:hAnsi="Calibri" w:cs="Calibri"/>
        </w:rPr>
      </w:pPr>
      <w:r w:rsidRPr="002A7128">
        <w:rPr>
          <w:rFonts w:ascii="Calibri" w:hAnsi="Calibri" w:cs="Calibri"/>
          <w:noProof/>
        </w:rPr>
        <w:drawing>
          <wp:inline distT="0" distB="0" distL="0" distR="0" wp14:anchorId="3B980788" wp14:editId="68883E2B">
            <wp:extent cx="3205514" cy="3839390"/>
            <wp:effectExtent l="0" t="0" r="0" b="0"/>
            <wp:docPr id="1" name="Picture 1" descr="A picture containing building, window, plane,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heroids all time points.png"/>
                    <pic:cNvPicPr/>
                  </pic:nvPicPr>
                  <pic:blipFill rotWithShape="1">
                    <a:blip r:embed="rId34" cstate="print">
                      <a:extLst>
                        <a:ext uri="{28A0092B-C50C-407E-A947-70E740481C1C}">
                          <a14:useLocalDpi xmlns:a14="http://schemas.microsoft.com/office/drawing/2010/main" val="0"/>
                        </a:ext>
                      </a:extLst>
                    </a:blip>
                    <a:srcRect l="5177" t="2624" r="10553" b="5296"/>
                    <a:stretch/>
                  </pic:blipFill>
                  <pic:spPr bwMode="auto">
                    <a:xfrm>
                      <a:off x="0" y="0"/>
                      <a:ext cx="3213278" cy="3848689"/>
                    </a:xfrm>
                    <a:prstGeom prst="rect">
                      <a:avLst/>
                    </a:prstGeom>
                    <a:ln>
                      <a:noFill/>
                    </a:ln>
                    <a:extLst>
                      <a:ext uri="{53640926-AAD7-44D8-BBD7-CCE9431645EC}">
                        <a14:shadowObscured xmlns:a14="http://schemas.microsoft.com/office/drawing/2010/main"/>
                      </a:ext>
                    </a:extLst>
                  </pic:spPr>
                </pic:pic>
              </a:graphicData>
            </a:graphic>
          </wp:inline>
        </w:drawing>
      </w:r>
    </w:p>
    <w:p w14:paraId="16F9381D" w14:textId="09A7558D" w:rsidR="007678DF" w:rsidRPr="0008050E" w:rsidRDefault="00BA612B" w:rsidP="0008050E">
      <w:pPr>
        <w:pStyle w:val="Caption"/>
        <w:spacing w:line="480" w:lineRule="auto"/>
        <w:jc w:val="both"/>
        <w:rPr>
          <w:rFonts w:ascii="Calibri" w:hAnsi="Calibri" w:cs="Calibri"/>
          <w:i w:val="0"/>
          <w:iCs w:val="0"/>
          <w:color w:val="000000" w:themeColor="text1"/>
          <w:sz w:val="24"/>
          <w:szCs w:val="24"/>
        </w:rPr>
      </w:pPr>
      <w:bookmarkStart w:id="161" w:name="_Ref103519054"/>
      <w:bookmarkStart w:id="162" w:name="_Toc120789443"/>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25</w:t>
      </w:r>
      <w:r w:rsidRPr="002A7128">
        <w:rPr>
          <w:rFonts w:ascii="Calibri" w:hAnsi="Calibri" w:cs="Calibri"/>
          <w:b/>
          <w:bCs/>
          <w:i w:val="0"/>
          <w:iCs w:val="0"/>
          <w:color w:val="000000" w:themeColor="text1"/>
          <w:sz w:val="24"/>
          <w:szCs w:val="24"/>
        </w:rPr>
        <w:fldChar w:fldCharType="end"/>
      </w:r>
      <w:bookmarkEnd w:id="161"/>
      <w:r w:rsidRPr="002A7128">
        <w:rPr>
          <w:rFonts w:ascii="Calibri" w:hAnsi="Calibri" w:cs="Calibri"/>
          <w:b/>
          <w:bCs/>
          <w:i w:val="0"/>
          <w:iCs w:val="0"/>
          <w:color w:val="000000" w:themeColor="text1"/>
          <w:sz w:val="24"/>
          <w:szCs w:val="24"/>
        </w:rPr>
        <w:t xml:space="preserve"> Spheroid formation of ovarian cancer cell lines.</w:t>
      </w:r>
      <w:r w:rsidRPr="002A7128">
        <w:rPr>
          <w:rFonts w:ascii="Calibri" w:hAnsi="Calibri" w:cs="Calibri"/>
          <w:i w:val="0"/>
          <w:iCs w:val="0"/>
          <w:color w:val="000000" w:themeColor="text1"/>
          <w:sz w:val="24"/>
          <w:szCs w:val="24"/>
        </w:rPr>
        <w:t xml:space="preserve"> OVCAR-3, SKOV-3 and OVCAR-8 spheroids were initiated with 50, 100, 200 and 500 cells and monitored for 6 days every 24h Scale bar is 100 </w:t>
      </w:r>
      <w:r w:rsidRPr="00FD1007">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m.</w:t>
      </w:r>
      <w:bookmarkEnd w:id="162"/>
    </w:p>
    <w:p w14:paraId="484DCCCA" w14:textId="687B1777" w:rsidR="007678DF" w:rsidRPr="003C420A" w:rsidRDefault="007678DF" w:rsidP="007678DF">
      <w:pPr>
        <w:pStyle w:val="Heading2"/>
        <w:numPr>
          <w:ilvl w:val="3"/>
          <w:numId w:val="9"/>
        </w:numPr>
        <w:spacing w:line="480" w:lineRule="auto"/>
      </w:pPr>
      <w:bookmarkStart w:id="163" w:name="_Toc120794208"/>
      <w:r w:rsidRPr="003C420A">
        <w:t>Spheroid Formation and Characterization</w:t>
      </w:r>
      <w:bookmarkEnd w:id="163"/>
    </w:p>
    <w:p w14:paraId="4AA8B8C1" w14:textId="55401276" w:rsidR="007678DF" w:rsidRPr="002A7128" w:rsidRDefault="007678DF" w:rsidP="007678DF">
      <w:pPr>
        <w:keepNext/>
        <w:spacing w:line="480" w:lineRule="auto"/>
        <w:jc w:val="both"/>
        <w:rPr>
          <w:rFonts w:ascii="Calibri" w:hAnsi="Calibri" w:cs="Calibri"/>
        </w:rPr>
      </w:pPr>
      <w:r w:rsidRPr="002A7128">
        <w:rPr>
          <w:rFonts w:ascii="Calibri" w:hAnsi="Calibri" w:cs="Calibri"/>
        </w:rPr>
        <w:t xml:space="preserve">We started spheroids with different initial cell numbers to cover a physiologically relevant range over the course of 6 days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_Ref103519054  \* MERGEFORMAT </w:instrText>
      </w:r>
      <w:r w:rsidRPr="002A7128">
        <w:rPr>
          <w:rFonts w:ascii="Calibri" w:hAnsi="Calibri" w:cs="Calibri"/>
          <w:b/>
          <w:bCs/>
        </w:rPr>
        <w:fldChar w:fldCharType="separate"/>
      </w:r>
      <w:r w:rsidRPr="002A7128">
        <w:rPr>
          <w:rFonts w:ascii="Calibri" w:hAnsi="Calibri" w:cs="Calibri"/>
          <w:b/>
          <w:bCs/>
          <w:color w:val="000000" w:themeColor="text1"/>
        </w:rPr>
        <w:t xml:space="preserve">Figure </w:t>
      </w:r>
      <w:r w:rsidRPr="002A7128">
        <w:rPr>
          <w:rFonts w:ascii="Calibri" w:hAnsi="Calibri" w:cs="Calibri"/>
          <w:b/>
          <w:bCs/>
          <w:noProof/>
          <w:color w:val="000000" w:themeColor="text1"/>
        </w:rPr>
        <w:t>25</w:t>
      </w:r>
      <w:r w:rsidRPr="002A7128">
        <w:rPr>
          <w:rFonts w:ascii="Calibri" w:hAnsi="Calibri" w:cs="Calibri"/>
          <w:b/>
          <w:bCs/>
        </w:rPr>
        <w:fldChar w:fldCharType="end"/>
      </w:r>
      <w:r w:rsidRPr="002A7128">
        <w:rPr>
          <w:rFonts w:ascii="Calibri" w:hAnsi="Calibri" w:cs="Calibri"/>
          <w:b/>
          <w:bCs/>
        </w:rPr>
        <w:t>)</w:t>
      </w:r>
      <w:r w:rsidRPr="002A7128">
        <w:rPr>
          <w:rFonts w:ascii="Calibri" w:hAnsi="Calibri" w:cs="Calibri"/>
        </w:rPr>
        <w:t xml:space="preserve">: Spheroids isolated from patient ascites display a diameter range between 50-750 </w:t>
      </w:r>
      <w:r w:rsidRPr="003C420A">
        <w:rPr>
          <w:rFonts w:ascii="Symbol" w:hAnsi="Symbol" w:cs="Calibri"/>
        </w:rPr>
        <w:t></w:t>
      </w:r>
      <w:r w:rsidRPr="002A7128">
        <w:rPr>
          <w:rFonts w:ascii="Calibri" w:hAnsi="Calibri" w:cs="Calibri"/>
        </w:rPr>
        <w:t>m,</w:t>
      </w:r>
      <w:r w:rsidRPr="002A7128">
        <w:rPr>
          <w:rFonts w:ascii="Calibri" w:hAnsi="Calibri" w:cs="Calibri"/>
        </w:rPr>
        <w:fldChar w:fldCharType="begin"/>
      </w:r>
      <w:r w:rsidRPr="002A7128">
        <w:rPr>
          <w:rFonts w:ascii="Calibri" w:hAnsi="Calibri" w:cs="Calibri"/>
        </w:rPr>
        <w:instrText xml:space="preserve"> ADDIN ZOTERO_ITEM CSL_CITATION {"citationID":"rVB1P8Th","properties":{"formattedCitation":"\\super 297\\nosupersub{}","plainCitation":"297","noteIndex":0},"citationItems":[{"id":"wiida5Bo/D9z147K9","uris":["http://zotero.org/users/local/91fNc9yk/items/A3W6SIU2"],"itemData":{"id":77,"type":"article-journal","abstract":"Ovarian carcinoma multicellular spheroids are an in vitro model of micrometastasis whose adhesive abilities have not been elucidated. In this study, we identified adhesion molecules that mediate the formation of ovarian carcinoma spheroids and their subsequent adhesion to extracellular matrix proteins. The NIH:OVCAR5, but not the SKOV3, ovarian carcinoma cell line formed spheroids similar to multicellular aggregates isolated from patient ascitic fluid. NIH:OVCAR5 spheroid formation was augmented by a beta 1-integrin-stimulating monoclonal antibody or exogenous fibronectin, but was inhibited by blocking monoclonal antibodies against the alpha 5- or beta 1-integrin subunits. By immunohistochemical staining, alpha 2-, alpha 3-, alpha 5-, alpha 6-, and beta 1-integrin subunits, CD44, and fibronectin were detected in NIH:OVCAR5 spheroids. NIH:OVCAR5 spheroids adhered to fibronectin, laminin, and type IV collagen, and this adhesion was partially inhibited by blocking antibodies against the alpha 5-, alpha 6-, and alpha 2-integrin subunits, respectively. A blocking monoclonal antibody against the beta 1-integrin subunit completely inhibited adhesion of the spheroids to all three proteins. These results suggest that interactions between the alpha 5 beta 1-integrin and fibronectin mediate the formation of ovarian carcinoma spheroids and that their adhesion to extracellular matrix proteins at sites of secondary tumor growth may be mediated by a complex interaction between multiple integrins and their ligands.","container-title":"The American Journal of Pathology","DOI":"10.1016/s0002-9440(10)63058-1","ISSN":"0002-9440","issue":"6","journalAbbreviation":"Am. J. Pathol.","language":"eng","note":"PMID: 11733357\nPMCID: PMC1850600","page":"2071-2080","source":"PubMed","title":"Beta 1-integrins regulate the formation and adhesion of ovarian carcinoma multicellular spheroids","volume":"159","author":[{"family":"Casey","given":"R. C."},{"family":"Burleson","given":"K. M."},{"family":"Skubitz","given":"K. M."},{"family":"Pambuccian","given":"S. E."},{"family":"Oegema","given":"T. R."},{"family":"Ruff","given":"L. E."},{"family":"Skubitz","given":"A. P."}],"issued":{"date-parts":[["2001",12]]}}}],"schema":"https://github.com/citation-style-language/schema/raw/master/csl-citation.json"} </w:instrText>
      </w:r>
      <w:r w:rsidRPr="002A7128">
        <w:rPr>
          <w:rFonts w:ascii="Calibri" w:hAnsi="Calibri" w:cs="Calibri"/>
        </w:rPr>
        <w:fldChar w:fldCharType="separate"/>
      </w:r>
      <w:r w:rsidRPr="002A7128">
        <w:rPr>
          <w:rFonts w:ascii="Calibri" w:hAnsi="Calibri" w:cs="Calibri"/>
          <w:vertAlign w:val="superscript"/>
        </w:rPr>
        <w:t>297</w:t>
      </w:r>
      <w:r w:rsidRPr="002A7128">
        <w:rPr>
          <w:rFonts w:ascii="Calibri" w:hAnsi="Calibri" w:cs="Calibri"/>
        </w:rPr>
        <w:fldChar w:fldCharType="end"/>
      </w:r>
      <w:r w:rsidRPr="002A7128">
        <w:rPr>
          <w:rFonts w:ascii="Calibri" w:hAnsi="Calibri" w:cs="Calibri"/>
        </w:rPr>
        <w:t xml:space="preserve"> and necrotic core formation has been shown for spheroids with diameter larger than 500 </w:t>
      </w:r>
      <w:r w:rsidRPr="003C420A">
        <w:rPr>
          <w:rFonts w:ascii="Symbol" w:hAnsi="Symbol" w:cs="Calibri"/>
        </w:rPr>
        <w:t></w:t>
      </w:r>
      <w:r w:rsidRPr="002A7128">
        <w:rPr>
          <w:rFonts w:ascii="Calibri" w:hAnsi="Calibri" w:cs="Calibri"/>
        </w:rPr>
        <w:t>m</w:t>
      </w:r>
      <w:r w:rsidRPr="002A7128">
        <w:rPr>
          <w:rFonts w:ascii="Calibri" w:hAnsi="Calibri" w:cs="Calibri"/>
        </w:rPr>
        <w:fldChar w:fldCharType="begin"/>
      </w:r>
      <w:r w:rsidRPr="002A7128">
        <w:rPr>
          <w:rFonts w:ascii="Calibri" w:hAnsi="Calibri" w:cs="Calibri"/>
        </w:rPr>
        <w:instrText xml:space="preserve"> ADDIN ZOTERO_ITEM CSL_CITATION {"citationID":"ZiErpo1W","properties":{"formattedCitation":"\\super 302\\nosupersub{}","plainCitation":"302","noteIndex":0},"citationItems":[{"id":"wiida5Bo/hFntizkE","uris":["http://zotero.org/users/local/91fNc9yk/items/ZVG8NFL7"],"itemData":{"id":595,"type":"article-journal","container-title":"Journal of Biotechnology","DOI":"10.1016/j.jbiotec.2010.01.012","ISSN":"01681656","issue":"1","journalAbbreviation":"Journal of Biotechnology","language":"en","page":"3-15","source":"DOI.org (Crossref)","title":"Multicellular tumor spheroids: An underestimated tool is catching up again","title-short":"Multicellular tumor spheroids","volume":"148","author":[{"family":"Hirschhaeuser","given":"Franziska"},{"family":"Menne","given":"Heike"},{"family":"Dittfeld","given":"Claudia"},{"family":"West","given":"Jonathan"},{"family":"Mueller-Klieser","given":"Wolfgang"},{"family":"Kunz-Schughart","given":"Leoni A."}],"issued":{"date-parts":[["2010",7,1]]}}}],"schema":"https://github.com/citation-style-language/schema/raw/master/csl-citation.json"} </w:instrText>
      </w:r>
      <w:r w:rsidRPr="002A7128">
        <w:rPr>
          <w:rFonts w:ascii="Calibri" w:hAnsi="Calibri" w:cs="Calibri"/>
        </w:rPr>
        <w:fldChar w:fldCharType="separate"/>
      </w:r>
      <w:r w:rsidRPr="002A7128">
        <w:rPr>
          <w:rFonts w:ascii="Calibri" w:hAnsi="Calibri" w:cs="Calibri"/>
          <w:vertAlign w:val="superscript"/>
        </w:rPr>
        <w:t>302</w:t>
      </w:r>
      <w:r w:rsidRPr="002A7128">
        <w:rPr>
          <w:rFonts w:ascii="Calibri" w:hAnsi="Calibri" w:cs="Calibri"/>
        </w:rPr>
        <w:fldChar w:fldCharType="end"/>
      </w:r>
      <w:r w:rsidRPr="002A7128">
        <w:rPr>
          <w:rFonts w:ascii="Calibri" w:hAnsi="Calibri" w:cs="Calibri"/>
        </w:rPr>
        <w:t xml:space="preserve">. Therefore, to avoid excessive necrosis we limited spheroid </w:t>
      </w:r>
      <w:r w:rsidRPr="002A7128">
        <w:rPr>
          <w:rFonts w:ascii="Calibri" w:hAnsi="Calibri" w:cs="Calibri"/>
        </w:rPr>
        <w:lastRenderedPageBreak/>
        <w:t xml:space="preserve">growth to 6 days to ensure diameters &lt; 500 </w:t>
      </w:r>
      <w:r w:rsidRPr="003C420A">
        <w:rPr>
          <w:rFonts w:ascii="Symbol" w:hAnsi="Symbol" w:cs="Calibri"/>
        </w:rPr>
        <w:t></w:t>
      </w:r>
      <w:r w:rsidRPr="002A7128">
        <w:rPr>
          <w:rFonts w:ascii="Calibri" w:hAnsi="Calibri" w:cs="Calibri"/>
        </w:rPr>
        <w:t>m</w:t>
      </w:r>
      <w:r w:rsidRPr="002A7128">
        <w:rPr>
          <w:rFonts w:ascii="Calibri" w:hAnsi="Calibri" w:cs="Calibri"/>
        </w:rPr>
        <w:fldChar w:fldCharType="begin"/>
      </w:r>
      <w:r w:rsidRPr="002A7128">
        <w:rPr>
          <w:rFonts w:ascii="Calibri" w:hAnsi="Calibri" w:cs="Calibri"/>
        </w:rPr>
        <w:instrText xml:space="preserve"> ADDIN ZOTERO_ITEM CSL_CITATION {"citationID":"DZ0ZITDI","properties":{"formattedCitation":"\\super 264,303\\uc0\\u8211{}305\\nosupersub{}","plainCitation":"264,303–305","noteIndex":0},"citationItems":[{"id":"wiida5Bo/y4ogek5Z","uris":["http://zotero.org/users/local/91fNc9yk/items/XIHKH8K4"],"itemData":{"id":557,"type":"article-journal","container-title":"Frontiers in Physiology","DOI":"10.3389/fphys.2017.00605","ISSN":"1664-042X","journalAbbreviation":"Front. Physiol.","page":"605","source":"DOI.org (Crossref)","title":"Comparative Analysis of 3D Bladder Tumor Spheroids Obtained by Forced Floating and Hanging Drop Methods for Drug Screening","volume":"8","author":[{"family":"Amaral","given":"Robson L. F."},{"family":"Miranda","given":"Mariza"},{"family":"Marcato","given":"Priscyla D."},{"family":"Swiech","given":"Kamilla"}],"issued":{"date-parts":[["2017",8,22]]}}},{"id":"wiida5Bo/tEIeoEb3","uris":["http://zotero.org/users/local/91fNc9yk/items/L27XQUDD"],"itemData":{"id":593,"type":"article-journal","container-title":"Cancer Research","DOI":"10.1158/0008-5472.CAN-14-2611","ISSN":"0008-5472, 1538-7445","issue":"5","journalAbbreviation":"Cancer Research","language":"en","page":"1044-1054","source":"DOI.org (Crossref)","title":"Novel Morphologic and Genetic Analysis of Cancer Cells in a 3D Microenvironment Identifies STAT3 as a Regulator of Tumor Permeability Barrier Function","volume":"76","author":[{"family":"Park","given":"M. C."},{"family":"Jeong","given":"H."},{"family":"Son","given":"S. H."},{"family":"Kim","given":"Y."},{"family":"Han","given":"D."},{"family":"Goughnour","given":"P. C."},{"family":"Kang","given":"T."},{"family":"Kwon","given":"N. H."},{"family":"Moon","given":"H. E."},{"family":"Paek","given":"S. H."},{"family":"Hwang","given":"D."},{"family":"Seol","given":"H. J."},{"family":"Nam","given":"D.-H."},{"family":"Kim","given":"S."}],"issued":{"date-parts":[["2016",3,1]]}}},{"id":"wiida5Bo/Pw1CcAmW","uris":["http://zotero.org/users/local/91fNc9yk/items/RD54BX4E"],"itemData":{"id":10,"type":"article-journal","container-title":"Gynecologic Oncology","DOI":"10.1016/j.ygyno.2015.04.014","title":"Formation of stable small cell number three-dimensional ovarian cancer spheroids using hanging drop arrays for preclinical drug sensitivity assays","author":[{"family":"Takayama","given":"Shuichi"},{"family":"Rowley","given":"Katelyn R."},{"family":"Mehta","given":"Geeta"},{"family":"Raghavan","given":"Shreya"},{"family":"Wold","given":"Rachel M."},{"family":"Ward","given":"Maria R."},{"family":"Buckanovich","given":"Ronald J."}],"issued":{"date-parts":[["2015"]]}}},{"id":"wiida5Bo/LaTheadD","uris":["http://zotero.org/users/local/91fNc9yk/items/LKT8AVIA"],"itemData":{"id":38,"type":"article-journal","abstract":"Multicellular tumor spheroids are powerful in vitro models to perform preclinical chemosensitivity assays. We compare different methodologies to generate tumor spheroids in terms of resultant spheroid morphology, cellular arrangement and chemosensitivity. We used two cancer cell lines (MCF7 and OVCAR8) to generate spheroids using i) hanging drop array plates; ii) liquid overlay on ultra-low attachment plates; iii) liquid overlay on ultra-low attachment plates with rotating mixing (nutator plates). Analysis of spheroid morphometry indicated that cellular compaction was increased in spheroids generated on nutator and hanging drop array plates. Collagen staining also indicated higher compaction and remodeling in tumor spheroids on nutator and hanging drop arrays compared to conventional liquid overlay. Consequently, spheroids generated on nutator or hanging drop plates had increased chemoresistance to cisplatin treatment (20-60% viability) compared to spheroids on ultra low attachment plates (10-20% viability). Lastly, we used a mathematical model to demonstrate minimal changes in oxygen and cisplatin diffusion within experimentally generated spheroids. Our results demonstrate that in vitro methods of tumor spheroid generation result in varied cellular arrangement and chemosensitivity.","container-title":"Oncotarget","DOI":"10.18632/oncotarget.7659","title":"Comparative analysis of tumor spheroid generation techniques for differential in vitro drug toxicity","author":[{"family":"Horst","given":"Eric N."},{"family":"Ward","given":"Maria R."},{"family":"Raghavan","given":"Shreya"},{"family":"Mehta","given":"Pooja"},{"family":"Rowley","given":"Katelyn R."},{"family":"Mehta","given":"Geeta"}],"issued":{"date-parts":[["2016"]]}}}],"schema":"https://github.com/citation-style-language/schema/raw/master/csl-citation.json"} </w:instrText>
      </w:r>
      <w:r w:rsidRPr="002A7128">
        <w:rPr>
          <w:rFonts w:ascii="Calibri" w:hAnsi="Calibri" w:cs="Calibri"/>
        </w:rPr>
        <w:fldChar w:fldCharType="separate"/>
      </w:r>
      <w:r w:rsidRPr="002A7128">
        <w:rPr>
          <w:rFonts w:ascii="Calibri" w:hAnsi="Calibri" w:cs="Calibri"/>
          <w:vertAlign w:val="superscript"/>
        </w:rPr>
        <w:t>264,303–305</w:t>
      </w:r>
      <w:r w:rsidRPr="002A7128">
        <w:rPr>
          <w:rFonts w:ascii="Calibri" w:hAnsi="Calibri" w:cs="Calibri"/>
        </w:rPr>
        <w:fldChar w:fldCharType="end"/>
      </w:r>
      <w:r w:rsidRPr="002A7128">
        <w:rPr>
          <w:rFonts w:ascii="Calibri" w:hAnsi="Calibri" w:cs="Calibri"/>
        </w:rPr>
        <w:t>. Furthermore, because spheroids inside</w:t>
      </w:r>
      <w:r>
        <w:rPr>
          <w:rFonts w:ascii="Calibri" w:hAnsi="Calibri" w:cs="Calibri"/>
        </w:rPr>
        <w:t xml:space="preserve"> </w:t>
      </w:r>
      <w:r w:rsidRPr="002A7128">
        <w:rPr>
          <w:rFonts w:ascii="Calibri" w:hAnsi="Calibri" w:cs="Calibri"/>
        </w:rPr>
        <w:t>the patient-derived ascites come with a wide range of sizes</w:t>
      </w:r>
      <w:r w:rsidRPr="002A7128">
        <w:rPr>
          <w:rFonts w:ascii="Calibri" w:hAnsi="Calibri" w:cs="Calibri"/>
        </w:rPr>
        <w:fldChar w:fldCharType="begin"/>
      </w:r>
      <w:r w:rsidRPr="002A7128">
        <w:rPr>
          <w:rFonts w:ascii="Calibri" w:hAnsi="Calibri" w:cs="Calibri"/>
        </w:rPr>
        <w:instrText xml:space="preserve"> ADDIN ZOTERO_ITEM CSL_CITATION {"citationID":"ZBD79Q6r","properties":{"formattedCitation":"\\super 281\\nosupersub{}","plainCitation":"281","noteIndex":0},"citationItems":[{"id":"wiida5Bo/SR1B1r67","uris":["http://zotero.org/users/local/91fNc9yk/items/ITM2LL25"],"itemData":{"id":25,"type":"article-journal","abstract":"Serous, mucinous, endometrioid and clear cell human ovarian carcinoma cells were isolated as multicellular aggregates from patient effusions by filtration on nylon mesh of defined porosity and examined by light microscopy.  The cell clusters ranged from compact to loosely adherent groups of cells to spheroids with a central lumen surrounded by a cell monolayer.  There was considerable variation in cluster morphology between effusions from different patients as well as within effusion from the same patient.  Apparent budding of clusters was observed as well as different stages of cluster growth and development.  This was observed for all histologic types studied.  Electron microscopy of serous, mucinous and clear cell types showed that cells forming clusters were attached to each other by desmosomes, demonstrating that cluster formation did not result from a nonspecific stickiness of cells.  Irregular microvilli were present on the external periphery of the various carcinoma cells and a prominent glycocalyx was present on the surface of mucinous carcinoma cells.  Extensive interdigitation of cytoplasmic extensions and extended villi was present in mucinous and serous clusters which appeared to strengthen cluster cohesiveness.  Nuclei were irregular with prominent nucleoli frequently present.  The cell clusters usually remained intact and viable in culture but generally did not attach to glass or plastic substrata, whereas mesothelial cells and nonactivated histiocytes rapidly attached.  When carcinoma cell clusters did attach, they were resistant to detachment by trypsin-EDTA treatment, in contrast to the nonmalignant cells.[on SciFinder (R)]","container-title":"Pathobiology","DOI":"10.1159/000163419","title":"Isolation and Morphologic Characterization of Human Ovarian Carcinoma Cell Clusters Present in Effusions","author":[{"family":"Allen","given":"Howard J."},{"family":"Porter","given":"Carl"},{"family":"Gamarra","given":"Marie"},{"family":"Piver","given":"Steven"},{"family":"Johnson","given":"Edward A.Z."}],"issued":{"date-parts":[["2008"]]}}}],"schema":"https://github.com/citation-style-language/schema/raw/master/csl-citation.json"} </w:instrText>
      </w:r>
      <w:r w:rsidRPr="002A7128">
        <w:rPr>
          <w:rFonts w:ascii="Calibri" w:hAnsi="Calibri" w:cs="Calibri"/>
        </w:rPr>
        <w:fldChar w:fldCharType="separate"/>
      </w:r>
      <w:r w:rsidRPr="002A7128">
        <w:rPr>
          <w:rFonts w:ascii="Calibri" w:hAnsi="Calibri" w:cs="Calibri"/>
          <w:vertAlign w:val="superscript"/>
        </w:rPr>
        <w:t>281</w:t>
      </w:r>
      <w:r w:rsidRPr="002A7128">
        <w:rPr>
          <w:rFonts w:ascii="Calibri" w:hAnsi="Calibri" w:cs="Calibri"/>
        </w:rPr>
        <w:fldChar w:fldCharType="end"/>
      </w:r>
      <w:r w:rsidRPr="002A7128">
        <w:rPr>
          <w:rFonts w:ascii="Calibri" w:hAnsi="Calibri" w:cs="Calibri"/>
        </w:rPr>
        <w:t>, we also characterized the spheroids with different numbers of initiating cells (50, 100, 200, and 500).</w:t>
      </w:r>
    </w:p>
    <w:p w14:paraId="3F30A60E" w14:textId="77777777" w:rsidR="000711C0" w:rsidRPr="002A7128" w:rsidRDefault="000711C0" w:rsidP="00F675B4">
      <w:pPr>
        <w:spacing w:line="480" w:lineRule="auto"/>
        <w:jc w:val="both"/>
        <w:rPr>
          <w:rFonts w:ascii="Calibri" w:hAnsi="Calibri" w:cs="Calibri"/>
        </w:rPr>
      </w:pPr>
      <w:r w:rsidRPr="002A7128">
        <w:rPr>
          <w:rFonts w:ascii="Calibri" w:hAnsi="Calibri" w:cs="Calibri"/>
        </w:rPr>
        <w:t xml:space="preserve">OVCAR-3 cells formed spheroids with loose aggregate morphology </w:t>
      </w:r>
      <w:r w:rsidRPr="002A7128">
        <w:rPr>
          <w:rFonts w:ascii="Calibri" w:hAnsi="Calibri" w:cs="Calibri"/>
          <w:b/>
          <w:bCs/>
        </w:rPr>
        <w:t>(</w:t>
      </w:r>
      <w:r w:rsidR="00BA612B" w:rsidRPr="002A7128">
        <w:rPr>
          <w:rFonts w:ascii="Calibri" w:hAnsi="Calibri" w:cs="Calibri"/>
          <w:b/>
          <w:bCs/>
        </w:rPr>
        <w:fldChar w:fldCharType="begin"/>
      </w:r>
      <w:r w:rsidR="00BA612B" w:rsidRPr="002A7128">
        <w:rPr>
          <w:rFonts w:ascii="Calibri" w:hAnsi="Calibri" w:cs="Calibri"/>
          <w:b/>
          <w:bCs/>
        </w:rPr>
        <w:instrText xml:space="preserve"> REF _Ref103519078  \* MERGEFORMAT </w:instrText>
      </w:r>
      <w:r w:rsidR="00BA612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26</w:t>
      </w:r>
      <w:r w:rsidR="00BA612B" w:rsidRPr="002A7128">
        <w:rPr>
          <w:rFonts w:ascii="Calibri" w:hAnsi="Calibri" w:cs="Calibri"/>
          <w:b/>
          <w:bCs/>
        </w:rPr>
        <w:fldChar w:fldCharType="end"/>
      </w:r>
      <w:r w:rsidR="00BA612B" w:rsidRPr="002A7128">
        <w:rPr>
          <w:rFonts w:ascii="Calibri" w:hAnsi="Calibri" w:cs="Calibri"/>
          <w:b/>
          <w:bCs/>
        </w:rPr>
        <w:t>A</w:t>
      </w:r>
      <w:r w:rsidRPr="002A7128">
        <w:rPr>
          <w:rFonts w:ascii="Calibri" w:hAnsi="Calibri" w:cs="Calibri"/>
          <w:b/>
          <w:bCs/>
        </w:rPr>
        <w:t>)</w:t>
      </w:r>
      <w:r w:rsidRPr="002A7128">
        <w:rPr>
          <w:rFonts w:ascii="Calibri" w:hAnsi="Calibri" w:cs="Calibri"/>
        </w:rPr>
        <w:t xml:space="preserve">, while OVCAR-8 spheroids were morphologically compact </w:t>
      </w:r>
      <w:r w:rsidRPr="002A7128">
        <w:rPr>
          <w:rFonts w:ascii="Calibri" w:hAnsi="Calibri" w:cs="Calibri"/>
          <w:b/>
          <w:bCs/>
        </w:rPr>
        <w:t>(</w:t>
      </w:r>
      <w:r w:rsidR="00BA612B" w:rsidRPr="002A7128">
        <w:rPr>
          <w:rFonts w:ascii="Calibri" w:hAnsi="Calibri" w:cs="Calibri"/>
          <w:b/>
          <w:bCs/>
        </w:rPr>
        <w:fldChar w:fldCharType="begin"/>
      </w:r>
      <w:r w:rsidR="00BA612B" w:rsidRPr="002A7128">
        <w:rPr>
          <w:rFonts w:ascii="Calibri" w:hAnsi="Calibri" w:cs="Calibri"/>
          <w:b/>
          <w:bCs/>
        </w:rPr>
        <w:instrText xml:space="preserve"> REF _Ref103519078  \* MERGEFORMAT </w:instrText>
      </w:r>
      <w:r w:rsidR="00BA612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26</w:t>
      </w:r>
      <w:r w:rsidR="00BA612B" w:rsidRPr="002A7128">
        <w:rPr>
          <w:rFonts w:ascii="Calibri" w:hAnsi="Calibri" w:cs="Calibri"/>
          <w:b/>
          <w:bCs/>
        </w:rPr>
        <w:fldChar w:fldCharType="end"/>
      </w:r>
      <w:r w:rsidR="00BA612B" w:rsidRPr="002A7128">
        <w:rPr>
          <w:rFonts w:ascii="Calibri" w:hAnsi="Calibri" w:cs="Calibri"/>
          <w:b/>
          <w:bCs/>
        </w:rPr>
        <w:t>E</w:t>
      </w:r>
      <w:r w:rsidRPr="002A7128">
        <w:rPr>
          <w:rFonts w:ascii="Calibri" w:hAnsi="Calibri" w:cs="Calibri"/>
          <w:b/>
          <w:bCs/>
        </w:rPr>
        <w:t>)</w:t>
      </w:r>
      <w:r w:rsidRPr="002A7128">
        <w:rPr>
          <w:rFonts w:ascii="Calibri" w:hAnsi="Calibri" w:cs="Calibri"/>
        </w:rPr>
        <w:t xml:space="preserve">. Additionally, we assessed spheroid viability at the end of 6 days by using Live-Dead staining. Spheroid-forming cells were all viable (green) with only a few dead cells (red, </w:t>
      </w:r>
      <w:r w:rsidR="00BA612B" w:rsidRPr="002A7128">
        <w:rPr>
          <w:rFonts w:ascii="Calibri" w:hAnsi="Calibri" w:cs="Calibri"/>
          <w:b/>
          <w:bCs/>
        </w:rPr>
        <w:fldChar w:fldCharType="begin"/>
      </w:r>
      <w:r w:rsidR="00BA612B" w:rsidRPr="002A7128">
        <w:rPr>
          <w:rFonts w:ascii="Calibri" w:hAnsi="Calibri" w:cs="Calibri"/>
        </w:rPr>
        <w:instrText xml:space="preserve"> REF _Ref103519078  \* MERGEFORMAT </w:instrText>
      </w:r>
      <w:r w:rsidR="00BA612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26</w:t>
      </w:r>
      <w:r w:rsidR="00BA612B" w:rsidRPr="002A7128">
        <w:rPr>
          <w:rFonts w:ascii="Calibri" w:hAnsi="Calibri" w:cs="Calibri"/>
          <w:b/>
          <w:bCs/>
        </w:rPr>
        <w:fldChar w:fldCharType="end"/>
      </w:r>
      <w:r w:rsidR="00BA612B" w:rsidRPr="002A7128">
        <w:rPr>
          <w:rFonts w:ascii="Calibri" w:hAnsi="Calibri" w:cs="Calibri"/>
          <w:b/>
          <w:bCs/>
        </w:rPr>
        <w:t>A and 5E</w:t>
      </w:r>
      <w:r w:rsidRPr="002A7128">
        <w:rPr>
          <w:rFonts w:ascii="Calibri" w:hAnsi="Calibri" w:cs="Calibri"/>
          <w:b/>
          <w:bCs/>
        </w:rPr>
        <w:t>)</w:t>
      </w:r>
      <w:r w:rsidRPr="002A7128">
        <w:rPr>
          <w:rFonts w:ascii="Calibri" w:hAnsi="Calibri" w:cs="Calibri"/>
        </w:rPr>
        <w:t xml:space="preserve">. OVCAR-3 loose aggregates grew to almost double their initial size over the course of 6 days </w:t>
      </w:r>
      <w:r w:rsidRPr="002A7128">
        <w:rPr>
          <w:rFonts w:ascii="Calibri" w:hAnsi="Calibri" w:cs="Calibri"/>
          <w:b/>
          <w:bCs/>
        </w:rPr>
        <w:t>(</w:t>
      </w:r>
      <w:r w:rsidR="00BA612B" w:rsidRPr="002A7128">
        <w:rPr>
          <w:rFonts w:ascii="Calibri" w:hAnsi="Calibri" w:cs="Calibri"/>
          <w:b/>
          <w:bCs/>
        </w:rPr>
        <w:fldChar w:fldCharType="begin"/>
      </w:r>
      <w:r w:rsidR="00BA612B" w:rsidRPr="002A7128">
        <w:rPr>
          <w:rFonts w:ascii="Calibri" w:hAnsi="Calibri" w:cs="Calibri"/>
          <w:b/>
          <w:bCs/>
        </w:rPr>
        <w:instrText xml:space="preserve"> REF _Ref103519078  \* MERGEFORMAT </w:instrText>
      </w:r>
      <w:r w:rsidR="00BA612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26</w:t>
      </w:r>
      <w:r w:rsidR="00BA612B" w:rsidRPr="002A7128">
        <w:rPr>
          <w:rFonts w:ascii="Calibri" w:hAnsi="Calibri" w:cs="Calibri"/>
          <w:b/>
          <w:bCs/>
        </w:rPr>
        <w:fldChar w:fldCharType="end"/>
      </w:r>
      <w:r w:rsidR="00BA612B" w:rsidRPr="002A7128">
        <w:rPr>
          <w:rFonts w:ascii="Calibri" w:hAnsi="Calibri" w:cs="Calibri"/>
          <w:b/>
          <w:bCs/>
        </w:rPr>
        <w:t>B</w:t>
      </w:r>
      <w:r w:rsidRPr="002A7128">
        <w:rPr>
          <w:rFonts w:ascii="Calibri" w:hAnsi="Calibri" w:cs="Calibri"/>
          <w:b/>
          <w:bCs/>
        </w:rPr>
        <w:t xml:space="preserve">). </w:t>
      </w:r>
      <w:r w:rsidRPr="002A7128">
        <w:rPr>
          <w:rFonts w:ascii="Calibri" w:hAnsi="Calibri" w:cs="Calibri"/>
        </w:rPr>
        <w:t xml:space="preserve">Average diameter on day 6 were 120 </w:t>
      </w:r>
      <w:r w:rsidRPr="00A86311">
        <w:rPr>
          <w:rFonts w:ascii="Symbol" w:hAnsi="Symbol" w:cs="Calibri"/>
        </w:rPr>
        <w:t></w:t>
      </w:r>
      <w:r w:rsidRPr="002A7128">
        <w:rPr>
          <w:rFonts w:ascii="Calibri" w:hAnsi="Calibri" w:cs="Calibri"/>
        </w:rPr>
        <w:t xml:space="preserve">m for 50, 160 mm for 100, 220 </w:t>
      </w:r>
      <w:r w:rsidRPr="00A86311">
        <w:rPr>
          <w:rFonts w:ascii="Symbol" w:hAnsi="Symbol" w:cs="Calibri"/>
        </w:rPr>
        <w:t></w:t>
      </w:r>
      <w:r w:rsidRPr="002A7128">
        <w:rPr>
          <w:rFonts w:ascii="Calibri" w:hAnsi="Calibri" w:cs="Calibri"/>
        </w:rPr>
        <w:t xml:space="preserve">m for 200 and 260 </w:t>
      </w:r>
      <w:r w:rsidRPr="00A86311">
        <w:rPr>
          <w:rFonts w:ascii="Symbol" w:hAnsi="Symbol" w:cs="Calibri"/>
        </w:rPr>
        <w:t></w:t>
      </w:r>
      <w:r w:rsidRPr="002A7128">
        <w:rPr>
          <w:rFonts w:ascii="Calibri" w:hAnsi="Calibri" w:cs="Calibri"/>
        </w:rPr>
        <w:t xml:space="preserve">m for 500 numbers of initiating cells. Interestingly, all OVCAR-8 spheroids reached to a similar size of about 160 </w:t>
      </w:r>
      <w:r w:rsidRPr="00A86311">
        <w:rPr>
          <w:rFonts w:ascii="Symbol" w:hAnsi="Symbol" w:cs="Calibri"/>
          <w:color w:val="000000" w:themeColor="text1"/>
        </w:rPr>
        <w:t></w:t>
      </w:r>
      <w:r w:rsidRPr="002A7128">
        <w:rPr>
          <w:rFonts w:ascii="Calibri" w:hAnsi="Calibri" w:cs="Calibri"/>
          <w:color w:val="000000" w:themeColor="text1"/>
        </w:rPr>
        <w:t>m in diameter</w:t>
      </w:r>
      <w:r w:rsidRPr="002A7128">
        <w:rPr>
          <w:rFonts w:ascii="Calibri" w:hAnsi="Calibri" w:cs="Calibri"/>
        </w:rPr>
        <w:t xml:space="preserve"> on day 6 regardless of initial cell number, a phenomenon observed previously</w:t>
      </w:r>
      <w:r w:rsidRPr="002A7128">
        <w:rPr>
          <w:rFonts w:ascii="Calibri" w:hAnsi="Calibri" w:cs="Calibri"/>
        </w:rPr>
        <w:fldChar w:fldCharType="begin"/>
      </w:r>
      <w:r w:rsidR="00317E7D" w:rsidRPr="002A7128">
        <w:rPr>
          <w:rFonts w:ascii="Calibri" w:hAnsi="Calibri" w:cs="Calibri"/>
        </w:rPr>
        <w:instrText xml:space="preserve"> ADDIN ZOTERO_ITEM CSL_CITATION {"citationID":"2D2ZK8jy","properties":{"formattedCitation":"\\super 306,307\\nosupersub{}","plainCitation":"306,307","noteIndex":0},"citationItems":[{"id":"wiida5Bo/gc8EkqDR","uris":["http://zotero.org/users/local/91fNc9yk/items/7Q7GUUT2"],"itemData":{"id":709,"type":"article-journal","container-title":"Scientific Reports","DOI":"10.1038/s41598-018-25203-3","ISSN":"2045-2322","issue":"1","journalAbbreviation":"Sci Rep","language":"en","page":"6837","source":"DOI.org (Crossref)","title":"Facile Tumor Spheroids Formation in Large Quantity with Controllable Size and High Uniformity","volume":"8","author":[{"family":"Shi","given":"Wentao"},{"family":"Kwon","given":"Jean"},{"family":"Huang","given":"Yongyang"},{"family":"Tan","given":"Jifu"},{"family":"Uhl","given":"Christopher G."},{"family":"He","given":"Ran"},{"family":"Zhou","given":"Chao"},{"family":"Liu","given":"Yaling"}],"issued":{"date-parts":[["2018",12]]}}},{"id":"wiida5Bo/fNYUhQdb","uris":["http://zotero.org/users/local/91fNc9yk/items/SDXQYU5A"],"itemData":{"id":642,"type":"article-journal","container-title":"Pharmacology &amp; Therapeutics","DOI":"10.1016/j.pharmthera.2016.03.013","ISSN":"01637258","journalAbbreviation":"Pharmacology &amp; Therapeutics","language":"en","page":"94-108","source":"DOI.org (Crossref)","title":"Three-dimensional culture systems in cancer research: Focus on tumor spheroid model","title-short":"Three-dimensional culture systems in cancer research","volume":"163","author":[{"family":"Nath","given":"Sritama"},{"family":"Devi","given":"Gayathri R."}],"issued":{"date-parts":[["2016",7]]}}}],"schema":"https://github.com/citation-style-language/schema/raw/master/csl-citation.json"}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306,307</w:t>
      </w:r>
      <w:r w:rsidRPr="002A7128">
        <w:rPr>
          <w:rFonts w:ascii="Calibri" w:hAnsi="Calibri" w:cs="Calibri"/>
        </w:rPr>
        <w:fldChar w:fldCharType="end"/>
      </w:r>
      <w:r w:rsidRPr="002A7128">
        <w:rPr>
          <w:rFonts w:ascii="Calibri" w:hAnsi="Calibri" w:cs="Calibri"/>
        </w:rPr>
        <w:t xml:space="preserve"> </w:t>
      </w:r>
      <w:r w:rsidRPr="002A7128">
        <w:rPr>
          <w:rFonts w:ascii="Calibri" w:hAnsi="Calibri" w:cs="Calibri"/>
          <w:b/>
          <w:bCs/>
        </w:rPr>
        <w:t>(</w:t>
      </w:r>
      <w:r w:rsidR="00BA612B" w:rsidRPr="002A7128">
        <w:rPr>
          <w:rFonts w:ascii="Calibri" w:hAnsi="Calibri" w:cs="Calibri"/>
          <w:b/>
          <w:bCs/>
        </w:rPr>
        <w:fldChar w:fldCharType="begin"/>
      </w:r>
      <w:r w:rsidR="00BA612B" w:rsidRPr="002A7128">
        <w:rPr>
          <w:rFonts w:ascii="Calibri" w:hAnsi="Calibri" w:cs="Calibri"/>
          <w:b/>
          <w:bCs/>
        </w:rPr>
        <w:instrText xml:space="preserve"> REF _Ref103519078  \* MERGEFORMAT </w:instrText>
      </w:r>
      <w:r w:rsidR="00BA612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26</w:t>
      </w:r>
      <w:r w:rsidR="00BA612B" w:rsidRPr="002A7128">
        <w:rPr>
          <w:rFonts w:ascii="Calibri" w:hAnsi="Calibri" w:cs="Calibri"/>
          <w:b/>
          <w:bCs/>
        </w:rPr>
        <w:fldChar w:fldCharType="end"/>
      </w:r>
      <w:r w:rsidR="00BA612B" w:rsidRPr="002A7128">
        <w:rPr>
          <w:rFonts w:ascii="Calibri" w:hAnsi="Calibri" w:cs="Calibri"/>
          <w:b/>
          <w:bCs/>
        </w:rPr>
        <w:t>F</w:t>
      </w:r>
      <w:r w:rsidRPr="002A7128">
        <w:rPr>
          <w:rFonts w:ascii="Calibri" w:hAnsi="Calibri" w:cs="Calibri"/>
          <w:b/>
          <w:bCs/>
        </w:rPr>
        <w:t>)</w:t>
      </w:r>
      <w:r w:rsidRPr="002A7128">
        <w:rPr>
          <w:rFonts w:ascii="Calibri" w:hAnsi="Calibri" w:cs="Calibri"/>
        </w:rPr>
        <w:t xml:space="preserve">. Further investigation is required to explain why spheroids started with a small number of cells exhibit higher growth compared to spheroids started with larger numbers of cells; this phenomenon will be the focus of another study </w:t>
      </w:r>
      <w:r w:rsidRPr="002A7128">
        <w:rPr>
          <w:rFonts w:ascii="Calibri" w:hAnsi="Calibri" w:cs="Calibri"/>
          <w:b/>
          <w:bCs/>
        </w:rPr>
        <w:t>(</w:t>
      </w:r>
      <w:r w:rsidR="00BA612B" w:rsidRPr="002A7128">
        <w:rPr>
          <w:rFonts w:ascii="Calibri" w:hAnsi="Calibri" w:cs="Calibri"/>
          <w:b/>
          <w:bCs/>
        </w:rPr>
        <w:fldChar w:fldCharType="begin"/>
      </w:r>
      <w:r w:rsidR="00BA612B" w:rsidRPr="002A7128">
        <w:rPr>
          <w:rFonts w:ascii="Calibri" w:hAnsi="Calibri" w:cs="Calibri"/>
          <w:b/>
          <w:bCs/>
        </w:rPr>
        <w:instrText xml:space="preserve"> REF _Ref103519265 </w:instrText>
      </w:r>
      <w:r w:rsidR="00342E19" w:rsidRPr="002A7128">
        <w:rPr>
          <w:rFonts w:ascii="Calibri" w:hAnsi="Calibri" w:cs="Calibri"/>
          <w:b/>
          <w:bCs/>
        </w:rPr>
        <w:instrText xml:space="preserve"> \* MERGEFORMAT </w:instrText>
      </w:r>
      <w:r w:rsidR="00BA612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28</w:t>
      </w:r>
      <w:r w:rsidR="00BA612B" w:rsidRPr="002A7128">
        <w:rPr>
          <w:rFonts w:ascii="Calibri" w:hAnsi="Calibri" w:cs="Calibri"/>
          <w:b/>
          <w:bCs/>
        </w:rPr>
        <w:fldChar w:fldCharType="end"/>
      </w:r>
      <w:r w:rsidRPr="002A7128">
        <w:rPr>
          <w:rFonts w:ascii="Calibri" w:hAnsi="Calibri" w:cs="Calibri"/>
          <w:b/>
          <w:bCs/>
        </w:rPr>
        <w:t>)</w:t>
      </w:r>
      <w:r w:rsidRPr="002A7128">
        <w:rPr>
          <w:rFonts w:ascii="Calibri" w:hAnsi="Calibri" w:cs="Calibri"/>
        </w:rPr>
        <w:t>. Initiation cell number did not affect the spheroid morphology; according to “circularity value” (ranging from 0 to 1 for non-circular to perfectly circular objects),</w:t>
      </w:r>
      <w:r w:rsidRPr="002A7128">
        <w:rPr>
          <w:rFonts w:ascii="Calibri" w:hAnsi="Calibri" w:cs="Calibri"/>
        </w:rPr>
        <w:fldChar w:fldCharType="begin"/>
      </w:r>
      <w:r w:rsidR="00317E7D" w:rsidRPr="002A7128">
        <w:rPr>
          <w:rFonts w:ascii="Calibri" w:hAnsi="Calibri" w:cs="Calibri"/>
        </w:rPr>
        <w:instrText xml:space="preserve"> ADDIN ZOTERO_ITEM CSL_CITATION {"citationID":"NmyIXXy6","properties":{"formattedCitation":"\\super 264\\nosupersub{}","plainCitation":"264","noteIndex":0},"citationItems":[{"id":"wiida5Bo/y4ogek5Z","uris":["http://zotero.org/users/local/91fNc9yk/items/XIHKH8K4"],"itemData":{"id":557,"type":"article-journal","container-title":"Frontiers in Physiology","DOI":"10.3389/fphys.2017.00605","ISSN":"1664-042X","journalAbbreviation":"Front. Physiol.","page":"605","source":"DOI.org (Crossref)","title":"Comparative Analysis of 3D Bladder Tumor Spheroids Obtained by Forced Floating and Hanging Drop Methods for Drug Screening","volume":"8","author":[{"family":"Amaral","given":"Robson L. F."},{"family":"Miranda","given":"Mariza"},{"family":"Marcato","given":"Priscyla D."},{"family":"Swiech","given":"Kamilla"}],"issued":{"date-parts":[["2017",8,22]]}}}],"schema":"https://github.com/citation-style-language/schema/raw/master/csl-citation.json"}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264</w:t>
      </w:r>
      <w:r w:rsidRPr="002A7128">
        <w:rPr>
          <w:rFonts w:ascii="Calibri" w:hAnsi="Calibri" w:cs="Calibri"/>
        </w:rPr>
        <w:fldChar w:fldCharType="end"/>
      </w:r>
      <w:r w:rsidRPr="002A7128">
        <w:rPr>
          <w:rFonts w:ascii="Calibri" w:hAnsi="Calibri" w:cs="Calibri"/>
        </w:rPr>
        <w:t xml:space="preserve"> OVCAR-3 spheroids showed circularity between 0.5 and 0.7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_Ref103519078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26</w:t>
      </w:r>
      <w:r w:rsidR="00342E19" w:rsidRPr="002A7128">
        <w:rPr>
          <w:rFonts w:ascii="Calibri" w:hAnsi="Calibri" w:cs="Calibri"/>
          <w:b/>
          <w:bCs/>
        </w:rPr>
        <w:fldChar w:fldCharType="end"/>
      </w:r>
      <w:r w:rsidR="00342E19" w:rsidRPr="002A7128">
        <w:rPr>
          <w:rFonts w:ascii="Calibri" w:hAnsi="Calibri" w:cs="Calibri"/>
          <w:b/>
          <w:bCs/>
        </w:rPr>
        <w:t>C</w:t>
      </w:r>
      <w:r w:rsidRPr="002A7128">
        <w:rPr>
          <w:rFonts w:ascii="Calibri" w:hAnsi="Calibri" w:cs="Calibri"/>
          <w:b/>
          <w:bCs/>
        </w:rPr>
        <w:t xml:space="preserve">) </w:t>
      </w:r>
      <w:r w:rsidRPr="002A7128">
        <w:rPr>
          <w:rFonts w:ascii="Calibri" w:hAnsi="Calibri" w:cs="Calibri"/>
        </w:rPr>
        <w:t>indicating rather loose structures compared to the OVCAR-8 spheroids with average circularity of 0.95 across all spheroid sizes (</w:t>
      </w:r>
      <w:r w:rsidR="00342E19" w:rsidRPr="002A7128">
        <w:rPr>
          <w:rFonts w:ascii="Calibri" w:hAnsi="Calibri" w:cs="Calibri"/>
          <w:b/>
          <w:bCs/>
        </w:rPr>
        <w:fldChar w:fldCharType="begin"/>
      </w:r>
      <w:r w:rsidR="00342E19" w:rsidRPr="002A7128">
        <w:rPr>
          <w:rFonts w:ascii="Calibri" w:hAnsi="Calibri" w:cs="Calibri"/>
        </w:rPr>
        <w:instrText xml:space="preserve"> REF _Ref103519078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26</w:t>
      </w:r>
      <w:r w:rsidR="00342E19" w:rsidRPr="002A7128">
        <w:rPr>
          <w:rFonts w:ascii="Calibri" w:hAnsi="Calibri" w:cs="Calibri"/>
          <w:b/>
          <w:bCs/>
        </w:rPr>
        <w:fldChar w:fldCharType="end"/>
      </w:r>
      <w:r w:rsidR="00342E19" w:rsidRPr="002A7128">
        <w:rPr>
          <w:rFonts w:ascii="Calibri" w:hAnsi="Calibri" w:cs="Calibri"/>
          <w:b/>
          <w:bCs/>
        </w:rPr>
        <w:t>G</w:t>
      </w:r>
      <w:r w:rsidRPr="002A7128">
        <w:rPr>
          <w:rFonts w:ascii="Calibri" w:hAnsi="Calibri" w:cs="Calibri"/>
          <w:b/>
          <w:bCs/>
        </w:rPr>
        <w:t>)</w:t>
      </w:r>
      <w:r w:rsidRPr="002A7128">
        <w:rPr>
          <w:rFonts w:ascii="Calibri" w:hAnsi="Calibri" w:cs="Calibri"/>
        </w:rPr>
        <w:t>. This finding is supported by a complementary analysis using “solidity”, a measure of surface roughness that also ranges from 0 to 1; cell aggregates with solidity higher than 0.9 are accepted as spherical</w:t>
      </w:r>
      <w:r w:rsidRPr="002A7128">
        <w:rPr>
          <w:rFonts w:ascii="Calibri" w:hAnsi="Calibri" w:cs="Calibri"/>
        </w:rPr>
        <w:fldChar w:fldCharType="begin"/>
      </w:r>
      <w:r w:rsidR="00317E7D" w:rsidRPr="002A7128">
        <w:rPr>
          <w:rFonts w:ascii="Calibri" w:hAnsi="Calibri" w:cs="Calibri"/>
        </w:rPr>
        <w:instrText xml:space="preserve"> ADDIN ZOTERO_ITEM CSL_CITATION {"citationID":"YLWw2A11","properties":{"formattedCitation":"\\super 308\\nosupersub{}","plainCitation":"308","noteIndex":0},"citationItems":[{"id":"wiida5Bo/q0N792wD","uris":["http://zotero.org/users/local/91fNc9yk/items/NWVMPTB3"],"itemData":{"id":529,"type":"article-journal","container-title":"Journal of Biotechnology","DOI":"10.1016/j.jbiotec.2016.01.031","ISSN":"01681656","journalAbbreviation":"Journal of Biotechnology","language":"en","page":"118-129","source":"DOI.org (Crossref)","title":"Adaptable stirred-tank culture strategies for large scale production of multicellular spheroid-based tumor cell models","volume":"221","author":[{"family":"Santo","given":"Vítor E."},{"family":"Estrada","given":"Marta F."},{"family":"Rebelo","given":"Sofia P."},{"family":"Abreu","given":"Sofia"},{"family":"Silva","given":"Inês"},{"family":"Pinto","given":"Catarina"},{"family":"Veloso","given":"Susana C."},{"family":"Serra","given":"Ana Teresa"},{"family":"Boghaert","given":"Erwin"},{"family":"Alves","given":"Paula M."},{"family":"Brito","given":"Catarina"}],"issued":{"date-parts":[["2016",3]]}}}],"schema":"https://github.com/citation-style-language/schema/raw/master/csl-citation.json"}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308</w:t>
      </w:r>
      <w:r w:rsidRPr="002A7128">
        <w:rPr>
          <w:rFonts w:ascii="Calibri" w:hAnsi="Calibri" w:cs="Calibri"/>
        </w:rPr>
        <w:fldChar w:fldCharType="end"/>
      </w:r>
      <w:r w:rsidRPr="002A7128">
        <w:rPr>
          <w:rFonts w:ascii="Calibri" w:hAnsi="Calibri" w:cs="Calibri"/>
        </w:rPr>
        <w:t xml:space="preserve">, and OVCAR-3 spheroids displayed solidity between 0.8 and 0.9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_Ref103519078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26</w:t>
      </w:r>
      <w:r w:rsidR="00342E19" w:rsidRPr="002A7128">
        <w:rPr>
          <w:rFonts w:ascii="Calibri" w:hAnsi="Calibri" w:cs="Calibri"/>
          <w:b/>
          <w:bCs/>
        </w:rPr>
        <w:fldChar w:fldCharType="end"/>
      </w:r>
      <w:r w:rsidR="00342E19" w:rsidRPr="002A7128">
        <w:rPr>
          <w:rFonts w:ascii="Calibri" w:hAnsi="Calibri" w:cs="Calibri"/>
          <w:b/>
          <w:bCs/>
        </w:rPr>
        <w:t>D</w:t>
      </w:r>
      <w:r w:rsidRPr="002A7128">
        <w:rPr>
          <w:rFonts w:ascii="Calibri" w:hAnsi="Calibri" w:cs="Calibri"/>
          <w:b/>
          <w:bCs/>
        </w:rPr>
        <w:t>)</w:t>
      </w:r>
      <w:r w:rsidRPr="002A7128">
        <w:rPr>
          <w:rFonts w:ascii="Calibri" w:hAnsi="Calibri" w:cs="Calibri"/>
        </w:rPr>
        <w:t xml:space="preserve"> while OVCAR-8 spheroids displayed solidity &gt;0.99 for all spheroid initiation cell numbers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_Ref103519078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26</w:t>
      </w:r>
      <w:r w:rsidR="00342E19" w:rsidRPr="002A7128">
        <w:rPr>
          <w:rFonts w:ascii="Calibri" w:hAnsi="Calibri" w:cs="Calibri"/>
          <w:b/>
          <w:bCs/>
        </w:rPr>
        <w:fldChar w:fldCharType="end"/>
      </w:r>
      <w:r w:rsidR="00342E19" w:rsidRPr="002A7128">
        <w:rPr>
          <w:rFonts w:ascii="Calibri" w:hAnsi="Calibri" w:cs="Calibri"/>
          <w:b/>
          <w:bCs/>
        </w:rPr>
        <w:t>H</w:t>
      </w:r>
      <w:r w:rsidRPr="002A7128">
        <w:rPr>
          <w:rFonts w:ascii="Calibri" w:hAnsi="Calibri" w:cs="Calibri"/>
          <w:b/>
          <w:bCs/>
        </w:rPr>
        <w:t>)</w:t>
      </w:r>
      <w:r w:rsidRPr="002A7128">
        <w:rPr>
          <w:rFonts w:ascii="Calibri" w:hAnsi="Calibri" w:cs="Calibri"/>
        </w:rPr>
        <w:t xml:space="preserve">. </w:t>
      </w:r>
    </w:p>
    <w:p w14:paraId="485F4D37" w14:textId="77777777" w:rsidR="000711C0" w:rsidRPr="002A7128" w:rsidRDefault="000711C0" w:rsidP="00F675B4">
      <w:pPr>
        <w:spacing w:line="480" w:lineRule="auto"/>
        <w:jc w:val="both"/>
        <w:rPr>
          <w:rFonts w:ascii="Calibri" w:hAnsi="Calibri" w:cs="Calibri"/>
        </w:rPr>
      </w:pPr>
      <w:r w:rsidRPr="002A7128">
        <w:rPr>
          <w:rFonts w:ascii="Calibri" w:hAnsi="Calibri" w:cs="Calibri"/>
          <w:noProof/>
        </w:rPr>
        <w:lastRenderedPageBreak/>
        <w:drawing>
          <wp:inline distT="0" distB="0" distL="0" distR="0" wp14:anchorId="0E90B7D2" wp14:editId="60E8B3E0">
            <wp:extent cx="5943600" cy="5678805"/>
            <wp:effectExtent l="0" t="0" r="0"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5678805"/>
                    </a:xfrm>
                    <a:prstGeom prst="rect">
                      <a:avLst/>
                    </a:prstGeom>
                  </pic:spPr>
                </pic:pic>
              </a:graphicData>
            </a:graphic>
          </wp:inline>
        </w:drawing>
      </w:r>
    </w:p>
    <w:p w14:paraId="0B220090" w14:textId="5EABC93E" w:rsidR="000711C0" w:rsidRPr="002A7128" w:rsidRDefault="000711C0" w:rsidP="00F675B4">
      <w:pPr>
        <w:pStyle w:val="Caption"/>
        <w:spacing w:line="480" w:lineRule="auto"/>
        <w:jc w:val="both"/>
        <w:rPr>
          <w:rFonts w:ascii="Calibri" w:hAnsi="Calibri" w:cs="Calibri"/>
          <w:i w:val="0"/>
          <w:iCs w:val="0"/>
          <w:color w:val="000000" w:themeColor="text1"/>
          <w:sz w:val="24"/>
          <w:szCs w:val="24"/>
        </w:rPr>
      </w:pPr>
      <w:bookmarkStart w:id="164" w:name="_Ref103519078"/>
      <w:bookmarkStart w:id="165" w:name="_Toc120789444"/>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26</w:t>
      </w:r>
      <w:r w:rsidRPr="002A7128">
        <w:rPr>
          <w:rFonts w:ascii="Calibri" w:hAnsi="Calibri" w:cs="Calibri"/>
          <w:b/>
          <w:bCs/>
          <w:i w:val="0"/>
          <w:iCs w:val="0"/>
          <w:color w:val="000000" w:themeColor="text1"/>
          <w:sz w:val="24"/>
          <w:szCs w:val="24"/>
        </w:rPr>
        <w:fldChar w:fldCharType="end"/>
      </w:r>
      <w:bookmarkEnd w:id="164"/>
      <w:r w:rsidRPr="002A7128">
        <w:rPr>
          <w:rFonts w:ascii="Calibri" w:hAnsi="Calibri" w:cs="Calibri"/>
          <w:b/>
          <w:bCs/>
          <w:i w:val="0"/>
          <w:iCs w:val="0"/>
          <w:color w:val="000000" w:themeColor="text1"/>
          <w:sz w:val="24"/>
          <w:szCs w:val="24"/>
        </w:rPr>
        <w:t>. Characterization of OVCAR-3 and OVCAR-8 spheroid formation.</w:t>
      </w:r>
      <w:r w:rsidRPr="002A7128">
        <w:rPr>
          <w:rFonts w:ascii="Calibri" w:hAnsi="Calibri" w:cs="Calibri"/>
          <w:i w:val="0"/>
          <w:iCs w:val="0"/>
          <w:color w:val="000000" w:themeColor="text1"/>
          <w:sz w:val="24"/>
          <w:szCs w:val="24"/>
        </w:rPr>
        <w:t xml:space="preserve"> (A) OVCAR-3 spheroids were initiated with 50, 100, 200, and 500 cells, and images were taken on day 1 and day 6. (B) Projected surface area characterization of OVCAR-3 spheroids (C) Circularity of OVCAR-3 spheroids at day 6 (D) Solidity of OVCAR-3 spheroids at day 6. (E) OVCAR-8 spheroids were initiated with 50, 100, 200 and 500 cells, and images were taken on day 1 and day 6 (F) Projected surface area characterization of OVCAR-8 spheroids (G) Circularity of OVCAR-8 spheroids at day </w:t>
      </w:r>
      <w:r w:rsidRPr="002A7128">
        <w:rPr>
          <w:rFonts w:ascii="Calibri" w:hAnsi="Calibri" w:cs="Calibri"/>
          <w:i w:val="0"/>
          <w:iCs w:val="0"/>
          <w:color w:val="000000" w:themeColor="text1"/>
          <w:sz w:val="24"/>
          <w:szCs w:val="24"/>
        </w:rPr>
        <w:lastRenderedPageBreak/>
        <w:t xml:space="preserve">6 (H) Solidity of OVCAR-8 spheroids at day 6. For each cell numbers to initiate the spheroids, n=24 spheroids were analyzed by randomly selecting 8 spheroids from 3 independent experiments. Scale bars are 100 </w:t>
      </w:r>
      <w:r w:rsidRPr="00FD1007">
        <w:rPr>
          <w:rFonts w:ascii="Symbol" w:hAnsi="Symbol" w:cs="Calibri"/>
          <w:i w:val="0"/>
          <w:iCs w:val="0"/>
          <w:color w:val="000000" w:themeColor="text1"/>
          <w:sz w:val="24"/>
          <w:szCs w:val="24"/>
        </w:rPr>
        <w:t></w:t>
      </w:r>
      <w:r w:rsidRPr="002A7128">
        <w:rPr>
          <w:rFonts w:ascii="Calibri" w:hAnsi="Calibri" w:cs="Calibri"/>
          <w:i w:val="0"/>
          <w:iCs w:val="0"/>
          <w:color w:val="000000" w:themeColor="text1"/>
          <w:sz w:val="24"/>
          <w:szCs w:val="24"/>
        </w:rPr>
        <w:t>m.</w:t>
      </w:r>
      <w:bookmarkEnd w:id="165"/>
    </w:p>
    <w:p w14:paraId="327C5607" w14:textId="77777777" w:rsidR="000711C0" w:rsidRPr="002A7128" w:rsidRDefault="000711C0" w:rsidP="00F675B4">
      <w:pPr>
        <w:spacing w:line="480" w:lineRule="auto"/>
        <w:jc w:val="both"/>
        <w:rPr>
          <w:rFonts w:ascii="Calibri" w:hAnsi="Calibri" w:cs="Calibri"/>
        </w:rPr>
      </w:pPr>
    </w:p>
    <w:p w14:paraId="7C404BF4" w14:textId="77777777" w:rsidR="00BA612B" w:rsidRPr="002A7128" w:rsidRDefault="00BA612B" w:rsidP="00F675B4">
      <w:pPr>
        <w:keepNext/>
        <w:spacing w:line="480" w:lineRule="auto"/>
        <w:jc w:val="both"/>
        <w:rPr>
          <w:rFonts w:ascii="Calibri" w:hAnsi="Calibri" w:cs="Calibri"/>
        </w:rPr>
      </w:pPr>
      <w:r w:rsidRPr="002A7128">
        <w:rPr>
          <w:rFonts w:ascii="Calibri" w:hAnsi="Calibri" w:cs="Calibri"/>
          <w:noProof/>
        </w:rPr>
        <w:drawing>
          <wp:inline distT="0" distB="0" distL="0" distR="0" wp14:anchorId="3A61A6D0" wp14:editId="39B53871">
            <wp:extent cx="5511114" cy="1712168"/>
            <wp:effectExtent l="0" t="0" r="1270" b="0"/>
            <wp:docPr id="7" name="Picture 7" descr="A picture containing object, clock, dark,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vcar-8 spheroid characterization every day.png"/>
                    <pic:cNvPicPr/>
                  </pic:nvPicPr>
                  <pic:blipFill rotWithShape="1">
                    <a:blip r:embed="rId36" cstate="print">
                      <a:extLst>
                        <a:ext uri="{28A0092B-C50C-407E-A947-70E740481C1C}">
                          <a14:useLocalDpi xmlns:a14="http://schemas.microsoft.com/office/drawing/2010/main" val="0"/>
                        </a:ext>
                      </a:extLst>
                    </a:blip>
                    <a:srcRect r="3945"/>
                    <a:stretch/>
                  </pic:blipFill>
                  <pic:spPr bwMode="auto">
                    <a:xfrm>
                      <a:off x="0" y="0"/>
                      <a:ext cx="5518405" cy="1714433"/>
                    </a:xfrm>
                    <a:prstGeom prst="rect">
                      <a:avLst/>
                    </a:prstGeom>
                    <a:ln>
                      <a:noFill/>
                    </a:ln>
                    <a:extLst>
                      <a:ext uri="{53640926-AAD7-44D8-BBD7-CCE9431645EC}">
                        <a14:shadowObscured xmlns:a14="http://schemas.microsoft.com/office/drawing/2010/main"/>
                      </a:ext>
                    </a:extLst>
                  </pic:spPr>
                </pic:pic>
              </a:graphicData>
            </a:graphic>
          </wp:inline>
        </w:drawing>
      </w:r>
    </w:p>
    <w:p w14:paraId="66FD097B" w14:textId="1975D5A2" w:rsidR="000711C0" w:rsidRPr="002A7128" w:rsidRDefault="00BA612B" w:rsidP="00F675B4">
      <w:pPr>
        <w:pStyle w:val="Caption"/>
        <w:spacing w:line="480" w:lineRule="auto"/>
        <w:jc w:val="both"/>
        <w:rPr>
          <w:rFonts w:ascii="Calibri" w:hAnsi="Calibri" w:cs="Calibri"/>
          <w:b/>
          <w:bCs/>
          <w:sz w:val="24"/>
          <w:szCs w:val="24"/>
        </w:rPr>
      </w:pPr>
      <w:bookmarkStart w:id="166" w:name="_Ref103519265"/>
      <w:bookmarkStart w:id="167" w:name="_Toc120789445"/>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27</w:t>
      </w:r>
      <w:r w:rsidRPr="002A7128">
        <w:rPr>
          <w:rFonts w:ascii="Calibri" w:hAnsi="Calibri" w:cs="Calibri"/>
          <w:b/>
          <w:bCs/>
          <w:i w:val="0"/>
          <w:iCs w:val="0"/>
          <w:color w:val="000000" w:themeColor="text1"/>
          <w:sz w:val="24"/>
          <w:szCs w:val="24"/>
        </w:rPr>
        <w:fldChar w:fldCharType="end"/>
      </w:r>
      <w:bookmarkEnd w:id="166"/>
      <w:r w:rsidRPr="002A7128">
        <w:rPr>
          <w:rFonts w:ascii="Calibri" w:hAnsi="Calibri" w:cs="Calibri"/>
          <w:b/>
          <w:bCs/>
          <w:i w:val="0"/>
          <w:iCs w:val="0"/>
          <w:color w:val="000000" w:themeColor="text1"/>
          <w:sz w:val="24"/>
          <w:szCs w:val="24"/>
        </w:rPr>
        <w:t xml:space="preserve"> Projected spheroid area of OVCAR-8 spheroids from day 1 to day 6.</w:t>
      </w:r>
      <w:r w:rsidRPr="002A7128">
        <w:rPr>
          <w:rFonts w:ascii="Calibri" w:hAnsi="Calibri" w:cs="Calibri"/>
          <w:i w:val="0"/>
          <w:iCs w:val="0"/>
          <w:color w:val="000000" w:themeColor="text1"/>
          <w:sz w:val="24"/>
          <w:szCs w:val="24"/>
        </w:rPr>
        <w:t xml:space="preserve"> Area of OVCAR-8 spheroids were measured every day. 3 spheroids per each independent 3 experiments were evaluated.</w:t>
      </w:r>
      <w:bookmarkEnd w:id="167"/>
      <w:r w:rsidRPr="002A7128">
        <w:rPr>
          <w:rFonts w:ascii="Calibri" w:hAnsi="Calibri" w:cs="Calibri"/>
          <w:i w:val="0"/>
          <w:iCs w:val="0"/>
          <w:color w:val="000000" w:themeColor="text1"/>
          <w:sz w:val="24"/>
          <w:szCs w:val="24"/>
        </w:rPr>
        <w:t xml:space="preserve">  </w:t>
      </w:r>
    </w:p>
    <w:p w14:paraId="1461A3B4" w14:textId="67CA5692" w:rsidR="000711C0" w:rsidRPr="002A7128" w:rsidRDefault="000711C0">
      <w:pPr>
        <w:pStyle w:val="Heading2"/>
        <w:numPr>
          <w:ilvl w:val="3"/>
          <w:numId w:val="9"/>
        </w:numPr>
        <w:rPr>
          <w:rFonts w:ascii="Calibri" w:hAnsi="Calibri" w:cs="Calibri"/>
        </w:rPr>
      </w:pPr>
      <w:bookmarkStart w:id="168" w:name="_Toc120794209"/>
      <w:r w:rsidRPr="002A7128">
        <w:rPr>
          <w:rFonts w:ascii="Calibri" w:hAnsi="Calibri" w:cs="Calibri"/>
        </w:rPr>
        <w:t>Expression of Epithelial-to-Mesenchymal Markers in EOC Spheroids</w:t>
      </w:r>
      <w:bookmarkEnd w:id="168"/>
    </w:p>
    <w:p w14:paraId="586804CA" w14:textId="77777777" w:rsidR="002A45FA" w:rsidRPr="002A7128" w:rsidRDefault="002A45FA" w:rsidP="002A45FA">
      <w:pPr>
        <w:rPr>
          <w:rFonts w:ascii="Calibri" w:hAnsi="Calibri" w:cs="Calibri"/>
        </w:rPr>
      </w:pPr>
    </w:p>
    <w:p w14:paraId="00D1F913" w14:textId="79FC2A7A" w:rsidR="000711C0" w:rsidRPr="002A7128" w:rsidRDefault="000711C0" w:rsidP="00F675B4">
      <w:pPr>
        <w:spacing w:line="480" w:lineRule="auto"/>
        <w:jc w:val="both"/>
        <w:rPr>
          <w:rFonts w:ascii="Calibri" w:hAnsi="Calibri" w:cs="Calibri"/>
        </w:rPr>
      </w:pPr>
      <w:r w:rsidRPr="002A7128">
        <w:rPr>
          <w:rFonts w:ascii="Calibri" w:hAnsi="Calibri" w:cs="Calibri"/>
        </w:rPr>
        <w:t>The thickness of the 3D spheroid models presents a technical challenge for the standard objectives of a confocal microscope.</w:t>
      </w:r>
      <w:r w:rsidRPr="002A7128">
        <w:rPr>
          <w:rFonts w:ascii="Calibri" w:hAnsi="Calibri" w:cs="Calibri"/>
        </w:rPr>
        <w:fldChar w:fldCharType="begin"/>
      </w:r>
      <w:r w:rsidR="00317E7D" w:rsidRPr="002A7128">
        <w:rPr>
          <w:rFonts w:ascii="Calibri" w:hAnsi="Calibri" w:cs="Calibri"/>
        </w:rPr>
        <w:instrText xml:space="preserve"> ADDIN ZOTERO_ITEM CSL_CITATION {"citationID":"3eVE88DH","properties":{"formattedCitation":"\\super 309\\nosupersub{}","plainCitation":"309","noteIndex":0},"citationItems":[{"id":"wiida5Bo/XZ28m6Lc","uris":["http://zotero.org/users/local/91fNc9yk/items/6QHWVKMX"],"itemData":{"id":530,"type":"article-journal","container-title":"Molecular Imaging","DOI":"10.2310/7290.2008.00023","ISSN":"1536-0121, 1536-0121","issue":"5","journalAbbreviation":"Mol Imaging","language":"en","page":"7290.2008.00023","source":"DOI.org (Crossref)","title":"Optimizing Imaging of Three-Dimensional Multicellular Tumor Spheroids with Fluorescent Reporter Proteins Using Confocal Microscopy","volume":"7","author":[{"family":"Roux","given":"Lucia","non-dropping-particle":"le"},{"family":"Volgin","given":"Andrei"},{"family":"Maxwell","given":"David"},{"family":"Ishihara","given":"Katashi"},{"family":"Gelovani","given":"Juri"},{"family":"Schellingerhout","given":"Dawid"}],"issued":{"date-parts":[["2008",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309</w:t>
      </w:r>
      <w:r w:rsidRPr="002A7128">
        <w:rPr>
          <w:rFonts w:ascii="Calibri" w:hAnsi="Calibri" w:cs="Calibri"/>
        </w:rPr>
        <w:fldChar w:fldCharType="end"/>
      </w:r>
      <w:r w:rsidRPr="002A7128">
        <w:rPr>
          <w:rFonts w:ascii="Calibri" w:hAnsi="Calibri" w:cs="Calibri"/>
        </w:rPr>
        <w:t xml:space="preserve"> Therefore, we imaged the OVCAR-3 and OVCAR-8 spheroids with confocal microscopy using a water immersion objective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_Ref103519364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28</w:t>
      </w:r>
      <w:r w:rsidR="00342E19" w:rsidRPr="002A7128">
        <w:rPr>
          <w:rFonts w:ascii="Calibri" w:hAnsi="Calibri" w:cs="Calibri"/>
          <w:b/>
          <w:bCs/>
        </w:rPr>
        <w:fldChar w:fldCharType="end"/>
      </w:r>
      <w:r w:rsidR="00342E19" w:rsidRPr="002A7128">
        <w:rPr>
          <w:rFonts w:ascii="Calibri" w:hAnsi="Calibri" w:cs="Calibri"/>
          <w:b/>
          <w:bCs/>
        </w:rPr>
        <w:t>A</w:t>
      </w:r>
      <w:r w:rsidRPr="002A7128">
        <w:rPr>
          <w:rFonts w:ascii="Calibri" w:hAnsi="Calibri" w:cs="Calibri"/>
          <w:b/>
          <w:bCs/>
        </w:rPr>
        <w:t>)</w:t>
      </w:r>
      <w:r w:rsidRPr="002A7128">
        <w:rPr>
          <w:rFonts w:ascii="Calibri" w:hAnsi="Calibri" w:cs="Calibri"/>
        </w:rPr>
        <w:t xml:space="preserve">. Water immersion objectives have lenses designed to image aqueous samples, particularly samples without cover glass. The imaging depth of immersion objectives (5 to 180 </w:t>
      </w:r>
      <w:r w:rsidRPr="00A86311">
        <w:rPr>
          <w:rFonts w:ascii="Symbol" w:hAnsi="Symbol" w:cs="Calibri"/>
        </w:rPr>
        <w:t></w:t>
      </w:r>
      <w:r w:rsidRPr="002A7128">
        <w:rPr>
          <w:rFonts w:ascii="Calibri" w:hAnsi="Calibri" w:cs="Calibri"/>
        </w:rPr>
        <w:t>m) is superior to standard objectives</w:t>
      </w:r>
      <w:r w:rsidRPr="002A7128">
        <w:rPr>
          <w:rFonts w:ascii="Calibri" w:hAnsi="Calibri" w:cs="Calibri"/>
        </w:rPr>
        <w:fldChar w:fldCharType="begin"/>
      </w:r>
      <w:r w:rsidR="00317E7D" w:rsidRPr="002A7128">
        <w:rPr>
          <w:rFonts w:ascii="Calibri" w:hAnsi="Calibri" w:cs="Calibri"/>
        </w:rPr>
        <w:instrText xml:space="preserve"> ADDIN ZOTERO_ITEM CSL_CITATION {"citationID":"k5cc7O1M","properties":{"formattedCitation":"\\super 310\\nosupersub{}","plainCitation":"310","noteIndex":0},"citationItems":[{"id":"wiida5Bo/2XWt7gQz","uris":["http://zotero.org/users/local/91fNc9yk/items/WWTF28M3"],"itemData":{"id":559,"type":"article-journal","container-title":"Review of Scientific Instruments","DOI":"10.1063/1.5020249","ISSN":"0034-6748, 1089-7623","issue":"5","journalAbbreviation":"Review of Scientific Instruments","language":"en","page":"053701","source":"DOI.org (Crossref)","title":"Three dimensional live-cell STED microscopy at increased depth using a water immersion objective","volume":"89","author":[{"family":"Heine","given":"Jörn"},{"family":"Wurm","given":"Christian A."},{"family":"Keller-Findeisen","given":"Jan"},{"family":"Schönle","given":"Andreas"},{"family":"Harke","given":"Benjamin"},{"family":"Reuss","given":"Matthias"},{"family":"Winter","given":"Franziska R."},{"family":"Donnert","given":"Gerald"}],"issued":{"date-parts":[["2018",5]]}}}],"schema":"https://github.com/citation-style-language/schema/raw/master/csl-citation.json"}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310</w:t>
      </w:r>
      <w:r w:rsidRPr="002A7128">
        <w:rPr>
          <w:rFonts w:ascii="Calibri" w:hAnsi="Calibri" w:cs="Calibri"/>
        </w:rPr>
        <w:fldChar w:fldCharType="end"/>
      </w:r>
      <w:r w:rsidRPr="002A7128">
        <w:rPr>
          <w:rFonts w:ascii="Calibri" w:hAnsi="Calibri" w:cs="Calibri"/>
        </w:rPr>
        <w:t xml:space="preserve"> and allows optical sectioning</w:t>
      </w:r>
      <w:r w:rsidRPr="002A7128">
        <w:rPr>
          <w:rFonts w:ascii="Calibri" w:hAnsi="Calibri" w:cs="Calibri"/>
        </w:rPr>
        <w:fldChar w:fldCharType="begin"/>
      </w:r>
      <w:r w:rsidR="00317E7D" w:rsidRPr="002A7128">
        <w:rPr>
          <w:rFonts w:ascii="Calibri" w:hAnsi="Calibri" w:cs="Calibri"/>
        </w:rPr>
        <w:instrText xml:space="preserve"> ADDIN ZOTERO_ITEM CSL_CITATION {"citationID":"miAqysRX","properties":{"formattedCitation":"\\super 309\\nosupersub{}","plainCitation":"309","noteIndex":0},"citationItems":[{"id":"wiida5Bo/XZ28m6Lc","uris":["http://zotero.org/users/local/91fNc9yk/items/6QHWVKMX"],"itemData":{"id":530,"type":"article-journal","container-title":"Molecular Imaging","DOI":"10.2310/7290.2008.00023","ISSN":"1536-0121, 1536-0121","issue":"5","journalAbbreviation":"Mol Imaging","language":"en","page":"7290.2008.00023","source":"DOI.org (Crossref)","title":"Optimizing Imaging of Three-Dimensional Multicellular Tumor Spheroids with Fluorescent Reporter Proteins Using Confocal Microscopy","volume":"7","author":[{"family":"Roux","given":"Lucia","non-dropping-particle":"le"},{"family":"Volgin","given":"Andrei"},{"family":"Maxwell","given":"David"},{"family":"Ishihara","given":"Katashi"},{"family":"Gelovani","given":"Juri"},{"family":"Schellingerhout","given":"Dawid"}],"issued":{"date-parts":[["2008",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309</w:t>
      </w:r>
      <w:r w:rsidRPr="002A7128">
        <w:rPr>
          <w:rFonts w:ascii="Calibri" w:hAnsi="Calibri" w:cs="Calibri"/>
        </w:rPr>
        <w:fldChar w:fldCharType="end"/>
      </w:r>
      <w:r w:rsidRPr="002A7128">
        <w:rPr>
          <w:rFonts w:ascii="Calibri" w:hAnsi="Calibri" w:cs="Calibri"/>
        </w:rPr>
        <w:t xml:space="preserve">. We stained F-actin in the spheroids to better visualize their morphologies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_Ref103519364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28</w:t>
      </w:r>
      <w:r w:rsidR="00342E19" w:rsidRPr="002A7128">
        <w:rPr>
          <w:rFonts w:ascii="Calibri" w:hAnsi="Calibri" w:cs="Calibri"/>
          <w:b/>
          <w:bCs/>
        </w:rPr>
        <w:fldChar w:fldCharType="end"/>
      </w:r>
      <w:r w:rsidR="00342E19" w:rsidRPr="002A7128">
        <w:rPr>
          <w:rFonts w:ascii="Calibri" w:hAnsi="Calibri" w:cs="Calibri"/>
          <w:b/>
          <w:bCs/>
        </w:rPr>
        <w:t>B</w:t>
      </w:r>
      <w:r w:rsidRPr="002A7128">
        <w:rPr>
          <w:rFonts w:ascii="Calibri" w:hAnsi="Calibri" w:cs="Calibri"/>
          <w:b/>
          <w:bCs/>
        </w:rPr>
        <w:t>)</w:t>
      </w:r>
      <w:r w:rsidRPr="002A7128">
        <w:rPr>
          <w:rFonts w:ascii="Calibri" w:hAnsi="Calibri" w:cs="Calibri"/>
        </w:rPr>
        <w:t xml:space="preserve">. Confocal images confirmed previous observations of both OVCAR-3 and OVCAR-8 spheroid morphology, while providing a better </w:t>
      </w:r>
      <w:r w:rsidRPr="002A7128">
        <w:rPr>
          <w:rFonts w:ascii="Calibri" w:hAnsi="Calibri" w:cs="Calibri"/>
        </w:rPr>
        <w:lastRenderedPageBreak/>
        <w:t xml:space="preserve">understanding of their cell-to-cell interactions. We then investigated the existence and levels of EMT markers E-cadherin and Vimentin in the spheroids. Although OVCAR-3 monolayer E-cadherin expression level was very low in imaging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_Ref103516923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24</w:t>
      </w:r>
      <w:r w:rsidR="00342E19" w:rsidRPr="002A7128">
        <w:rPr>
          <w:rFonts w:ascii="Calibri" w:hAnsi="Calibri" w:cs="Calibri"/>
          <w:b/>
          <w:bCs/>
        </w:rPr>
        <w:fldChar w:fldCharType="end"/>
      </w:r>
      <w:r w:rsidR="00342E19" w:rsidRPr="002A7128">
        <w:rPr>
          <w:rFonts w:ascii="Calibri" w:hAnsi="Calibri" w:cs="Calibri"/>
          <w:b/>
          <w:bCs/>
        </w:rPr>
        <w:t>A</w:t>
      </w:r>
      <w:r w:rsidRPr="002A7128">
        <w:rPr>
          <w:rFonts w:ascii="Calibri" w:hAnsi="Calibri" w:cs="Calibri"/>
          <w:b/>
          <w:bCs/>
        </w:rPr>
        <w:t>)</w:t>
      </w:r>
      <w:r w:rsidRPr="002A7128">
        <w:rPr>
          <w:rFonts w:ascii="Calibri" w:hAnsi="Calibri" w:cs="Calibri"/>
        </w:rPr>
        <w:t xml:space="preserve"> and could not be detected in western blotting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_Ref103516923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24</w:t>
      </w:r>
      <w:r w:rsidR="00342E19" w:rsidRPr="002A7128">
        <w:rPr>
          <w:rFonts w:ascii="Calibri" w:hAnsi="Calibri" w:cs="Calibri"/>
          <w:b/>
          <w:bCs/>
        </w:rPr>
        <w:fldChar w:fldCharType="end"/>
      </w:r>
      <w:r w:rsidR="00342E19" w:rsidRPr="002A7128">
        <w:rPr>
          <w:rFonts w:ascii="Calibri" w:hAnsi="Calibri" w:cs="Calibri"/>
          <w:b/>
          <w:bCs/>
        </w:rPr>
        <w:t>B</w:t>
      </w:r>
      <w:r w:rsidRPr="002A7128">
        <w:rPr>
          <w:rFonts w:ascii="Calibri" w:hAnsi="Calibri" w:cs="Calibri"/>
          <w:b/>
          <w:bCs/>
        </w:rPr>
        <w:t>)</w:t>
      </w:r>
      <w:r w:rsidRPr="002A7128">
        <w:rPr>
          <w:rFonts w:ascii="Calibri" w:hAnsi="Calibri" w:cs="Calibri"/>
        </w:rPr>
        <w:t xml:space="preserve">, we observed highly upregulated E-cadherin in OVCAR-3 spheroids, which we further confirmed with western blotting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_Ref103519364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28</w:t>
      </w:r>
      <w:r w:rsidR="00342E19" w:rsidRPr="002A7128">
        <w:rPr>
          <w:rFonts w:ascii="Calibri" w:hAnsi="Calibri" w:cs="Calibri"/>
          <w:b/>
          <w:bCs/>
        </w:rPr>
        <w:fldChar w:fldCharType="end"/>
      </w:r>
      <w:r w:rsidR="00342E19" w:rsidRPr="002A7128">
        <w:rPr>
          <w:rFonts w:ascii="Calibri" w:hAnsi="Calibri" w:cs="Calibri"/>
          <w:b/>
          <w:bCs/>
        </w:rPr>
        <w:t>C</w:t>
      </w:r>
      <w:r w:rsidRPr="002A7128">
        <w:rPr>
          <w:rFonts w:ascii="Calibri" w:hAnsi="Calibri" w:cs="Calibri"/>
          <w:b/>
          <w:bCs/>
        </w:rPr>
        <w:t xml:space="preserve">, left column and </w:t>
      </w:r>
      <w:r w:rsidR="00342E19" w:rsidRPr="002A7128">
        <w:rPr>
          <w:rFonts w:ascii="Calibri" w:hAnsi="Calibri" w:cs="Calibri"/>
          <w:b/>
          <w:bCs/>
        </w:rPr>
        <w:fldChar w:fldCharType="begin"/>
      </w:r>
      <w:r w:rsidR="00342E19" w:rsidRPr="002A7128">
        <w:rPr>
          <w:rFonts w:ascii="Calibri" w:hAnsi="Calibri" w:cs="Calibri"/>
          <w:b/>
          <w:bCs/>
        </w:rPr>
        <w:instrText xml:space="preserve"> REF _Ref103519364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28</w:t>
      </w:r>
      <w:r w:rsidR="00342E19" w:rsidRPr="002A7128">
        <w:rPr>
          <w:rFonts w:ascii="Calibri" w:hAnsi="Calibri" w:cs="Calibri"/>
          <w:b/>
          <w:bCs/>
        </w:rPr>
        <w:fldChar w:fldCharType="end"/>
      </w:r>
      <w:r w:rsidR="00342E19" w:rsidRPr="002A7128">
        <w:rPr>
          <w:rFonts w:ascii="Calibri" w:hAnsi="Calibri" w:cs="Calibri"/>
          <w:b/>
          <w:bCs/>
        </w:rPr>
        <w:t>D</w:t>
      </w:r>
      <w:r w:rsidRPr="002A7128">
        <w:rPr>
          <w:rFonts w:ascii="Calibri" w:hAnsi="Calibri" w:cs="Calibri"/>
          <w:b/>
          <w:bCs/>
        </w:rPr>
        <w:t>, top)</w:t>
      </w:r>
      <w:r w:rsidRPr="002A7128">
        <w:rPr>
          <w:rFonts w:ascii="Calibri" w:hAnsi="Calibri" w:cs="Calibri"/>
        </w:rPr>
        <w:t xml:space="preserve">. OVCAR-8 spheroids were deficient in E-cadherin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_Ref103519364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28</w:t>
      </w:r>
      <w:r w:rsidR="00342E19" w:rsidRPr="002A7128">
        <w:rPr>
          <w:rFonts w:ascii="Calibri" w:hAnsi="Calibri" w:cs="Calibri"/>
          <w:b/>
          <w:bCs/>
        </w:rPr>
        <w:fldChar w:fldCharType="end"/>
      </w:r>
      <w:r w:rsidR="00342E19" w:rsidRPr="002A7128">
        <w:rPr>
          <w:rFonts w:ascii="Calibri" w:hAnsi="Calibri" w:cs="Calibri"/>
          <w:b/>
          <w:bCs/>
        </w:rPr>
        <w:t>C</w:t>
      </w:r>
      <w:r w:rsidRPr="002A7128">
        <w:rPr>
          <w:rFonts w:ascii="Calibri" w:hAnsi="Calibri" w:cs="Calibri"/>
          <w:b/>
          <w:bCs/>
        </w:rPr>
        <w:t>)</w:t>
      </w:r>
      <w:r w:rsidRPr="002A7128">
        <w:rPr>
          <w:rFonts w:ascii="Calibri" w:hAnsi="Calibri" w:cs="Calibri"/>
        </w:rPr>
        <w:t xml:space="preserve"> and displayed similar Vimentin expression patterns as their monolayer counterparts </w:t>
      </w:r>
      <w:r w:rsidRPr="002A7128">
        <w:rPr>
          <w:rFonts w:ascii="Calibri" w:hAnsi="Calibri" w:cs="Calibri"/>
          <w:b/>
          <w:bCs/>
        </w:rPr>
        <w:t>(</w:t>
      </w:r>
      <w:r w:rsidR="00342E19" w:rsidRPr="002A7128">
        <w:rPr>
          <w:rFonts w:ascii="Calibri" w:hAnsi="Calibri" w:cs="Calibri"/>
          <w:b/>
          <w:bCs/>
        </w:rPr>
        <w:fldChar w:fldCharType="begin"/>
      </w:r>
      <w:r w:rsidR="00342E19" w:rsidRPr="002A7128">
        <w:rPr>
          <w:rFonts w:ascii="Calibri" w:hAnsi="Calibri" w:cs="Calibri"/>
          <w:b/>
          <w:bCs/>
        </w:rPr>
        <w:instrText xml:space="preserve"> REF _Ref103519364  \* MERGEFORMAT </w:instrText>
      </w:r>
      <w:r w:rsidR="00342E19"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28</w:t>
      </w:r>
      <w:r w:rsidR="00342E19" w:rsidRPr="002A7128">
        <w:rPr>
          <w:rFonts w:ascii="Calibri" w:hAnsi="Calibri" w:cs="Calibri"/>
          <w:b/>
          <w:bCs/>
        </w:rPr>
        <w:fldChar w:fldCharType="end"/>
      </w:r>
      <w:r w:rsidR="00342E19" w:rsidRPr="002A7128">
        <w:rPr>
          <w:rFonts w:ascii="Calibri" w:hAnsi="Calibri" w:cs="Calibri"/>
          <w:b/>
          <w:bCs/>
        </w:rPr>
        <w:t>D</w:t>
      </w:r>
      <w:r w:rsidRPr="002A7128">
        <w:rPr>
          <w:rFonts w:ascii="Calibri" w:hAnsi="Calibri" w:cs="Calibri"/>
          <w:b/>
          <w:bCs/>
        </w:rPr>
        <w:t>)</w:t>
      </w:r>
      <w:r w:rsidRPr="002A7128">
        <w:rPr>
          <w:rFonts w:ascii="Calibri" w:hAnsi="Calibri" w:cs="Calibri"/>
        </w:rPr>
        <w:t xml:space="preserve">. </w:t>
      </w:r>
    </w:p>
    <w:p w14:paraId="30546B3D" w14:textId="77777777" w:rsidR="000711C0" w:rsidRPr="002A7128" w:rsidRDefault="000711C0" w:rsidP="00F675B4">
      <w:pPr>
        <w:spacing w:line="480" w:lineRule="auto"/>
        <w:jc w:val="both"/>
        <w:rPr>
          <w:rFonts w:ascii="Calibri" w:hAnsi="Calibri" w:cs="Calibri"/>
        </w:rPr>
      </w:pPr>
      <w:r w:rsidRPr="002A7128">
        <w:rPr>
          <w:rFonts w:ascii="Calibri" w:hAnsi="Calibri" w:cs="Calibri"/>
          <w:noProof/>
        </w:rPr>
        <w:lastRenderedPageBreak/>
        <w:drawing>
          <wp:inline distT="0" distB="0" distL="0" distR="0" wp14:anchorId="5A49883E" wp14:editId="160C6EED">
            <wp:extent cx="5647038" cy="6002994"/>
            <wp:effectExtent l="0" t="0" r="5080" b="4445"/>
            <wp:docPr id="4" name="Pictur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649570" cy="6005686"/>
                    </a:xfrm>
                    <a:prstGeom prst="rect">
                      <a:avLst/>
                    </a:prstGeom>
                  </pic:spPr>
                </pic:pic>
              </a:graphicData>
            </a:graphic>
          </wp:inline>
        </w:drawing>
      </w:r>
    </w:p>
    <w:p w14:paraId="4EA4FA84" w14:textId="6A553E6F" w:rsidR="000711C0" w:rsidRPr="002A7128" w:rsidRDefault="000711C0" w:rsidP="002A45FA">
      <w:pPr>
        <w:pStyle w:val="Caption"/>
        <w:spacing w:line="480" w:lineRule="auto"/>
        <w:jc w:val="both"/>
        <w:rPr>
          <w:rFonts w:ascii="Calibri" w:hAnsi="Calibri" w:cs="Calibri"/>
          <w:i w:val="0"/>
          <w:iCs w:val="0"/>
          <w:color w:val="000000" w:themeColor="text1"/>
          <w:sz w:val="24"/>
          <w:szCs w:val="24"/>
        </w:rPr>
      </w:pPr>
      <w:bookmarkStart w:id="169" w:name="_Ref103519364"/>
      <w:bookmarkStart w:id="170" w:name="_Toc120789446"/>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28</w:t>
      </w:r>
      <w:r w:rsidRPr="002A7128">
        <w:rPr>
          <w:rFonts w:ascii="Calibri" w:hAnsi="Calibri" w:cs="Calibri"/>
          <w:b/>
          <w:bCs/>
          <w:i w:val="0"/>
          <w:iCs w:val="0"/>
          <w:color w:val="000000" w:themeColor="text1"/>
          <w:sz w:val="24"/>
          <w:szCs w:val="24"/>
        </w:rPr>
        <w:fldChar w:fldCharType="end"/>
      </w:r>
      <w:bookmarkEnd w:id="169"/>
      <w:r w:rsidRPr="002A7128">
        <w:rPr>
          <w:rFonts w:ascii="Calibri" w:hAnsi="Calibri" w:cs="Calibri"/>
          <w:b/>
          <w:bCs/>
          <w:i w:val="0"/>
          <w:iCs w:val="0"/>
          <w:color w:val="000000" w:themeColor="text1"/>
          <w:sz w:val="24"/>
          <w:szCs w:val="24"/>
        </w:rPr>
        <w:t>. Morphology analysis and epithelial-to-mesenchymal marker expression of ovarian cancer spheroids.</w:t>
      </w:r>
      <w:r w:rsidRPr="002A7128">
        <w:rPr>
          <w:rFonts w:ascii="Calibri" w:hAnsi="Calibri" w:cs="Calibri"/>
          <w:i w:val="0"/>
          <w:iCs w:val="0"/>
          <w:color w:val="000000" w:themeColor="text1"/>
          <w:sz w:val="24"/>
          <w:szCs w:val="24"/>
        </w:rPr>
        <w:t xml:space="preserve"> (A) Strategy for imaging of spheroids by using water immersion objective. (B) OVCAR-3 and OVCAR-8 spheroids with initiation cell numbers of 50, 100, 200 and 500 were stained for F-actins (red) and DAPI for nuclei (blue), imaged for their morphology. Scale bar is 100 </w:t>
      </w:r>
      <w:r w:rsidRPr="00FD1007">
        <w:rPr>
          <w:rFonts w:ascii="Symbol" w:hAnsi="Symbol" w:cs="Calibri"/>
          <w:i w:val="0"/>
          <w:iCs w:val="0"/>
          <w:color w:val="000000" w:themeColor="text1"/>
          <w:sz w:val="24"/>
          <w:szCs w:val="24"/>
        </w:rPr>
        <w:t></w:t>
      </w:r>
      <w:r w:rsidRPr="002A7128">
        <w:rPr>
          <w:rFonts w:ascii="Calibri" w:hAnsi="Calibri" w:cs="Calibri"/>
          <w:i w:val="0"/>
          <w:iCs w:val="0"/>
          <w:color w:val="000000" w:themeColor="text1"/>
          <w:sz w:val="24"/>
          <w:szCs w:val="24"/>
        </w:rPr>
        <w:t xml:space="preserve">m. Inset indicates magnified sections from spheroids, scale bar is 20 </w:t>
      </w:r>
      <w:r w:rsidRPr="00FD1007">
        <w:rPr>
          <w:rFonts w:ascii="Symbol" w:hAnsi="Symbol" w:cs="Calibri"/>
          <w:i w:val="0"/>
          <w:iCs w:val="0"/>
          <w:color w:val="000000" w:themeColor="text1"/>
          <w:sz w:val="24"/>
          <w:szCs w:val="24"/>
        </w:rPr>
        <w:t></w:t>
      </w:r>
      <w:r w:rsidRPr="002A7128">
        <w:rPr>
          <w:rFonts w:ascii="Calibri" w:hAnsi="Calibri" w:cs="Calibri"/>
          <w:i w:val="0"/>
          <w:iCs w:val="0"/>
          <w:color w:val="000000" w:themeColor="text1"/>
          <w:sz w:val="24"/>
          <w:szCs w:val="24"/>
        </w:rPr>
        <w:t xml:space="preserve">m. (C) E-Cadherin (green, </w:t>
      </w:r>
      <w:r w:rsidRPr="002A7128">
        <w:rPr>
          <w:rFonts w:ascii="Calibri" w:hAnsi="Calibri" w:cs="Calibri"/>
          <w:i w:val="0"/>
          <w:iCs w:val="0"/>
          <w:color w:val="000000" w:themeColor="text1"/>
          <w:sz w:val="24"/>
          <w:szCs w:val="24"/>
        </w:rPr>
        <w:lastRenderedPageBreak/>
        <w:t xml:space="preserve">left column), Vimentin (green, right column), and DAPI for nuclei (blue) imaging of OVCAR-3 and OVCAR-8 spheroids with initiation cell number of 200. Top-view panel indicates the top of the OVCAR-8 spheroids, Scale bar is 100 </w:t>
      </w:r>
      <w:r w:rsidRPr="00FD1007">
        <w:rPr>
          <w:rFonts w:ascii="Symbol" w:hAnsi="Symbol" w:cs="Calibri"/>
          <w:i w:val="0"/>
          <w:iCs w:val="0"/>
          <w:color w:val="000000" w:themeColor="text1"/>
          <w:sz w:val="24"/>
          <w:szCs w:val="24"/>
        </w:rPr>
        <w:t></w:t>
      </w:r>
      <w:r w:rsidRPr="002A7128">
        <w:rPr>
          <w:rFonts w:ascii="Calibri" w:hAnsi="Calibri" w:cs="Calibri"/>
          <w:i w:val="0"/>
          <w:iCs w:val="0"/>
          <w:color w:val="000000" w:themeColor="text1"/>
          <w:sz w:val="24"/>
          <w:szCs w:val="24"/>
        </w:rPr>
        <w:t xml:space="preserve">m. (D) Panel indicates western blot of E-Cadherin and Vimentin from ovarian cancer monolayers and their spheroids (initiation cell number of 200). Housekeeping </w:t>
      </w:r>
      <w:r w:rsidRPr="00FD1007">
        <w:rPr>
          <w:rFonts w:ascii="Symbol" w:hAnsi="Symbol" w:cs="Calibri"/>
          <w:i w:val="0"/>
          <w:iCs w:val="0"/>
          <w:color w:val="000000" w:themeColor="text1"/>
          <w:sz w:val="24"/>
          <w:szCs w:val="24"/>
        </w:rPr>
        <w:t></w:t>
      </w:r>
      <w:r w:rsidRPr="002A7128">
        <w:rPr>
          <w:rFonts w:ascii="Calibri" w:hAnsi="Calibri" w:cs="Calibri"/>
          <w:i w:val="0"/>
          <w:iCs w:val="0"/>
          <w:color w:val="000000" w:themeColor="text1"/>
          <w:sz w:val="24"/>
          <w:szCs w:val="24"/>
        </w:rPr>
        <w:t>-actin was included for total protein loading control.</w:t>
      </w:r>
      <w:bookmarkEnd w:id="170"/>
    </w:p>
    <w:p w14:paraId="2A2B6645" w14:textId="04637AA4" w:rsidR="000711C0" w:rsidRPr="002A7128" w:rsidRDefault="000711C0">
      <w:pPr>
        <w:pStyle w:val="Heading2"/>
        <w:numPr>
          <w:ilvl w:val="3"/>
          <w:numId w:val="9"/>
        </w:numPr>
        <w:rPr>
          <w:rFonts w:ascii="Calibri" w:hAnsi="Calibri" w:cs="Calibri"/>
        </w:rPr>
      </w:pPr>
      <w:bookmarkStart w:id="171" w:name="_Toc120794210"/>
      <w:r w:rsidRPr="002A7128">
        <w:rPr>
          <w:rFonts w:ascii="Calibri" w:hAnsi="Calibri" w:cs="Calibri"/>
        </w:rPr>
        <w:t>Size and Shape Dependent Cytotoxicity in EOC spheroids</w:t>
      </w:r>
      <w:bookmarkEnd w:id="171"/>
    </w:p>
    <w:p w14:paraId="5DFF2BCC" w14:textId="77777777" w:rsidR="000711C0" w:rsidRPr="002A7128" w:rsidRDefault="000711C0" w:rsidP="00F675B4">
      <w:pPr>
        <w:spacing w:line="480" w:lineRule="auto"/>
        <w:jc w:val="both"/>
        <w:rPr>
          <w:rFonts w:ascii="Calibri" w:hAnsi="Calibri" w:cs="Calibri"/>
        </w:rPr>
      </w:pPr>
    </w:p>
    <w:p w14:paraId="21401CEF" w14:textId="45E4123B" w:rsidR="000711C0" w:rsidRPr="002A7128" w:rsidRDefault="000711C0" w:rsidP="00F675B4">
      <w:pPr>
        <w:spacing w:line="480" w:lineRule="auto"/>
        <w:jc w:val="both"/>
        <w:rPr>
          <w:rFonts w:ascii="Calibri" w:hAnsi="Calibri" w:cs="Calibri"/>
        </w:rPr>
      </w:pPr>
      <w:r w:rsidRPr="002A7128">
        <w:rPr>
          <w:rFonts w:ascii="Calibri" w:hAnsi="Calibri" w:cs="Calibri"/>
        </w:rPr>
        <w:t>Ascites derived from EOC patients can contain spheroids with different shape and size.</w:t>
      </w:r>
      <w:r w:rsidRPr="002A7128">
        <w:rPr>
          <w:rFonts w:ascii="Calibri" w:hAnsi="Calibri" w:cs="Calibri"/>
        </w:rPr>
        <w:fldChar w:fldCharType="begin"/>
      </w:r>
      <w:r w:rsidR="00317E7D" w:rsidRPr="002A7128">
        <w:rPr>
          <w:rFonts w:ascii="Calibri" w:hAnsi="Calibri" w:cs="Calibri"/>
        </w:rPr>
        <w:instrText xml:space="preserve"> ADDIN ZOTERO_ITEM CSL_CITATION {"citationID":"Exp3MCZr","properties":{"formattedCitation":"\\super 281\\nosupersub{}","plainCitation":"281","noteIndex":0},"citationItems":[{"id":"wiida5Bo/SR1B1r67","uris":["http://zotero.org/users/local/91fNc9yk/items/ITM2LL25"],"itemData":{"id":25,"type":"article-journal","abstract":"Serous, mucinous, endometrioid and clear cell human ovarian carcinoma cells were isolated as multicellular aggregates from patient effusions by filtration on nylon mesh of defined porosity and examined by light microscopy.  The cell clusters ranged from compact to loosely adherent groups of cells to spheroids with a central lumen surrounded by a cell monolayer.  There was considerable variation in cluster morphology between effusions from different patients as well as within effusion from the same patient.  Apparent budding of clusters was observed as well as different stages of cluster growth and development.  This was observed for all histologic types studied.  Electron microscopy of serous, mucinous and clear cell types showed that cells forming clusters were attached to each other by desmosomes, demonstrating that cluster formation did not result from a nonspecific stickiness of cells.  Irregular microvilli were present on the external periphery of the various carcinoma cells and a prominent glycocalyx was present on the surface of mucinous carcinoma cells.  Extensive interdigitation of cytoplasmic extensions and extended villi was present in mucinous and serous clusters which appeared to strengthen cluster cohesiveness.  Nuclei were irregular with prominent nucleoli frequently present.  The cell clusters usually remained intact and viable in culture but generally did not attach to glass or plastic substrata, whereas mesothelial cells and nonactivated histiocytes rapidly attached.  When carcinoma cell clusters did attach, they were resistant to detachment by trypsin-EDTA treatment, in contrast to the nonmalignant cells.[on SciFinder (R)]","container-title":"Pathobiology","DOI":"10.1159/000163419","title":"Isolation and Morphologic Characterization of Human Ovarian Carcinoma Cell Clusters Present in Effusions","author":[{"family":"Allen","given":"Howard J."},{"family":"Porter","given":"Carl"},{"family":"Gamarra","given":"Marie"},{"family":"Piver","given":"Steven"},{"family":"Johnson","given":"Edward A.Z."}],"issued":{"date-parts":[["2008"]]}}}],"schema":"https://github.com/citation-style-language/schema/raw/master/csl-citation.json"}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281</w:t>
      </w:r>
      <w:r w:rsidRPr="002A7128">
        <w:rPr>
          <w:rFonts w:ascii="Calibri" w:hAnsi="Calibri" w:cs="Calibri"/>
        </w:rPr>
        <w:fldChar w:fldCharType="end"/>
      </w:r>
      <w:r w:rsidRPr="002A7128">
        <w:rPr>
          <w:rFonts w:ascii="Calibri" w:hAnsi="Calibri" w:cs="Calibri"/>
        </w:rPr>
        <w:t xml:space="preserve"> However, there is a lack of systematic experimental investigation of the effects of EOC spheroid size and morphology on drug sensitivity. 3D systems might display different cytotoxicity compared to monolayers. Therefore, we compared the cytotoxicity of the anti-cancer drugs on monolayer and 3D spheroids respectively. We carried out a cytotoxicity assay by treating OVCAR-3 and OVCAR-8 monolayers with Taxol and Cisplatin separately, for 48 h. We found Taxol IC</w:t>
      </w:r>
      <w:r w:rsidRPr="002A7128">
        <w:rPr>
          <w:rFonts w:ascii="Calibri" w:hAnsi="Calibri" w:cs="Calibri"/>
          <w:vertAlign w:val="subscript"/>
        </w:rPr>
        <w:t>50</w:t>
      </w:r>
      <w:r w:rsidRPr="002A7128">
        <w:rPr>
          <w:rFonts w:ascii="Calibri" w:hAnsi="Calibri" w:cs="Calibri"/>
        </w:rPr>
        <w:t xml:space="preserve"> values of 4.217 </w:t>
      </w:r>
      <w:proofErr w:type="spellStart"/>
      <w:r w:rsidRPr="002A7128">
        <w:rPr>
          <w:rFonts w:ascii="Calibri" w:hAnsi="Calibri" w:cs="Calibri"/>
        </w:rPr>
        <w:t>nM</w:t>
      </w:r>
      <w:proofErr w:type="spellEnd"/>
      <w:r w:rsidRPr="002A7128">
        <w:rPr>
          <w:rFonts w:ascii="Calibri" w:hAnsi="Calibri" w:cs="Calibri"/>
        </w:rPr>
        <w:t xml:space="preserve"> and 7.882 </w:t>
      </w:r>
      <w:proofErr w:type="spellStart"/>
      <w:r w:rsidRPr="002A7128">
        <w:rPr>
          <w:rFonts w:ascii="Calibri" w:hAnsi="Calibri" w:cs="Calibri"/>
        </w:rPr>
        <w:t>nM</w:t>
      </w:r>
      <w:proofErr w:type="spellEnd"/>
      <w:r w:rsidRPr="002A7128">
        <w:rPr>
          <w:rFonts w:ascii="Calibri" w:hAnsi="Calibri" w:cs="Calibri"/>
        </w:rPr>
        <w:t xml:space="preserve"> for OVCAR-3 and OVCAR-8 respectively, and Cisplatin IC</w:t>
      </w:r>
      <w:r w:rsidRPr="002A7128">
        <w:rPr>
          <w:rFonts w:ascii="Calibri" w:hAnsi="Calibri" w:cs="Calibri"/>
          <w:vertAlign w:val="subscript"/>
        </w:rPr>
        <w:t>50</w:t>
      </w:r>
      <w:r w:rsidRPr="002A7128">
        <w:rPr>
          <w:rFonts w:ascii="Calibri" w:hAnsi="Calibri" w:cs="Calibri"/>
        </w:rPr>
        <w:t xml:space="preserve"> values of 4.975 </w:t>
      </w:r>
      <w:r w:rsidRPr="00FD1007">
        <w:rPr>
          <w:rFonts w:ascii="Symbol" w:hAnsi="Symbol" w:cs="Calibri"/>
        </w:rPr>
        <w:t></w:t>
      </w:r>
      <w:r w:rsidRPr="002A7128">
        <w:rPr>
          <w:rFonts w:ascii="Calibri" w:hAnsi="Calibri" w:cs="Calibri"/>
        </w:rPr>
        <w:t xml:space="preserve">M and 11.397 </w:t>
      </w:r>
      <w:r w:rsidRPr="00FD1007">
        <w:rPr>
          <w:rFonts w:ascii="Symbol" w:hAnsi="Symbol" w:cs="Calibri"/>
        </w:rPr>
        <w:t></w:t>
      </w:r>
      <w:r w:rsidRPr="002A7128">
        <w:rPr>
          <w:rFonts w:ascii="Calibri" w:hAnsi="Calibri" w:cs="Calibri"/>
        </w:rPr>
        <w:t xml:space="preserve">M for OVCAR-3 and OVCAR-8 respectively, in agreement with previously published values </w:t>
      </w:r>
      <w:r w:rsidRPr="002A7128">
        <w:rPr>
          <w:rFonts w:ascii="Calibri" w:hAnsi="Calibri" w:cs="Calibri"/>
          <w:b/>
          <w:bCs/>
        </w:rPr>
        <w:t>(</w:t>
      </w:r>
      <w:r w:rsidR="00A97EAC" w:rsidRPr="002A7128">
        <w:rPr>
          <w:rFonts w:ascii="Calibri" w:hAnsi="Calibri" w:cs="Calibri"/>
          <w:b/>
          <w:bCs/>
        </w:rPr>
        <w:fldChar w:fldCharType="begin"/>
      </w:r>
      <w:r w:rsidR="00A97EAC" w:rsidRPr="002A7128">
        <w:rPr>
          <w:rFonts w:ascii="Calibri" w:hAnsi="Calibri" w:cs="Calibri"/>
          <w:b/>
          <w:bCs/>
        </w:rPr>
        <w:instrText xml:space="preserve"> REF _Ref103519788  \* MERGEFORMAT </w:instrText>
      </w:r>
      <w:r w:rsidR="00A97EAC"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29</w:t>
      </w:r>
      <w:r w:rsidR="00A97EAC" w:rsidRPr="002A7128">
        <w:rPr>
          <w:rFonts w:ascii="Calibri" w:hAnsi="Calibri" w:cs="Calibri"/>
          <w:b/>
          <w:bCs/>
        </w:rPr>
        <w:fldChar w:fldCharType="end"/>
      </w:r>
      <w:r w:rsidRPr="002A7128">
        <w:rPr>
          <w:rFonts w:ascii="Calibri" w:hAnsi="Calibri" w:cs="Calibri"/>
          <w:b/>
          <w:bCs/>
        </w:rPr>
        <w:t>)</w:t>
      </w:r>
      <w:r w:rsidRPr="002A7128">
        <w:rPr>
          <w:rFonts w:ascii="Calibri" w:hAnsi="Calibri" w:cs="Calibri"/>
        </w:rPr>
        <w:t xml:space="preserve">. </w:t>
      </w:r>
    </w:p>
    <w:p w14:paraId="52C02A7E" w14:textId="77777777" w:rsidR="00A97EAC" w:rsidRPr="002A7128" w:rsidRDefault="00A97EAC"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434EE9B9" wp14:editId="759B3974">
            <wp:extent cx="5943600" cy="2310765"/>
            <wp:effectExtent l="0" t="0" r="0" b="635"/>
            <wp:docPr id="8" name="Picture 8" descr="A picture containing light, monitor, dark,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nolayer viability.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2310765"/>
                    </a:xfrm>
                    <a:prstGeom prst="rect">
                      <a:avLst/>
                    </a:prstGeom>
                  </pic:spPr>
                </pic:pic>
              </a:graphicData>
            </a:graphic>
          </wp:inline>
        </w:drawing>
      </w:r>
    </w:p>
    <w:p w14:paraId="233E8597" w14:textId="17FAF139" w:rsidR="00A97EAC" w:rsidRPr="003C420A" w:rsidRDefault="00A97EAC" w:rsidP="003C420A">
      <w:pPr>
        <w:pStyle w:val="Caption"/>
        <w:spacing w:line="480" w:lineRule="auto"/>
        <w:jc w:val="both"/>
        <w:rPr>
          <w:rFonts w:ascii="Calibri" w:hAnsi="Calibri" w:cs="Calibri"/>
          <w:sz w:val="24"/>
          <w:szCs w:val="24"/>
        </w:rPr>
      </w:pPr>
      <w:bookmarkStart w:id="172" w:name="_Ref103519788"/>
      <w:bookmarkStart w:id="173" w:name="_Toc120789447"/>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29</w:t>
      </w:r>
      <w:r w:rsidRPr="002A7128">
        <w:rPr>
          <w:rFonts w:ascii="Calibri" w:hAnsi="Calibri" w:cs="Calibri"/>
          <w:b/>
          <w:bCs/>
          <w:i w:val="0"/>
          <w:iCs w:val="0"/>
          <w:color w:val="000000" w:themeColor="text1"/>
          <w:sz w:val="24"/>
          <w:szCs w:val="24"/>
        </w:rPr>
        <w:fldChar w:fldCharType="end"/>
      </w:r>
      <w:bookmarkEnd w:id="172"/>
      <w:r w:rsidRPr="002A7128">
        <w:rPr>
          <w:rFonts w:ascii="Calibri" w:hAnsi="Calibri" w:cs="Calibri"/>
          <w:b/>
          <w:bCs/>
          <w:i w:val="0"/>
          <w:iCs w:val="0"/>
          <w:color w:val="000000" w:themeColor="text1"/>
          <w:sz w:val="24"/>
          <w:szCs w:val="24"/>
        </w:rPr>
        <w:t xml:space="preserve"> Taxol and Cisplatin treatment of OVCAR-3 and OVCAR-8 monolayers for 48h.</w:t>
      </w:r>
      <w:r w:rsidRPr="002A7128">
        <w:rPr>
          <w:rFonts w:ascii="Calibri" w:hAnsi="Calibri" w:cs="Calibri"/>
          <w:i w:val="0"/>
          <w:iCs w:val="0"/>
          <w:color w:val="000000" w:themeColor="text1"/>
          <w:sz w:val="24"/>
          <w:szCs w:val="24"/>
        </w:rPr>
        <w:t xml:space="preserve"> Cytotoxicity of Taxol and Cisplatin at various concentrations were analyzed by using </w:t>
      </w:r>
      <w:proofErr w:type="spellStart"/>
      <w:r w:rsidRPr="002A7128">
        <w:rPr>
          <w:rFonts w:ascii="Calibri" w:hAnsi="Calibri" w:cs="Calibri"/>
          <w:i w:val="0"/>
          <w:iCs w:val="0"/>
          <w:color w:val="000000" w:themeColor="text1"/>
          <w:sz w:val="24"/>
          <w:szCs w:val="24"/>
        </w:rPr>
        <w:t>Alamar</w:t>
      </w:r>
      <w:proofErr w:type="spellEnd"/>
      <w:r w:rsidRPr="002A7128">
        <w:rPr>
          <w:rFonts w:ascii="Calibri" w:hAnsi="Calibri" w:cs="Calibri"/>
          <w:i w:val="0"/>
          <w:iCs w:val="0"/>
          <w:color w:val="000000" w:themeColor="text1"/>
          <w:sz w:val="24"/>
          <w:szCs w:val="24"/>
        </w:rPr>
        <w:t xml:space="preserve"> Blue at 48h.</w:t>
      </w:r>
      <w:bookmarkEnd w:id="173"/>
      <w:r w:rsidRPr="002A7128">
        <w:rPr>
          <w:rFonts w:ascii="Calibri" w:hAnsi="Calibri" w:cs="Calibri"/>
          <w:i w:val="0"/>
          <w:iCs w:val="0"/>
          <w:color w:val="000000" w:themeColor="text1"/>
          <w:sz w:val="24"/>
          <w:szCs w:val="24"/>
        </w:rPr>
        <w:t xml:space="preserve">  </w:t>
      </w:r>
    </w:p>
    <w:p w14:paraId="33A2BEE9" w14:textId="01B127B4" w:rsidR="000711C0" w:rsidRPr="002A7128" w:rsidRDefault="000711C0" w:rsidP="00F675B4">
      <w:pPr>
        <w:spacing w:line="480" w:lineRule="auto"/>
        <w:jc w:val="both"/>
        <w:rPr>
          <w:rFonts w:ascii="Calibri" w:hAnsi="Calibri" w:cs="Calibri"/>
        </w:rPr>
      </w:pPr>
      <w:r w:rsidRPr="002A7128">
        <w:rPr>
          <w:rFonts w:ascii="Calibri" w:hAnsi="Calibri" w:cs="Calibri"/>
        </w:rPr>
        <w:t xml:space="preserve">The sizes we observed for OVCAR-3 loose aggregate spheroids ranged from 120 </w:t>
      </w:r>
      <w:r w:rsidRPr="00FD1007">
        <w:rPr>
          <w:rFonts w:ascii="Symbol" w:hAnsi="Symbol" w:cs="Calibri"/>
        </w:rPr>
        <w:t></w:t>
      </w:r>
      <w:r w:rsidRPr="002A7128">
        <w:rPr>
          <w:rFonts w:ascii="Calibri" w:hAnsi="Calibri" w:cs="Calibri"/>
        </w:rPr>
        <w:t xml:space="preserve">m (for the initiating cell number of 50) to 260 </w:t>
      </w:r>
      <w:r w:rsidRPr="00FD1007">
        <w:rPr>
          <w:rFonts w:ascii="Symbol" w:hAnsi="Symbol" w:cs="Calibri"/>
        </w:rPr>
        <w:t></w:t>
      </w:r>
      <w:r w:rsidRPr="002A7128">
        <w:rPr>
          <w:rFonts w:ascii="Calibri" w:hAnsi="Calibri" w:cs="Calibri"/>
        </w:rPr>
        <w:t xml:space="preserve">m (for the initiating cell number of 500) on day 6. However, for OVCAR-8, we observed the formation of compact spheroids reaching the average diameter of 160 </w:t>
      </w:r>
      <w:r w:rsidRPr="00FD1007">
        <w:rPr>
          <w:rFonts w:ascii="Symbol" w:hAnsi="Symbol" w:cs="Calibri"/>
        </w:rPr>
        <w:t></w:t>
      </w:r>
      <w:r w:rsidRPr="002A7128">
        <w:rPr>
          <w:rFonts w:ascii="Calibri" w:hAnsi="Calibri" w:cs="Calibri"/>
        </w:rPr>
        <w:t xml:space="preserve">m on day 6 regardless of the initiating cell numbers. Because the sizes of the spheroids found in patient-derived ascites can reach up to 750 </w:t>
      </w:r>
      <w:r w:rsidRPr="00FD1007">
        <w:rPr>
          <w:rFonts w:ascii="Symbol" w:hAnsi="Symbol" w:cs="Calibri"/>
        </w:rPr>
        <w:t></w:t>
      </w:r>
      <w:r w:rsidRPr="002A7128">
        <w:rPr>
          <w:rFonts w:ascii="Calibri" w:hAnsi="Calibri" w:cs="Calibri"/>
        </w:rPr>
        <w:t>m</w:t>
      </w:r>
      <w:r w:rsidRPr="002A7128">
        <w:rPr>
          <w:rFonts w:ascii="Calibri" w:hAnsi="Calibri" w:cs="Calibri"/>
        </w:rPr>
        <w:fldChar w:fldCharType="begin"/>
      </w:r>
      <w:r w:rsidR="00317E7D" w:rsidRPr="002A7128">
        <w:rPr>
          <w:rFonts w:ascii="Calibri" w:hAnsi="Calibri" w:cs="Calibri"/>
        </w:rPr>
        <w:instrText xml:space="preserve"> ADDIN ZOTERO_ITEM CSL_CITATION {"citationID":"gg31JDgM","properties":{"formattedCitation":"\\super 297\\nosupersub{}","plainCitation":"297","noteIndex":0},"citationItems":[{"id":"wiida5Bo/D9z147K9","uris":["http://zotero.org/users/local/91fNc9yk/items/A3W6SIU2"],"itemData":{"id":77,"type":"article-journal","abstract":"Ovarian carcinoma multicellular spheroids are an in vitro model of micrometastasis whose adhesive abilities have not been elucidated. In this study, we identified adhesion molecules that mediate the formation of ovarian carcinoma spheroids and their subsequent adhesion to extracellular matrix proteins. The NIH:OVCAR5, but not the SKOV3, ovarian carcinoma cell line formed spheroids similar to multicellular aggregates isolated from patient ascitic fluid. NIH:OVCAR5 spheroid formation was augmented by a beta 1-integrin-stimulating monoclonal antibody or exogenous fibronectin, but was inhibited by blocking monoclonal antibodies against the alpha 5- or beta 1-integrin subunits. By immunohistochemical staining, alpha 2-, alpha 3-, alpha 5-, alpha 6-, and beta 1-integrin subunits, CD44, and fibronectin were detected in NIH:OVCAR5 spheroids. NIH:OVCAR5 spheroids adhered to fibronectin, laminin, and type IV collagen, and this adhesion was partially inhibited by blocking antibodies against the alpha 5-, alpha 6-, and alpha 2-integrin subunits, respectively. A blocking monoclonal antibody against the beta 1-integrin subunit completely inhibited adhesion of the spheroids to all three proteins. These results suggest that interactions between the alpha 5 beta 1-integrin and fibronectin mediate the formation of ovarian carcinoma spheroids and that their adhesion to extracellular matrix proteins at sites of secondary tumor growth may be mediated by a complex interaction between multiple integrins and their ligands.","container-title":"The American Journal of Pathology","DOI":"10.1016/s0002-9440(10)63058-1","ISSN":"0002-9440","issue":"6","journalAbbreviation":"Am. J. Pathol.","language":"eng","note":"PMID: 11733357\nPMCID: PMC1850600","page":"2071-2080","source":"PubMed","title":"Beta 1-integrins regulate the formation and adhesion of ovarian carcinoma multicellular spheroids","volume":"159","author":[{"family":"Casey","given":"R. C."},{"family":"Burleson","given":"K. M."},{"family":"Skubitz","given":"K. M."},{"family":"Pambuccian","given":"S. E."},{"family":"Oegema","given":"T. R."},{"family":"Ruff","given":"L. E."},{"family":"Skubitz","given":"A. P."}],"issued":{"date-parts":[["2001",12]]}}}],"schema":"https://github.com/citation-style-language/schema/raw/master/csl-citation.json"}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297</w:t>
      </w:r>
      <w:r w:rsidRPr="002A7128">
        <w:rPr>
          <w:rFonts w:ascii="Calibri" w:hAnsi="Calibri" w:cs="Calibri"/>
        </w:rPr>
        <w:fldChar w:fldCharType="end"/>
      </w:r>
      <w:r w:rsidRPr="002A7128">
        <w:rPr>
          <w:rFonts w:ascii="Calibri" w:hAnsi="Calibri" w:cs="Calibri"/>
        </w:rPr>
        <w:t xml:space="preserve">, to target similar sizes we also introduced spheroids with the initiation cell number of 5000. The spheroids with the initiation cell number of 5000 showed a similar trend in shape to the ones prepared with 50 </w:t>
      </w:r>
      <w:r w:rsidR="003C420A" w:rsidRPr="002A7128">
        <w:rPr>
          <w:rFonts w:ascii="Calibri" w:hAnsi="Calibri" w:cs="Calibri"/>
        </w:rPr>
        <w:t>cells:</w:t>
      </w:r>
      <w:r w:rsidRPr="002A7128">
        <w:rPr>
          <w:rFonts w:ascii="Calibri" w:hAnsi="Calibri" w:cs="Calibri"/>
        </w:rPr>
        <w:t xml:space="preserve"> loose aggregates for OVCAR-3 with an average diameter of 600 </w:t>
      </w:r>
      <w:r w:rsidRPr="00FD1007">
        <w:rPr>
          <w:rFonts w:ascii="Symbol" w:hAnsi="Symbol" w:cs="Calibri"/>
        </w:rPr>
        <w:t></w:t>
      </w:r>
      <w:r w:rsidRPr="002A7128">
        <w:rPr>
          <w:rFonts w:ascii="Calibri" w:hAnsi="Calibri" w:cs="Calibri"/>
        </w:rPr>
        <w:t>m and compact spheroids for OVCAR-8 with an average diameter of 750</w:t>
      </w:r>
      <w:r w:rsidRPr="00FD1007">
        <w:rPr>
          <w:rFonts w:ascii="Symbol" w:hAnsi="Symbol" w:cs="Calibri"/>
        </w:rPr>
        <w:t xml:space="preserve"> </w:t>
      </w:r>
      <w:r w:rsidRPr="00FD1007">
        <w:rPr>
          <w:rFonts w:ascii="Symbol" w:hAnsi="Symbol" w:cs="Calibri"/>
        </w:rPr>
        <w:t></w:t>
      </w:r>
      <w:r w:rsidRPr="002A7128">
        <w:rPr>
          <w:rFonts w:ascii="Calibri" w:hAnsi="Calibri" w:cs="Calibri"/>
        </w:rPr>
        <w:t xml:space="preserve">m </w:t>
      </w:r>
      <w:r w:rsidRPr="002A7128">
        <w:rPr>
          <w:rFonts w:ascii="Calibri" w:hAnsi="Calibri" w:cs="Calibri"/>
          <w:b/>
          <w:bCs/>
        </w:rPr>
        <w:t>(</w:t>
      </w:r>
      <w:r w:rsidR="00A97EAC" w:rsidRPr="002A7128">
        <w:rPr>
          <w:rFonts w:ascii="Calibri" w:hAnsi="Calibri" w:cs="Calibri"/>
          <w:b/>
          <w:bCs/>
        </w:rPr>
        <w:fldChar w:fldCharType="begin"/>
      </w:r>
      <w:r w:rsidR="00A97EAC" w:rsidRPr="002A7128">
        <w:rPr>
          <w:rFonts w:ascii="Calibri" w:hAnsi="Calibri" w:cs="Calibri"/>
          <w:b/>
          <w:bCs/>
        </w:rPr>
        <w:instrText xml:space="preserve"> REF _Ref103519901  \* MERGEFORMAT </w:instrText>
      </w:r>
      <w:r w:rsidR="00A97EAC"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30</w:t>
      </w:r>
      <w:r w:rsidR="00A97EAC" w:rsidRPr="002A7128">
        <w:rPr>
          <w:rFonts w:ascii="Calibri" w:hAnsi="Calibri" w:cs="Calibri"/>
          <w:b/>
          <w:bCs/>
        </w:rPr>
        <w:fldChar w:fldCharType="end"/>
      </w:r>
      <w:r w:rsidRPr="002A7128">
        <w:rPr>
          <w:rFonts w:ascii="Calibri" w:hAnsi="Calibri" w:cs="Calibri"/>
          <w:b/>
          <w:bCs/>
        </w:rPr>
        <w:t>).</w:t>
      </w:r>
      <w:r w:rsidRPr="002A7128">
        <w:rPr>
          <w:rFonts w:ascii="Calibri" w:hAnsi="Calibri" w:cs="Calibri"/>
        </w:rPr>
        <w:t xml:space="preserve"> </w:t>
      </w:r>
    </w:p>
    <w:p w14:paraId="22992336" w14:textId="77777777" w:rsidR="00A97EAC" w:rsidRPr="002A7128" w:rsidRDefault="00A97EAC"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5BC5BFB3" wp14:editId="73AD59A0">
            <wp:extent cx="5943600" cy="2649892"/>
            <wp:effectExtent l="0" t="0" r="0" b="0"/>
            <wp:docPr id="9" name="Picture 9" descr="A picture containing object, photo, clock,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arge spheroid quantification.png"/>
                    <pic:cNvPicPr/>
                  </pic:nvPicPr>
                  <pic:blipFill rotWithShape="1">
                    <a:blip r:embed="rId39" cstate="print">
                      <a:extLst>
                        <a:ext uri="{28A0092B-C50C-407E-A947-70E740481C1C}">
                          <a14:useLocalDpi xmlns:a14="http://schemas.microsoft.com/office/drawing/2010/main" val="0"/>
                        </a:ext>
                      </a:extLst>
                    </a:blip>
                    <a:srcRect l="10651" b="12745"/>
                    <a:stretch/>
                  </pic:blipFill>
                  <pic:spPr bwMode="auto">
                    <a:xfrm>
                      <a:off x="0" y="0"/>
                      <a:ext cx="5943600" cy="2649892"/>
                    </a:xfrm>
                    <a:prstGeom prst="rect">
                      <a:avLst/>
                    </a:prstGeom>
                    <a:ln>
                      <a:noFill/>
                    </a:ln>
                    <a:extLst>
                      <a:ext uri="{53640926-AAD7-44D8-BBD7-CCE9431645EC}">
                        <a14:shadowObscured xmlns:a14="http://schemas.microsoft.com/office/drawing/2010/main"/>
                      </a:ext>
                    </a:extLst>
                  </pic:spPr>
                </pic:pic>
              </a:graphicData>
            </a:graphic>
          </wp:inline>
        </w:drawing>
      </w:r>
    </w:p>
    <w:p w14:paraId="2A3CA3BA" w14:textId="044CE4D5" w:rsidR="00A97EAC" w:rsidRPr="003C420A" w:rsidRDefault="00A97EAC" w:rsidP="003C420A">
      <w:pPr>
        <w:pStyle w:val="Caption"/>
        <w:spacing w:line="480" w:lineRule="auto"/>
        <w:jc w:val="both"/>
        <w:rPr>
          <w:rFonts w:ascii="Calibri" w:hAnsi="Calibri" w:cs="Calibri"/>
          <w:sz w:val="24"/>
          <w:szCs w:val="24"/>
        </w:rPr>
      </w:pPr>
      <w:bookmarkStart w:id="174" w:name="_Ref103519901"/>
      <w:bookmarkStart w:id="175" w:name="_Toc120789448"/>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30</w:t>
      </w:r>
      <w:r w:rsidRPr="002A7128">
        <w:rPr>
          <w:rFonts w:ascii="Calibri" w:hAnsi="Calibri" w:cs="Calibri"/>
          <w:b/>
          <w:bCs/>
          <w:i w:val="0"/>
          <w:iCs w:val="0"/>
          <w:color w:val="000000" w:themeColor="text1"/>
          <w:sz w:val="24"/>
          <w:szCs w:val="24"/>
        </w:rPr>
        <w:fldChar w:fldCharType="end"/>
      </w:r>
      <w:bookmarkEnd w:id="174"/>
      <w:r w:rsidRPr="002A7128">
        <w:rPr>
          <w:rFonts w:ascii="Calibri" w:hAnsi="Calibri" w:cs="Calibri"/>
          <w:b/>
          <w:bCs/>
          <w:i w:val="0"/>
          <w:iCs w:val="0"/>
          <w:color w:val="000000" w:themeColor="text1"/>
          <w:sz w:val="24"/>
          <w:szCs w:val="24"/>
        </w:rPr>
        <w:t xml:space="preserve"> Size analysis of large OVCAR-3 and OVCAR-8 spheroids.</w:t>
      </w:r>
      <w:r w:rsidRPr="002A7128">
        <w:rPr>
          <w:rFonts w:ascii="Calibri" w:hAnsi="Calibri" w:cs="Calibri"/>
          <w:i w:val="0"/>
          <w:iCs w:val="0"/>
          <w:color w:val="000000" w:themeColor="text1"/>
          <w:sz w:val="24"/>
          <w:szCs w:val="24"/>
        </w:rPr>
        <w:t xml:space="preserve"> OVCAR-3 and OVCAR-8 spheroids were initiated with 5000 cells in U-bottom 96 well plates and monitored for 6 days. Scale bar is 250 </w:t>
      </w:r>
      <w:r w:rsidRPr="00FD1007">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m. 10 spheroids were analyzed.</w:t>
      </w:r>
      <w:bookmarkEnd w:id="175"/>
    </w:p>
    <w:p w14:paraId="0582D26E" w14:textId="1C76F36B" w:rsidR="000711C0" w:rsidRPr="002A7128" w:rsidRDefault="000711C0" w:rsidP="00F675B4">
      <w:pPr>
        <w:spacing w:line="480" w:lineRule="auto"/>
        <w:jc w:val="both"/>
        <w:rPr>
          <w:rFonts w:ascii="Calibri" w:hAnsi="Calibri" w:cs="Calibri"/>
        </w:rPr>
      </w:pPr>
      <w:r w:rsidRPr="002A7128">
        <w:rPr>
          <w:rFonts w:ascii="Calibri" w:hAnsi="Calibri" w:cs="Calibri"/>
        </w:rPr>
        <w:t xml:space="preserve">Similar to the monolayer protocol, we carried out a cytotoxicity assay by treating OVCAR-3 and OVCAR-8 spheroids with Taxol and Cisplatin separately, for 72h. All spheroids showed much increased resistance to Taxol treatment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_Ref103519971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31</w:t>
      </w:r>
      <w:r w:rsidR="007266EB" w:rsidRPr="002A7128">
        <w:rPr>
          <w:rFonts w:ascii="Calibri" w:hAnsi="Calibri" w:cs="Calibri"/>
          <w:b/>
          <w:bCs/>
        </w:rPr>
        <w:fldChar w:fldCharType="end"/>
      </w:r>
      <w:r w:rsidR="007266EB" w:rsidRPr="002A7128">
        <w:rPr>
          <w:rFonts w:ascii="Calibri" w:hAnsi="Calibri" w:cs="Calibri"/>
          <w:b/>
          <w:bCs/>
        </w:rPr>
        <w:t>A and 11B</w:t>
      </w:r>
      <w:r w:rsidRPr="002A7128">
        <w:rPr>
          <w:rFonts w:ascii="Calibri" w:hAnsi="Calibri" w:cs="Calibri"/>
          <w:b/>
          <w:bCs/>
        </w:rPr>
        <w:t>)</w:t>
      </w:r>
      <w:r w:rsidRPr="002A7128">
        <w:rPr>
          <w:rFonts w:ascii="Calibri" w:hAnsi="Calibri" w:cs="Calibri"/>
          <w:bCs/>
        </w:rPr>
        <w:t>.</w:t>
      </w:r>
      <w:r w:rsidRPr="002A7128">
        <w:rPr>
          <w:rFonts w:ascii="Calibri" w:hAnsi="Calibri" w:cs="Calibri"/>
        </w:rPr>
        <w:t xml:space="preserve"> Given Taxol’s nanomolar IC</w:t>
      </w:r>
      <w:r w:rsidRPr="002A7128">
        <w:rPr>
          <w:rFonts w:ascii="Calibri" w:hAnsi="Calibri" w:cs="Calibri"/>
          <w:vertAlign w:val="subscript"/>
        </w:rPr>
        <w:t>50</w:t>
      </w:r>
      <w:r w:rsidRPr="002A7128">
        <w:rPr>
          <w:rFonts w:ascii="Calibri" w:hAnsi="Calibri" w:cs="Calibri"/>
        </w:rPr>
        <w:t xml:space="preserve"> value in monolayer cell culture experiments, we interpret this result as high drug resistance upon spheroid formation. Cisplatin showed toxicity only in concentrations higher than 1 </w:t>
      </w:r>
      <w:r w:rsidRPr="00FD1007">
        <w:rPr>
          <w:rFonts w:ascii="Symbol" w:hAnsi="Symbol" w:cs="Calibri"/>
        </w:rPr>
        <w:t></w:t>
      </w:r>
      <w:r w:rsidRPr="002A7128">
        <w:rPr>
          <w:rFonts w:ascii="Calibri" w:hAnsi="Calibri" w:cs="Calibri"/>
        </w:rPr>
        <w:t xml:space="preserve">M in both cell lines in 72 hours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_Ref103519971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31</w:t>
      </w:r>
      <w:r w:rsidR="007266EB" w:rsidRPr="002A7128">
        <w:rPr>
          <w:rFonts w:ascii="Calibri" w:hAnsi="Calibri" w:cs="Calibri"/>
          <w:b/>
          <w:bCs/>
        </w:rPr>
        <w:fldChar w:fldCharType="end"/>
      </w:r>
      <w:r w:rsidR="007266EB" w:rsidRPr="002A7128">
        <w:rPr>
          <w:rFonts w:ascii="Calibri" w:hAnsi="Calibri" w:cs="Calibri"/>
          <w:b/>
          <w:bCs/>
        </w:rPr>
        <w:t>C and 11D</w:t>
      </w:r>
      <w:r w:rsidRPr="002A7128">
        <w:rPr>
          <w:rFonts w:ascii="Calibri" w:hAnsi="Calibri" w:cs="Calibri"/>
          <w:b/>
          <w:bCs/>
        </w:rPr>
        <w:t>)</w:t>
      </w:r>
      <w:r w:rsidRPr="002A7128">
        <w:rPr>
          <w:rFonts w:ascii="Calibri" w:hAnsi="Calibri" w:cs="Calibri"/>
        </w:rPr>
        <w:t xml:space="preserve"> and the sensitivity of the spheroids were similar in range to their monolayer counterparts. Similar trend was observed also in 48 hours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_Ref103520130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32</w:t>
      </w:r>
      <w:r w:rsidR="007266EB" w:rsidRPr="002A7128">
        <w:rPr>
          <w:rFonts w:ascii="Calibri" w:hAnsi="Calibri" w:cs="Calibri"/>
          <w:b/>
          <w:bCs/>
        </w:rPr>
        <w:fldChar w:fldCharType="end"/>
      </w:r>
      <w:r w:rsidRPr="002A7128">
        <w:rPr>
          <w:rFonts w:ascii="Calibri" w:hAnsi="Calibri" w:cs="Calibri"/>
          <w:b/>
          <w:bCs/>
        </w:rPr>
        <w:t>)</w:t>
      </w:r>
      <w:r w:rsidRPr="002A7128">
        <w:rPr>
          <w:rFonts w:ascii="Calibri" w:hAnsi="Calibri" w:cs="Calibri"/>
        </w:rPr>
        <w:t xml:space="preserve">. Size and shape of the spheroids did not have significant effects on the cytotoxicity of Cisplatin, however, increased spheroid size resulted in some level of increased resistance in large spheroids (5000). </w:t>
      </w:r>
    </w:p>
    <w:p w14:paraId="71304320" w14:textId="77777777" w:rsidR="007266EB" w:rsidRPr="002A7128" w:rsidRDefault="007266EB" w:rsidP="00F675B4">
      <w:pPr>
        <w:spacing w:line="480" w:lineRule="auto"/>
        <w:jc w:val="both"/>
        <w:rPr>
          <w:rFonts w:ascii="Calibri" w:hAnsi="Calibri" w:cs="Calibri"/>
        </w:rPr>
      </w:pPr>
      <w:r w:rsidRPr="002A7128">
        <w:rPr>
          <w:rFonts w:ascii="Calibri" w:hAnsi="Calibri" w:cs="Calibri"/>
          <w:noProof/>
        </w:rPr>
        <w:lastRenderedPageBreak/>
        <w:drawing>
          <wp:inline distT="0" distB="0" distL="0" distR="0" wp14:anchorId="0DF0C114" wp14:editId="682BDFD9">
            <wp:extent cx="5943600" cy="2329815"/>
            <wp:effectExtent l="0" t="0" r="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2329815"/>
                    </a:xfrm>
                    <a:prstGeom prst="rect">
                      <a:avLst/>
                    </a:prstGeom>
                  </pic:spPr>
                </pic:pic>
              </a:graphicData>
            </a:graphic>
          </wp:inline>
        </w:drawing>
      </w:r>
    </w:p>
    <w:p w14:paraId="46922F60" w14:textId="65550BE5" w:rsidR="007266EB" w:rsidRPr="00C62AA6" w:rsidRDefault="007266EB" w:rsidP="00C62AA6">
      <w:pPr>
        <w:pStyle w:val="Caption"/>
        <w:spacing w:line="480" w:lineRule="auto"/>
        <w:jc w:val="both"/>
        <w:rPr>
          <w:rFonts w:ascii="Calibri" w:eastAsia="Times New Roman" w:hAnsi="Calibri" w:cs="Calibri"/>
          <w:i w:val="0"/>
          <w:iCs w:val="0"/>
          <w:sz w:val="24"/>
          <w:szCs w:val="24"/>
        </w:rPr>
      </w:pPr>
      <w:bookmarkStart w:id="176" w:name="_Ref103519971"/>
      <w:bookmarkStart w:id="177" w:name="_Toc120789449"/>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31</w:t>
      </w:r>
      <w:r w:rsidRPr="002A7128">
        <w:rPr>
          <w:rFonts w:ascii="Calibri" w:hAnsi="Calibri" w:cs="Calibri"/>
          <w:b/>
          <w:bCs/>
          <w:i w:val="0"/>
          <w:iCs w:val="0"/>
          <w:color w:val="000000" w:themeColor="text1"/>
          <w:sz w:val="24"/>
          <w:szCs w:val="24"/>
        </w:rPr>
        <w:fldChar w:fldCharType="end"/>
      </w:r>
      <w:bookmarkEnd w:id="176"/>
      <w:r w:rsidRPr="002A7128">
        <w:rPr>
          <w:rFonts w:ascii="Calibri" w:hAnsi="Calibri" w:cs="Calibri"/>
          <w:b/>
          <w:bCs/>
          <w:i w:val="0"/>
          <w:iCs w:val="0"/>
          <w:color w:val="000000" w:themeColor="text1"/>
          <w:sz w:val="24"/>
          <w:szCs w:val="24"/>
        </w:rPr>
        <w:t xml:space="preserve">. Effect of Taxol and Cisplatin treatment for 72 h on the viability and morphology of the EOC spheroids. </w:t>
      </w:r>
      <w:r w:rsidRPr="002A7128">
        <w:rPr>
          <w:rFonts w:ascii="Calibri" w:hAnsi="Calibri" w:cs="Calibri"/>
          <w:i w:val="0"/>
          <w:iCs w:val="0"/>
          <w:color w:val="000000" w:themeColor="text1"/>
          <w:sz w:val="24"/>
          <w:szCs w:val="24"/>
        </w:rPr>
        <w:t xml:space="preserve">(A-D) OVCAR-3 and OVCAR-8 spheroids with the initiation cell number of 50, 100, 200, 500 and 5000 were treated with different concentrations of Taxol and Cisplatin and at 72h viability was measured by CellTiter-Glo3D. Statistical analysis was done by 2-way ANOVA test </w:t>
      </w:r>
      <w:r w:rsidRPr="002A7128">
        <w:rPr>
          <w:rFonts w:ascii="Calibri" w:eastAsia="Times New Roman" w:hAnsi="Calibri" w:cs="Calibri"/>
          <w:i w:val="0"/>
          <w:iCs w:val="0"/>
          <w:color w:val="000000" w:themeColor="text1"/>
          <w:sz w:val="24"/>
          <w:szCs w:val="24"/>
        </w:rPr>
        <w:t>****</w:t>
      </w:r>
      <w:r w:rsidRPr="002A7128">
        <w:rPr>
          <w:rFonts w:ascii="Calibri" w:hAnsi="Calibri" w:cs="Calibri"/>
          <w:i w:val="0"/>
          <w:iCs w:val="0"/>
          <w:color w:val="000000" w:themeColor="text1"/>
          <w:sz w:val="24"/>
          <w:szCs w:val="24"/>
        </w:rPr>
        <w:t xml:space="preserve"> </w:t>
      </w:r>
      <w:r w:rsidRPr="002A7128">
        <w:rPr>
          <w:rFonts w:ascii="Calibri" w:eastAsia="Times New Roman" w:hAnsi="Calibri" w:cs="Calibri"/>
          <w:i w:val="0"/>
          <w:iCs w:val="0"/>
          <w:color w:val="000000" w:themeColor="text1"/>
          <w:sz w:val="24"/>
          <w:szCs w:val="24"/>
        </w:rPr>
        <w:t>p&lt;0.0001</w:t>
      </w:r>
      <w:proofErr w:type="gramStart"/>
      <w:r w:rsidRPr="002A7128">
        <w:rPr>
          <w:rFonts w:ascii="Calibri" w:eastAsia="Times New Roman" w:hAnsi="Calibri" w:cs="Calibri"/>
          <w:i w:val="0"/>
          <w:iCs w:val="0"/>
          <w:color w:val="000000" w:themeColor="text1"/>
          <w:sz w:val="24"/>
          <w:szCs w:val="24"/>
        </w:rPr>
        <w:t xml:space="preserve">, </w:t>
      </w:r>
      <w:r w:rsidRPr="002A7128">
        <w:rPr>
          <w:rFonts w:ascii="Calibri" w:hAnsi="Calibri" w:cs="Calibri"/>
          <w:i w:val="0"/>
          <w:iCs w:val="0"/>
          <w:color w:val="000000" w:themeColor="text1"/>
          <w:sz w:val="24"/>
          <w:szCs w:val="24"/>
        </w:rPr>
        <w:t xml:space="preserve"> </w:t>
      </w:r>
      <w:r w:rsidRPr="002A7128">
        <w:rPr>
          <w:rFonts w:ascii="Calibri" w:eastAsia="Times New Roman" w:hAnsi="Calibri" w:cs="Calibri"/>
          <w:i w:val="0"/>
          <w:iCs w:val="0"/>
          <w:color w:val="000000" w:themeColor="text1"/>
          <w:sz w:val="24"/>
          <w:szCs w:val="24"/>
        </w:rPr>
        <w:t>*</w:t>
      </w:r>
      <w:proofErr w:type="gramEnd"/>
      <w:r w:rsidRPr="002A7128">
        <w:rPr>
          <w:rFonts w:ascii="Calibri" w:eastAsia="Times New Roman" w:hAnsi="Calibri" w:cs="Calibri"/>
          <w:i w:val="0"/>
          <w:iCs w:val="0"/>
          <w:color w:val="000000" w:themeColor="text1"/>
          <w:sz w:val="24"/>
          <w:szCs w:val="24"/>
        </w:rPr>
        <w:t>** p&lt;0.001, ** p&lt;0.01, * p&lt;0.1</w:t>
      </w:r>
      <w:r w:rsidRPr="002A7128">
        <w:rPr>
          <w:rFonts w:ascii="Calibri" w:eastAsia="Times New Roman" w:hAnsi="Calibri" w:cs="Calibri"/>
          <w:i w:val="0"/>
          <w:iCs w:val="0"/>
          <w:sz w:val="24"/>
          <w:szCs w:val="24"/>
        </w:rPr>
        <w:t>.</w:t>
      </w:r>
      <w:bookmarkEnd w:id="177"/>
    </w:p>
    <w:p w14:paraId="06CF7B04" w14:textId="3346CD06" w:rsidR="000711C0" w:rsidRPr="002A7128" w:rsidRDefault="000711C0" w:rsidP="00F675B4">
      <w:pPr>
        <w:spacing w:line="480" w:lineRule="auto"/>
        <w:jc w:val="both"/>
        <w:rPr>
          <w:rFonts w:ascii="Calibri" w:hAnsi="Calibri" w:cs="Calibri"/>
        </w:rPr>
      </w:pPr>
      <w:r w:rsidRPr="002A7128">
        <w:rPr>
          <w:rFonts w:ascii="Calibri" w:hAnsi="Calibri" w:cs="Calibri"/>
        </w:rPr>
        <w:t xml:space="preserve">We looked at the changes in the structures of the spheroids in response to drug treatments under microscope at 48h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_Ref103520130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32</w:t>
      </w:r>
      <w:r w:rsidR="007266EB" w:rsidRPr="002A7128">
        <w:rPr>
          <w:rFonts w:ascii="Calibri" w:hAnsi="Calibri" w:cs="Calibri"/>
          <w:b/>
          <w:bCs/>
        </w:rPr>
        <w:fldChar w:fldCharType="end"/>
      </w:r>
      <w:r w:rsidR="007266EB" w:rsidRPr="002A7128">
        <w:rPr>
          <w:rFonts w:ascii="Calibri" w:hAnsi="Calibri" w:cs="Calibri"/>
          <w:b/>
          <w:bCs/>
        </w:rPr>
        <w:t>E-G</w:t>
      </w:r>
      <w:r w:rsidRPr="002A7128">
        <w:rPr>
          <w:rFonts w:ascii="Calibri" w:hAnsi="Calibri" w:cs="Calibri"/>
          <w:b/>
          <w:bCs/>
        </w:rPr>
        <w:t>)</w:t>
      </w:r>
      <w:r w:rsidRPr="002A7128">
        <w:rPr>
          <w:rFonts w:ascii="Calibri" w:hAnsi="Calibri" w:cs="Calibri"/>
        </w:rPr>
        <w:t xml:space="preserve">. Taxol treatment did not have strong impact on the morphology of OVCAR-3 and OVCAR-8 spheroids, and spheroids remained intact with few death cells shed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_Ref103520130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32</w:t>
      </w:r>
      <w:r w:rsidR="007266EB" w:rsidRPr="002A7128">
        <w:rPr>
          <w:rFonts w:ascii="Calibri" w:hAnsi="Calibri" w:cs="Calibri"/>
          <w:b/>
          <w:bCs/>
        </w:rPr>
        <w:fldChar w:fldCharType="end"/>
      </w:r>
      <w:r w:rsidR="007266EB" w:rsidRPr="002A7128">
        <w:rPr>
          <w:rFonts w:ascii="Calibri" w:hAnsi="Calibri" w:cs="Calibri"/>
          <w:b/>
          <w:bCs/>
        </w:rPr>
        <w:t>F</w:t>
      </w:r>
      <w:r w:rsidRPr="002A7128">
        <w:rPr>
          <w:rFonts w:ascii="Calibri" w:hAnsi="Calibri" w:cs="Calibri"/>
          <w:b/>
          <w:bCs/>
        </w:rPr>
        <w:t>)</w:t>
      </w:r>
      <w:r w:rsidRPr="002A7128">
        <w:rPr>
          <w:rFonts w:ascii="Calibri" w:hAnsi="Calibri" w:cs="Calibri"/>
        </w:rPr>
        <w:t xml:space="preserve">. However, even though ineffective at low concentrations (100 </w:t>
      </w:r>
      <w:proofErr w:type="spellStart"/>
      <w:r w:rsidRPr="002A7128">
        <w:rPr>
          <w:rFonts w:ascii="Calibri" w:hAnsi="Calibri" w:cs="Calibri"/>
        </w:rPr>
        <w:t>nM</w:t>
      </w:r>
      <w:proofErr w:type="spellEnd"/>
      <w:r w:rsidRPr="002A7128">
        <w:rPr>
          <w:rFonts w:ascii="Calibri" w:hAnsi="Calibri" w:cs="Calibri"/>
        </w:rPr>
        <w:t xml:space="preserve"> and 1</w:t>
      </w:r>
      <w:r w:rsidR="00FD1007">
        <w:rPr>
          <w:rFonts w:ascii="Calibri" w:hAnsi="Calibri" w:cs="Calibri"/>
        </w:rPr>
        <w:t xml:space="preserve"> </w:t>
      </w:r>
      <w:r w:rsidRPr="00FD1007">
        <w:rPr>
          <w:rFonts w:ascii="Symbol" w:hAnsi="Symbol" w:cs="Calibri"/>
        </w:rPr>
        <w:t></w:t>
      </w:r>
      <w:r w:rsidRPr="002A7128">
        <w:rPr>
          <w:rFonts w:ascii="Calibri" w:hAnsi="Calibri" w:cs="Calibri"/>
        </w:rPr>
        <w:t xml:space="preserve">M), Cisplatin significantly disrupted spheroid morphology 100 </w:t>
      </w:r>
      <w:r w:rsidRPr="00FD1007">
        <w:rPr>
          <w:rFonts w:ascii="Symbol" w:hAnsi="Symbol" w:cs="Calibri"/>
        </w:rPr>
        <w:t></w:t>
      </w:r>
      <w:r w:rsidRPr="002A7128">
        <w:rPr>
          <w:rFonts w:ascii="Calibri" w:hAnsi="Calibri" w:cs="Calibri"/>
        </w:rPr>
        <w:t xml:space="preserve">M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_Ref103520130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32</w:t>
      </w:r>
      <w:r w:rsidR="007266EB" w:rsidRPr="002A7128">
        <w:rPr>
          <w:rFonts w:ascii="Calibri" w:hAnsi="Calibri" w:cs="Calibri"/>
          <w:b/>
          <w:bCs/>
        </w:rPr>
        <w:fldChar w:fldCharType="end"/>
      </w:r>
      <w:r w:rsidR="007266EB" w:rsidRPr="002A7128">
        <w:rPr>
          <w:rFonts w:ascii="Calibri" w:hAnsi="Calibri" w:cs="Calibri"/>
          <w:b/>
          <w:bCs/>
        </w:rPr>
        <w:t>G</w:t>
      </w:r>
      <w:r w:rsidRPr="002A7128">
        <w:rPr>
          <w:rFonts w:ascii="Calibri" w:hAnsi="Calibri" w:cs="Calibri"/>
          <w:b/>
          <w:bCs/>
        </w:rPr>
        <w:t>)</w:t>
      </w:r>
      <w:r w:rsidRPr="002A7128">
        <w:rPr>
          <w:rFonts w:ascii="Calibri" w:hAnsi="Calibri" w:cs="Calibri"/>
        </w:rPr>
        <w:t xml:space="preserve">. </w:t>
      </w:r>
    </w:p>
    <w:p w14:paraId="60AEECA4" w14:textId="77777777" w:rsidR="000711C0" w:rsidRPr="002A7128" w:rsidRDefault="000711C0" w:rsidP="00F675B4">
      <w:pPr>
        <w:spacing w:line="480" w:lineRule="auto"/>
        <w:jc w:val="both"/>
        <w:rPr>
          <w:rFonts w:ascii="Calibri" w:hAnsi="Calibri" w:cs="Calibri"/>
        </w:rPr>
      </w:pPr>
    </w:p>
    <w:p w14:paraId="1AC42DE3" w14:textId="77777777" w:rsidR="000711C0" w:rsidRPr="002A7128" w:rsidRDefault="000711C0" w:rsidP="00F675B4">
      <w:pPr>
        <w:spacing w:line="480" w:lineRule="auto"/>
        <w:jc w:val="both"/>
        <w:rPr>
          <w:rFonts w:ascii="Calibri" w:hAnsi="Calibri" w:cs="Calibri"/>
        </w:rPr>
      </w:pPr>
    </w:p>
    <w:p w14:paraId="1617A6FD" w14:textId="77777777" w:rsidR="007266EB" w:rsidRPr="002A7128" w:rsidRDefault="007266EB"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314A3032" wp14:editId="01FD0581">
            <wp:extent cx="5943600" cy="4715510"/>
            <wp:effectExtent l="0" t="0" r="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4715510"/>
                    </a:xfrm>
                    <a:prstGeom prst="rect">
                      <a:avLst/>
                    </a:prstGeom>
                  </pic:spPr>
                </pic:pic>
              </a:graphicData>
            </a:graphic>
          </wp:inline>
        </w:drawing>
      </w:r>
    </w:p>
    <w:p w14:paraId="73211EB9" w14:textId="16C60A87" w:rsidR="000711C0" w:rsidRPr="002A7128" w:rsidRDefault="007266EB" w:rsidP="00F675B4">
      <w:pPr>
        <w:pStyle w:val="Caption"/>
        <w:spacing w:line="480" w:lineRule="auto"/>
        <w:jc w:val="both"/>
        <w:rPr>
          <w:rFonts w:ascii="Calibri" w:eastAsia="Times New Roman" w:hAnsi="Calibri" w:cs="Calibri"/>
          <w:i w:val="0"/>
          <w:iCs w:val="0"/>
          <w:color w:val="000000" w:themeColor="text1"/>
          <w:sz w:val="24"/>
          <w:szCs w:val="24"/>
        </w:rPr>
      </w:pPr>
      <w:bookmarkStart w:id="178" w:name="_Ref103520130"/>
      <w:bookmarkStart w:id="179" w:name="_Toc120789450"/>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32</w:t>
      </w:r>
      <w:r w:rsidRPr="002A7128">
        <w:rPr>
          <w:rFonts w:ascii="Calibri" w:hAnsi="Calibri" w:cs="Calibri"/>
          <w:b/>
          <w:bCs/>
          <w:i w:val="0"/>
          <w:iCs w:val="0"/>
          <w:color w:val="000000" w:themeColor="text1"/>
          <w:sz w:val="24"/>
          <w:szCs w:val="24"/>
        </w:rPr>
        <w:fldChar w:fldCharType="end"/>
      </w:r>
      <w:bookmarkEnd w:id="178"/>
      <w:r w:rsidRPr="002A7128">
        <w:rPr>
          <w:rFonts w:ascii="Calibri" w:hAnsi="Calibri" w:cs="Calibri"/>
          <w:b/>
          <w:bCs/>
          <w:i w:val="0"/>
          <w:iCs w:val="0"/>
          <w:color w:val="000000" w:themeColor="text1"/>
          <w:sz w:val="24"/>
          <w:szCs w:val="24"/>
        </w:rPr>
        <w:t xml:space="preserve"> Effect of Taxol and Cisplatin treatment for 48 h on the viability and morphology of the EOC spheroids. </w:t>
      </w:r>
      <w:r w:rsidRPr="002A7128">
        <w:rPr>
          <w:rFonts w:ascii="Calibri" w:hAnsi="Calibri" w:cs="Calibri"/>
          <w:i w:val="0"/>
          <w:iCs w:val="0"/>
          <w:color w:val="000000" w:themeColor="text1"/>
          <w:sz w:val="24"/>
          <w:szCs w:val="24"/>
        </w:rPr>
        <w:t xml:space="preserve">(A-D) OVCAR-3 and OVCAR-8 spheroids with the initiation cell number of 50, 100, 200, 500 and 5000 were treated with different concentrations of Taxol and Cisplatin and at 48h viability was measured by CellTiter-Glo3D. (E-G) Images represent the spheroids with the initiation cell number of 200. Scale bar is 100 </w:t>
      </w:r>
      <w:r w:rsidRPr="00FD1007">
        <w:rPr>
          <w:rFonts w:ascii="Symbol" w:hAnsi="Symbol" w:cs="Calibri"/>
          <w:i w:val="0"/>
          <w:iCs w:val="0"/>
          <w:color w:val="000000" w:themeColor="text1"/>
          <w:sz w:val="24"/>
          <w:szCs w:val="24"/>
        </w:rPr>
        <w:t></w:t>
      </w:r>
      <w:r w:rsidRPr="002A7128">
        <w:rPr>
          <w:rFonts w:ascii="Calibri" w:hAnsi="Calibri" w:cs="Calibri"/>
          <w:i w:val="0"/>
          <w:iCs w:val="0"/>
          <w:color w:val="000000" w:themeColor="text1"/>
          <w:sz w:val="24"/>
          <w:szCs w:val="24"/>
        </w:rPr>
        <w:t xml:space="preserve">m. Statistical analysis was done by 2-way ANOVA test </w:t>
      </w:r>
      <w:r w:rsidRPr="002A7128">
        <w:rPr>
          <w:rFonts w:ascii="Calibri" w:eastAsia="Times New Roman" w:hAnsi="Calibri" w:cs="Calibri"/>
          <w:i w:val="0"/>
          <w:iCs w:val="0"/>
          <w:color w:val="000000" w:themeColor="text1"/>
          <w:sz w:val="24"/>
          <w:szCs w:val="24"/>
        </w:rPr>
        <w:t>*** p&lt;0.001, ** p&lt;0.01, * p&lt;0.1.</w:t>
      </w:r>
      <w:bookmarkEnd w:id="179"/>
    </w:p>
    <w:p w14:paraId="539C0499" w14:textId="77777777" w:rsidR="002A45FA" w:rsidRPr="002A7128" w:rsidRDefault="002A45FA" w:rsidP="002A45FA">
      <w:pPr>
        <w:rPr>
          <w:rFonts w:ascii="Calibri" w:hAnsi="Calibri" w:cs="Calibri"/>
        </w:rPr>
      </w:pPr>
    </w:p>
    <w:p w14:paraId="290AD303" w14:textId="0AB6325A" w:rsidR="007266EB" w:rsidRDefault="007266EB" w:rsidP="00F675B4">
      <w:pPr>
        <w:spacing w:line="480" w:lineRule="auto"/>
        <w:jc w:val="both"/>
        <w:rPr>
          <w:rFonts w:ascii="Calibri" w:hAnsi="Calibri" w:cs="Calibri"/>
        </w:rPr>
      </w:pPr>
    </w:p>
    <w:p w14:paraId="0AB6583A" w14:textId="77777777" w:rsidR="00C62AA6" w:rsidRPr="002A7128" w:rsidRDefault="00C62AA6" w:rsidP="00F675B4">
      <w:pPr>
        <w:spacing w:line="480" w:lineRule="auto"/>
        <w:jc w:val="both"/>
        <w:rPr>
          <w:rFonts w:ascii="Calibri" w:hAnsi="Calibri" w:cs="Calibri"/>
        </w:rPr>
      </w:pPr>
    </w:p>
    <w:p w14:paraId="58A4A76D" w14:textId="638AB41A" w:rsidR="000711C0" w:rsidRPr="002A7128" w:rsidRDefault="000711C0">
      <w:pPr>
        <w:pStyle w:val="Heading2"/>
        <w:numPr>
          <w:ilvl w:val="3"/>
          <w:numId w:val="9"/>
        </w:numPr>
        <w:rPr>
          <w:rFonts w:ascii="Calibri" w:hAnsi="Calibri" w:cs="Calibri"/>
        </w:rPr>
      </w:pPr>
      <w:bookmarkStart w:id="180" w:name="_Toc120794211"/>
      <w:r w:rsidRPr="002A7128">
        <w:rPr>
          <w:rFonts w:ascii="Calibri" w:hAnsi="Calibri" w:cs="Calibri"/>
        </w:rPr>
        <w:lastRenderedPageBreak/>
        <w:t>Migration Profiles of EOC Spheroids</w:t>
      </w:r>
      <w:bookmarkEnd w:id="180"/>
    </w:p>
    <w:p w14:paraId="5B2C3BB6" w14:textId="77777777" w:rsidR="002A45FA" w:rsidRPr="002A7128" w:rsidRDefault="002A45FA" w:rsidP="002A45FA">
      <w:pPr>
        <w:rPr>
          <w:rFonts w:ascii="Calibri" w:hAnsi="Calibri" w:cs="Calibri"/>
        </w:rPr>
      </w:pPr>
    </w:p>
    <w:p w14:paraId="3FB7E321" w14:textId="20A47C89" w:rsidR="000711C0" w:rsidRPr="002A7128" w:rsidRDefault="000711C0" w:rsidP="00F675B4">
      <w:pPr>
        <w:spacing w:line="480" w:lineRule="auto"/>
        <w:jc w:val="both"/>
        <w:rPr>
          <w:rFonts w:ascii="Calibri" w:hAnsi="Calibri" w:cs="Calibri"/>
        </w:rPr>
      </w:pPr>
      <w:r w:rsidRPr="002A7128">
        <w:rPr>
          <w:rFonts w:ascii="Calibri" w:hAnsi="Calibri" w:cs="Calibri"/>
        </w:rPr>
        <w:t>The expression of Slug protein (a main transcription factor activated during EMT) is correlated with a more invasive phenotype in EOC</w:t>
      </w:r>
      <w:r w:rsidRPr="002A7128">
        <w:rPr>
          <w:rFonts w:ascii="Calibri" w:hAnsi="Calibri" w:cs="Calibri"/>
        </w:rPr>
        <w:fldChar w:fldCharType="begin"/>
      </w:r>
      <w:r w:rsidR="00317E7D" w:rsidRPr="002A7128">
        <w:rPr>
          <w:rFonts w:ascii="Calibri" w:hAnsi="Calibri" w:cs="Calibri"/>
        </w:rPr>
        <w:instrText xml:space="preserve"> ADDIN ZOTERO_ITEM CSL_CITATION {"citationID":"zhlNQsJA","properties":{"formattedCitation":"\\super 311\\nosupersub{}","plainCitation":"311","noteIndex":0},"citationItems":[{"id":"wiida5Bo/UpFna6ZJ","uris":["http://zotero.org/users/local/91fNc9yk/items/U963ZIKZ"],"itemData":{"id":543,"type":"article-journal","container-title":"Molecular Cancer","DOI":"10.1186/1476-4598-10-139","ISSN":"1476-4598","issue":"1","journalAbbreviation":"Mol Cancer","language":"en","page":"139","source":"DOI.org (Crossref)","title":"SLUG promotes prostate cancer cell migration and invasion via CXCR4/CXCL12 axis","volume":"10","author":[{"family":"Uygur","given":"Berna"},{"family":"Wu","given":"Wen-Shu"}],"issued":{"date-parts":[["2011"]]}}}],"schema":"https://github.com/citation-style-language/schema/raw/master/csl-citation.json"}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311</w:t>
      </w:r>
      <w:r w:rsidRPr="002A7128">
        <w:rPr>
          <w:rFonts w:ascii="Calibri" w:hAnsi="Calibri" w:cs="Calibri"/>
        </w:rPr>
        <w:fldChar w:fldCharType="end"/>
      </w:r>
      <w:r w:rsidRPr="002A7128">
        <w:rPr>
          <w:rFonts w:ascii="Calibri" w:hAnsi="Calibri" w:cs="Calibri"/>
        </w:rPr>
        <w:t xml:space="preserve">. We analyzed the expression of Slug both in OVCAR-3 and OVCAR-8 monolayer cells, and their spheroids (initiation cell number of 200), with western blot. Both OVCAR-3 monolayer cells and spheroids were Slug deficient, while OVCAR-8 monolayer cells and spheroids express Slug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_Ref103520253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33</w:t>
      </w:r>
      <w:r w:rsidR="007266EB" w:rsidRPr="002A7128">
        <w:rPr>
          <w:rFonts w:ascii="Calibri" w:hAnsi="Calibri" w:cs="Calibri"/>
          <w:b/>
          <w:bCs/>
        </w:rPr>
        <w:fldChar w:fldCharType="end"/>
      </w:r>
      <w:r w:rsidR="007266EB" w:rsidRPr="002A7128">
        <w:rPr>
          <w:rFonts w:ascii="Calibri" w:hAnsi="Calibri" w:cs="Calibri"/>
          <w:b/>
          <w:bCs/>
        </w:rPr>
        <w:t>A</w:t>
      </w:r>
      <w:r w:rsidRPr="002A7128">
        <w:rPr>
          <w:rFonts w:ascii="Calibri" w:hAnsi="Calibri" w:cs="Calibri"/>
          <w:b/>
          <w:bCs/>
        </w:rPr>
        <w:t>)</w:t>
      </w:r>
      <w:r w:rsidRPr="002A7128">
        <w:rPr>
          <w:rFonts w:ascii="Calibri" w:hAnsi="Calibri" w:cs="Calibri"/>
        </w:rPr>
        <w:t xml:space="preserve">. This observation suggests that OVCAR-8 cells could exhibit higher migration compared to OVCAR-3 cells. We tested this hypothesis first by monitoring the migration profiles of these two cell lines in monolayers with a wound closure assay. We created gaps between cells after they reached total confluency on the </w:t>
      </w:r>
      <w:proofErr w:type="gramStart"/>
      <w:r w:rsidRPr="002A7128">
        <w:rPr>
          <w:rFonts w:ascii="Calibri" w:hAnsi="Calibri" w:cs="Calibri"/>
        </w:rPr>
        <w:t>surface, and</w:t>
      </w:r>
      <w:proofErr w:type="gramEnd"/>
      <w:r w:rsidRPr="002A7128">
        <w:rPr>
          <w:rFonts w:ascii="Calibri" w:hAnsi="Calibri" w:cs="Calibri"/>
        </w:rPr>
        <w:t xml:space="preserve"> quantified how fast they close these gaps (</w:t>
      </w:r>
      <w:r w:rsidR="007266EB" w:rsidRPr="002A7128">
        <w:rPr>
          <w:rFonts w:ascii="Calibri" w:hAnsi="Calibri" w:cs="Calibri"/>
          <w:b/>
          <w:bCs/>
        </w:rPr>
        <w:fldChar w:fldCharType="begin"/>
      </w:r>
      <w:r w:rsidR="007266EB" w:rsidRPr="002A7128">
        <w:rPr>
          <w:rFonts w:ascii="Calibri" w:hAnsi="Calibri" w:cs="Calibri"/>
        </w:rPr>
        <w:instrText xml:space="preserve"> REF _Ref103520253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33</w:t>
      </w:r>
      <w:r w:rsidR="007266EB"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Both cell lines started to close the area within 24 h, and at 48h OVCAR-8 cells closed nearly 2-fold more area than OVCAR-3 cells (</w:t>
      </w:r>
      <w:r w:rsidR="007266EB" w:rsidRPr="002A7128">
        <w:rPr>
          <w:rFonts w:ascii="Calibri" w:hAnsi="Calibri" w:cs="Calibri"/>
          <w:b/>
          <w:bCs/>
        </w:rPr>
        <w:fldChar w:fldCharType="begin"/>
      </w:r>
      <w:r w:rsidR="007266EB" w:rsidRPr="002A7128">
        <w:rPr>
          <w:rFonts w:ascii="Calibri" w:hAnsi="Calibri" w:cs="Calibri"/>
        </w:rPr>
        <w:instrText xml:space="preserve"> REF _Ref103520253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33</w:t>
      </w:r>
      <w:r w:rsidR="007266EB" w:rsidRPr="002A7128">
        <w:rPr>
          <w:rFonts w:ascii="Calibri" w:hAnsi="Calibri" w:cs="Calibri"/>
          <w:b/>
          <w:bCs/>
        </w:rPr>
        <w:fldChar w:fldCharType="end"/>
      </w:r>
      <w:r w:rsidR="007266EB" w:rsidRPr="002A7128">
        <w:rPr>
          <w:rFonts w:ascii="Calibri" w:hAnsi="Calibri" w:cs="Calibri"/>
          <w:b/>
          <w:bCs/>
        </w:rPr>
        <w:t>C</w:t>
      </w:r>
      <w:r w:rsidRPr="002A7128">
        <w:rPr>
          <w:rFonts w:ascii="Calibri" w:hAnsi="Calibri" w:cs="Calibri"/>
        </w:rPr>
        <w:t>), indicating higher migration behavior of OVCAR-8. Then, we investigated the migration profiles of the spheroids, by seeding spheroids (initiation cell number of 200)</w:t>
      </w:r>
      <w:r w:rsidRPr="002A7128" w:rsidDel="00E56464">
        <w:rPr>
          <w:rFonts w:ascii="Calibri" w:hAnsi="Calibri" w:cs="Calibri"/>
        </w:rPr>
        <w:t xml:space="preserve"> </w:t>
      </w:r>
      <w:r w:rsidRPr="002A7128">
        <w:rPr>
          <w:rFonts w:ascii="Calibri" w:hAnsi="Calibri" w:cs="Calibri"/>
        </w:rPr>
        <w:t>on day 6 on bare surfaces of 6-well plates</w:t>
      </w:r>
      <w:r w:rsidRPr="002A7128" w:rsidDel="00E56464">
        <w:rPr>
          <w:rFonts w:ascii="Calibri" w:hAnsi="Calibri" w:cs="Calibri"/>
        </w:rPr>
        <w:t xml:space="preserve"> </w:t>
      </w:r>
      <w:r w:rsidRPr="002A7128">
        <w:rPr>
          <w:rFonts w:ascii="Calibri" w:hAnsi="Calibri" w:cs="Calibri"/>
        </w:rPr>
        <w:t xml:space="preserve">and quantified how fast they spread at different time points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_Ref103520253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33</w:t>
      </w:r>
      <w:r w:rsidR="007266EB" w:rsidRPr="002A7128">
        <w:rPr>
          <w:rFonts w:ascii="Calibri" w:hAnsi="Calibri" w:cs="Calibri"/>
          <w:b/>
          <w:bCs/>
        </w:rPr>
        <w:fldChar w:fldCharType="end"/>
      </w:r>
      <w:r w:rsidR="007266EB" w:rsidRPr="002A7128">
        <w:rPr>
          <w:rFonts w:ascii="Calibri" w:hAnsi="Calibri" w:cs="Calibri"/>
          <w:b/>
          <w:bCs/>
        </w:rPr>
        <w:t>D</w:t>
      </w:r>
      <w:r w:rsidRPr="002A7128">
        <w:rPr>
          <w:rFonts w:ascii="Calibri" w:hAnsi="Calibri" w:cs="Calibri"/>
          <w:b/>
          <w:bCs/>
        </w:rPr>
        <w:t>)</w:t>
      </w:r>
      <w:r w:rsidRPr="002A7128">
        <w:rPr>
          <w:rFonts w:ascii="Calibri" w:hAnsi="Calibri" w:cs="Calibri"/>
        </w:rPr>
        <w:t xml:space="preserve">. Interestingly, despite their loose morphology, OVCAR-3 spheroids remained intact and only started to attach and migrate the surface at 48 h after seeding, whereas the intact spheroids of OVCAR-8 started to migrate on the surface as early as 6 h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_Ref103520253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33</w:t>
      </w:r>
      <w:r w:rsidR="007266EB" w:rsidRPr="002A7128">
        <w:rPr>
          <w:rFonts w:ascii="Calibri" w:hAnsi="Calibri" w:cs="Calibri"/>
          <w:b/>
          <w:bCs/>
        </w:rPr>
        <w:fldChar w:fldCharType="end"/>
      </w:r>
      <w:r w:rsidR="007266EB" w:rsidRPr="002A7128">
        <w:rPr>
          <w:rFonts w:ascii="Calibri" w:hAnsi="Calibri" w:cs="Calibri"/>
          <w:b/>
          <w:bCs/>
        </w:rPr>
        <w:t>E</w:t>
      </w:r>
      <w:r w:rsidRPr="002A7128">
        <w:rPr>
          <w:rFonts w:ascii="Calibri" w:hAnsi="Calibri" w:cs="Calibri"/>
          <w:b/>
          <w:bCs/>
        </w:rPr>
        <w:t>)</w:t>
      </w:r>
      <w:r w:rsidRPr="002A7128">
        <w:rPr>
          <w:rFonts w:ascii="Calibri" w:hAnsi="Calibri" w:cs="Calibri"/>
        </w:rPr>
        <w:t xml:space="preserve">. Migration areas covered by the OVCAR-8 spheroids were significantly higher than that of the OVCAR-3 spheroids, nearly 13-fold and 16-fold larger at 24 h and 48 h, respectively </w:t>
      </w:r>
      <w:r w:rsidRPr="002A7128">
        <w:rPr>
          <w:rFonts w:ascii="Calibri" w:hAnsi="Calibri" w:cs="Calibri"/>
          <w:b/>
          <w:bCs/>
        </w:rPr>
        <w:t>(</w:t>
      </w:r>
      <w:r w:rsidR="007266EB" w:rsidRPr="002A7128">
        <w:rPr>
          <w:rFonts w:ascii="Calibri" w:hAnsi="Calibri" w:cs="Calibri"/>
          <w:b/>
          <w:bCs/>
        </w:rPr>
        <w:fldChar w:fldCharType="begin"/>
      </w:r>
      <w:r w:rsidR="007266EB" w:rsidRPr="002A7128">
        <w:rPr>
          <w:rFonts w:ascii="Calibri" w:hAnsi="Calibri" w:cs="Calibri"/>
          <w:b/>
          <w:bCs/>
        </w:rPr>
        <w:instrText xml:space="preserve"> REF _Ref103520253  \* MERGEFORMAT </w:instrText>
      </w:r>
      <w:r w:rsidR="007266EB"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33</w:t>
      </w:r>
      <w:r w:rsidR="007266EB" w:rsidRPr="002A7128">
        <w:rPr>
          <w:rFonts w:ascii="Calibri" w:hAnsi="Calibri" w:cs="Calibri"/>
          <w:b/>
          <w:bCs/>
        </w:rPr>
        <w:fldChar w:fldCharType="end"/>
      </w:r>
      <w:r w:rsidR="007266EB" w:rsidRPr="002A7128">
        <w:rPr>
          <w:rFonts w:ascii="Calibri" w:hAnsi="Calibri" w:cs="Calibri"/>
          <w:b/>
          <w:bCs/>
        </w:rPr>
        <w:t>F</w:t>
      </w:r>
      <w:r w:rsidRPr="002A7128">
        <w:rPr>
          <w:rFonts w:ascii="Calibri" w:hAnsi="Calibri" w:cs="Calibri"/>
          <w:b/>
          <w:bCs/>
        </w:rPr>
        <w:t>)</w:t>
      </w:r>
      <w:r w:rsidRPr="002A7128">
        <w:rPr>
          <w:rFonts w:ascii="Calibri" w:hAnsi="Calibri" w:cs="Calibri"/>
        </w:rPr>
        <w:t xml:space="preserve">. </w:t>
      </w:r>
    </w:p>
    <w:p w14:paraId="0C913D5C" w14:textId="77777777" w:rsidR="000711C0" w:rsidRPr="002A7128" w:rsidRDefault="000711C0" w:rsidP="00F675B4">
      <w:pPr>
        <w:spacing w:line="480" w:lineRule="auto"/>
        <w:jc w:val="both"/>
        <w:rPr>
          <w:rFonts w:ascii="Calibri" w:hAnsi="Calibri" w:cs="Calibri"/>
        </w:rPr>
      </w:pPr>
      <w:r w:rsidRPr="002A7128">
        <w:rPr>
          <w:rFonts w:ascii="Calibri" w:hAnsi="Calibri" w:cs="Calibri"/>
          <w:noProof/>
        </w:rPr>
        <w:lastRenderedPageBreak/>
        <w:drawing>
          <wp:inline distT="0" distB="0" distL="0" distR="0" wp14:anchorId="0A560517" wp14:editId="210DEC7E">
            <wp:extent cx="5943600" cy="602107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6021070"/>
                    </a:xfrm>
                    <a:prstGeom prst="rect">
                      <a:avLst/>
                    </a:prstGeom>
                  </pic:spPr>
                </pic:pic>
              </a:graphicData>
            </a:graphic>
          </wp:inline>
        </w:drawing>
      </w:r>
    </w:p>
    <w:p w14:paraId="00505750" w14:textId="768D216A" w:rsidR="000711C0" w:rsidRPr="002A7128" w:rsidRDefault="000711C0" w:rsidP="002A45FA">
      <w:pPr>
        <w:pStyle w:val="Caption"/>
        <w:spacing w:line="480" w:lineRule="auto"/>
        <w:jc w:val="both"/>
        <w:rPr>
          <w:rFonts w:ascii="Calibri" w:hAnsi="Calibri" w:cs="Calibri"/>
          <w:i w:val="0"/>
          <w:iCs w:val="0"/>
          <w:color w:val="000000" w:themeColor="text1"/>
          <w:sz w:val="24"/>
          <w:szCs w:val="24"/>
        </w:rPr>
      </w:pPr>
      <w:bookmarkStart w:id="181" w:name="_Ref103520253"/>
      <w:bookmarkStart w:id="182" w:name="_Toc120789451"/>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33</w:t>
      </w:r>
      <w:r w:rsidRPr="002A7128">
        <w:rPr>
          <w:rFonts w:ascii="Calibri" w:hAnsi="Calibri" w:cs="Calibri"/>
          <w:b/>
          <w:bCs/>
          <w:i w:val="0"/>
          <w:iCs w:val="0"/>
          <w:color w:val="000000" w:themeColor="text1"/>
          <w:sz w:val="24"/>
          <w:szCs w:val="24"/>
        </w:rPr>
        <w:fldChar w:fldCharType="end"/>
      </w:r>
      <w:bookmarkEnd w:id="181"/>
      <w:r w:rsidRPr="002A7128">
        <w:rPr>
          <w:rFonts w:ascii="Calibri" w:hAnsi="Calibri" w:cs="Calibri"/>
          <w:b/>
          <w:bCs/>
          <w:i w:val="0"/>
          <w:iCs w:val="0"/>
          <w:color w:val="000000" w:themeColor="text1"/>
          <w:sz w:val="24"/>
          <w:szCs w:val="24"/>
        </w:rPr>
        <w:t>.</w:t>
      </w:r>
      <w:r w:rsidRPr="002A7128">
        <w:rPr>
          <w:rFonts w:ascii="Calibri" w:hAnsi="Calibri" w:cs="Calibri"/>
          <w:i w:val="0"/>
          <w:iCs w:val="0"/>
          <w:color w:val="000000" w:themeColor="text1"/>
          <w:sz w:val="24"/>
          <w:szCs w:val="24"/>
        </w:rPr>
        <w:t xml:space="preserve"> </w:t>
      </w:r>
      <w:r w:rsidRPr="002A7128">
        <w:rPr>
          <w:rFonts w:ascii="Calibri" w:hAnsi="Calibri" w:cs="Calibri"/>
          <w:b/>
          <w:bCs/>
          <w:i w:val="0"/>
          <w:iCs w:val="0"/>
          <w:color w:val="000000" w:themeColor="text1"/>
          <w:sz w:val="24"/>
          <w:szCs w:val="24"/>
        </w:rPr>
        <w:t>Migration assays.</w:t>
      </w:r>
      <w:r w:rsidRPr="002A7128">
        <w:rPr>
          <w:rFonts w:ascii="Calibri" w:hAnsi="Calibri" w:cs="Calibri"/>
          <w:i w:val="0"/>
          <w:iCs w:val="0"/>
          <w:color w:val="000000" w:themeColor="text1"/>
          <w:sz w:val="24"/>
          <w:szCs w:val="24"/>
        </w:rPr>
        <w:t xml:space="preserve"> (A) Expression of the transcription factor Slug was analyzed using western blot in OVCAR-3 and OVCAR-8 both as monolayer cells and as spheroids (initiation cell number of 200). Housekeeping vinculin was included for total protein loading control. (B) Wound closure of OVCAR-3 and OVCAR-8 monolayers at 6 h, 24 h and 48 h. Scale bar is 200 </w:t>
      </w:r>
      <w:r w:rsidRPr="00FD1007">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 xml:space="preserve">m, (C) Area closure was quantified from a total of 9 different regions for both cell lines. (D) Schematic </w:t>
      </w:r>
      <w:r w:rsidRPr="002A7128">
        <w:rPr>
          <w:rFonts w:ascii="Calibri" w:hAnsi="Calibri" w:cs="Calibri"/>
          <w:i w:val="0"/>
          <w:iCs w:val="0"/>
          <w:color w:val="000000" w:themeColor="text1"/>
          <w:sz w:val="24"/>
          <w:szCs w:val="24"/>
        </w:rPr>
        <w:lastRenderedPageBreak/>
        <w:t xml:space="preserve">depiction of the migration assay for spheroids. (E) 6-days old OVCAR-3 and OVCAR-8 spheroids were plated on the 6-well plates and imaged at 6-24 and 48 h after seeding. (F) Area of the spheroids and migration area was quantified at 6-24 and 48 h using ImageJ. Scale bar is 100 </w:t>
      </w:r>
      <w:r w:rsidRPr="00FD1007">
        <w:rPr>
          <w:rFonts w:ascii="Symbol" w:hAnsi="Symbol" w:cs="Calibri"/>
          <w:i w:val="0"/>
          <w:iCs w:val="0"/>
          <w:color w:val="000000" w:themeColor="text1"/>
          <w:sz w:val="24"/>
          <w:szCs w:val="24"/>
        </w:rPr>
        <w:t></w:t>
      </w:r>
      <w:r w:rsidRPr="002A7128">
        <w:rPr>
          <w:rFonts w:ascii="Calibri" w:hAnsi="Calibri" w:cs="Calibri"/>
          <w:i w:val="0"/>
          <w:iCs w:val="0"/>
          <w:color w:val="000000" w:themeColor="text1"/>
          <w:sz w:val="24"/>
          <w:szCs w:val="24"/>
        </w:rPr>
        <w:t xml:space="preserve">m. Total of 15 spheroids were analyzed from each group by randomly choosing 5 spheroids from 3 independent experiments. Statistical analysis was done by 2-way ANOVA test, </w:t>
      </w:r>
      <w:r w:rsidRPr="002A7128">
        <w:rPr>
          <w:rFonts w:ascii="Calibri" w:eastAsia="Times New Roman" w:hAnsi="Calibri" w:cs="Calibri"/>
          <w:i w:val="0"/>
          <w:iCs w:val="0"/>
          <w:color w:val="000000" w:themeColor="text1"/>
          <w:sz w:val="24"/>
          <w:szCs w:val="24"/>
        </w:rPr>
        <w:t>****</w:t>
      </w:r>
      <w:r w:rsidRPr="002A7128">
        <w:rPr>
          <w:rFonts w:ascii="Calibri" w:hAnsi="Calibri" w:cs="Calibri"/>
          <w:i w:val="0"/>
          <w:iCs w:val="0"/>
          <w:color w:val="000000" w:themeColor="text1"/>
          <w:sz w:val="24"/>
          <w:szCs w:val="24"/>
        </w:rPr>
        <w:t xml:space="preserve"> p&lt;0.0001, </w:t>
      </w:r>
      <w:r w:rsidRPr="002A7128">
        <w:rPr>
          <w:rFonts w:ascii="Calibri" w:eastAsia="Times New Roman" w:hAnsi="Calibri" w:cs="Calibri"/>
          <w:i w:val="0"/>
          <w:iCs w:val="0"/>
          <w:color w:val="000000" w:themeColor="text1"/>
          <w:sz w:val="24"/>
          <w:szCs w:val="24"/>
        </w:rPr>
        <w:t>* p&lt;0.1.</w:t>
      </w:r>
      <w:bookmarkEnd w:id="182"/>
    </w:p>
    <w:p w14:paraId="1571BFD8" w14:textId="2D277CBB" w:rsidR="000711C0" w:rsidRPr="002A7128" w:rsidRDefault="000711C0">
      <w:pPr>
        <w:pStyle w:val="Heading2"/>
        <w:numPr>
          <w:ilvl w:val="2"/>
          <w:numId w:val="9"/>
        </w:numPr>
        <w:spacing w:line="480" w:lineRule="auto"/>
        <w:rPr>
          <w:rFonts w:ascii="Calibri" w:hAnsi="Calibri" w:cs="Calibri"/>
        </w:rPr>
      </w:pPr>
      <w:bookmarkStart w:id="183" w:name="_Toc120794212"/>
      <w:r w:rsidRPr="002A7128">
        <w:rPr>
          <w:rFonts w:ascii="Calibri" w:hAnsi="Calibri" w:cs="Calibri"/>
        </w:rPr>
        <w:t>Discussion</w:t>
      </w:r>
      <w:bookmarkEnd w:id="183"/>
    </w:p>
    <w:p w14:paraId="47D97D7C" w14:textId="589121EA" w:rsidR="000711C0" w:rsidRPr="002A7128" w:rsidRDefault="000711C0" w:rsidP="00F675B4">
      <w:pPr>
        <w:spacing w:line="480" w:lineRule="auto"/>
        <w:jc w:val="both"/>
        <w:rPr>
          <w:rFonts w:ascii="Calibri" w:hAnsi="Calibri" w:cs="Calibri"/>
        </w:rPr>
      </w:pPr>
      <w:r w:rsidRPr="002A7128">
        <w:rPr>
          <w:rFonts w:ascii="Calibri" w:hAnsi="Calibri" w:cs="Calibri"/>
        </w:rPr>
        <w:t>Spheroid formation within the peritoneal cavity of the patients is a hallmark of advanced-stage ovarian cancer. Spheroids found in patient-derived ascites come in a wide range of sizes</w:t>
      </w:r>
      <w:r w:rsidRPr="002A7128">
        <w:rPr>
          <w:rFonts w:ascii="Calibri" w:hAnsi="Calibri" w:cs="Calibri"/>
        </w:rPr>
        <w:fldChar w:fldCharType="begin"/>
      </w:r>
      <w:r w:rsidR="00317E7D" w:rsidRPr="002A7128">
        <w:rPr>
          <w:rFonts w:ascii="Calibri" w:hAnsi="Calibri" w:cs="Calibri"/>
        </w:rPr>
        <w:instrText xml:space="preserve"> ADDIN ZOTERO_ITEM CSL_CITATION {"citationID":"KE1Xz2If","properties":{"formattedCitation":"\\super 281\\nosupersub{}","plainCitation":"281","noteIndex":0},"citationItems":[{"id":"wiida5Bo/SR1B1r67","uris":["http://zotero.org/users/local/91fNc9yk/items/ITM2LL25"],"itemData":{"id":25,"type":"article-journal","abstract":"Serous, mucinous, endometrioid and clear cell human ovarian carcinoma cells were isolated as multicellular aggregates from patient effusions by filtration on nylon mesh of defined porosity and examined by light microscopy.  The cell clusters ranged from compact to loosely adherent groups of cells to spheroids with a central lumen surrounded by a cell monolayer.  There was considerable variation in cluster morphology between effusions from different patients as well as within effusion from the same patient.  Apparent budding of clusters was observed as well as different stages of cluster growth and development.  This was observed for all histologic types studied.  Electron microscopy of serous, mucinous and clear cell types showed that cells forming clusters were attached to each other by desmosomes, demonstrating that cluster formation did not result from a nonspecific stickiness of cells.  Irregular microvilli were present on the external periphery of the various carcinoma cells and a prominent glycocalyx was present on the surface of mucinous carcinoma cells.  Extensive interdigitation of cytoplasmic extensions and extended villi was present in mucinous and serous clusters which appeared to strengthen cluster cohesiveness.  Nuclei were irregular with prominent nucleoli frequently present.  The cell clusters usually remained intact and viable in culture but generally did not attach to glass or plastic substrata, whereas mesothelial cells and nonactivated histiocytes rapidly attached.  When carcinoma cell clusters did attach, they were resistant to detachment by trypsin-EDTA treatment, in contrast to the nonmalignant cells.[on SciFinder (R)]","container-title":"Pathobiology","DOI":"10.1159/000163419","title":"Isolation and Morphologic Characterization of Human Ovarian Carcinoma Cell Clusters Present in Effusions","author":[{"family":"Allen","given":"Howard J."},{"family":"Porter","given":"Carl"},{"family":"Gamarra","given":"Marie"},{"family":"Piver","given":"Steven"},{"family":"Johnson","given":"Edward A.Z."}],"issued":{"date-parts":[["2008"]]}}}],"schema":"https://github.com/citation-style-language/schema/raw/master/csl-citation.json"}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281</w:t>
      </w:r>
      <w:r w:rsidRPr="002A7128">
        <w:rPr>
          <w:rFonts w:ascii="Calibri" w:hAnsi="Calibri" w:cs="Calibri"/>
        </w:rPr>
        <w:fldChar w:fldCharType="end"/>
      </w:r>
      <w:r w:rsidRPr="002A7128">
        <w:rPr>
          <w:rFonts w:ascii="Calibri" w:hAnsi="Calibri" w:cs="Calibri"/>
        </w:rPr>
        <w:t xml:space="preserve">, from 50 to 750 </w:t>
      </w:r>
      <w:r w:rsidRPr="00FD1007">
        <w:rPr>
          <w:rFonts w:ascii="Symbol" w:hAnsi="Symbol" w:cs="Calibri"/>
        </w:rPr>
        <w:t></w:t>
      </w:r>
      <w:r w:rsidRPr="002A7128">
        <w:rPr>
          <w:rFonts w:ascii="Calibri" w:hAnsi="Calibri" w:cs="Calibri"/>
        </w:rPr>
        <w:t xml:space="preserve">m </w:t>
      </w:r>
      <w:r w:rsidRPr="002A7128">
        <w:rPr>
          <w:rFonts w:ascii="Calibri" w:hAnsi="Calibri" w:cs="Calibri"/>
        </w:rPr>
        <w:fldChar w:fldCharType="begin"/>
      </w:r>
      <w:r w:rsidR="00317E7D" w:rsidRPr="002A7128">
        <w:rPr>
          <w:rFonts w:ascii="Calibri" w:hAnsi="Calibri" w:cs="Calibri"/>
        </w:rPr>
        <w:instrText xml:space="preserve"> ADDIN ZOTERO_ITEM CSL_CITATION {"citationID":"AqJhpDME","properties":{"formattedCitation":"\\super 297\\nosupersub{}","plainCitation":"297","noteIndex":0},"citationItems":[{"id":"wiida5Bo/D9z147K9","uris":["http://zotero.org/users/local/91fNc9yk/items/A3W6SIU2"],"itemData":{"id":77,"type":"article-journal","abstract":"Ovarian carcinoma multicellular spheroids are an in vitro model of micrometastasis whose adhesive abilities have not been elucidated. In this study, we identified adhesion molecules that mediate the formation of ovarian carcinoma spheroids and their subsequent adhesion to extracellular matrix proteins. The NIH:OVCAR5, but not the SKOV3, ovarian carcinoma cell line formed spheroids similar to multicellular aggregates isolated from patient ascitic fluid. NIH:OVCAR5 spheroid formation was augmented by a beta 1-integrin-stimulating monoclonal antibody or exogenous fibronectin, but was inhibited by blocking monoclonal antibodies against the alpha 5- or beta 1-integrin subunits. By immunohistochemical staining, alpha 2-, alpha 3-, alpha 5-, alpha 6-, and beta 1-integrin subunits, CD44, and fibronectin were detected in NIH:OVCAR5 spheroids. NIH:OVCAR5 spheroids adhered to fibronectin, laminin, and type IV collagen, and this adhesion was partially inhibited by blocking antibodies against the alpha 5-, alpha 6-, and alpha 2-integrin subunits, respectively. A blocking monoclonal antibody against the beta 1-integrin subunit completely inhibited adhesion of the spheroids to all three proteins. These results suggest that interactions between the alpha 5 beta 1-integrin and fibronectin mediate the formation of ovarian carcinoma spheroids and that their adhesion to extracellular matrix proteins at sites of secondary tumor growth may be mediated by a complex interaction between multiple integrins and their ligands.","container-title":"The American Journal of Pathology","DOI":"10.1016/s0002-9440(10)63058-1","ISSN":"0002-9440","issue":"6","journalAbbreviation":"Am. J. Pathol.","language":"eng","note":"PMID: 11733357\nPMCID: PMC1850600","page":"2071-2080","source":"PubMed","title":"Beta 1-integrins regulate the formation and adhesion of ovarian carcinoma multicellular spheroids","volume":"159","author":[{"family":"Casey","given":"R. C."},{"family":"Burleson","given":"K. M."},{"family":"Skubitz","given":"K. M."},{"family":"Pambuccian","given":"S. E."},{"family":"Oegema","given":"T. R."},{"family":"Ruff","given":"L. E."},{"family":"Skubitz","given":"A. P."}],"issued":{"date-parts":[["2001",12]]}}}],"schema":"https://github.com/citation-style-language/schema/raw/master/csl-citation.json"}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297</w:t>
      </w:r>
      <w:r w:rsidRPr="002A7128">
        <w:rPr>
          <w:rFonts w:ascii="Calibri" w:hAnsi="Calibri" w:cs="Calibri"/>
        </w:rPr>
        <w:fldChar w:fldCharType="end"/>
      </w:r>
      <w:r w:rsidRPr="002A7128">
        <w:rPr>
          <w:rFonts w:ascii="Calibri" w:hAnsi="Calibri" w:cs="Calibri"/>
        </w:rPr>
        <w:t>. In addition to size, distinct morphologies of loose aggregates and tight spherical aggregates have been reported even within the ascites of the same patient</w:t>
      </w:r>
      <w:r w:rsidRPr="002A7128">
        <w:rPr>
          <w:rFonts w:ascii="Calibri" w:hAnsi="Calibri" w:cs="Calibri"/>
        </w:rPr>
        <w:fldChar w:fldCharType="begin"/>
      </w:r>
      <w:r w:rsidR="00317E7D" w:rsidRPr="002A7128">
        <w:rPr>
          <w:rFonts w:ascii="Calibri" w:hAnsi="Calibri" w:cs="Calibri"/>
        </w:rPr>
        <w:instrText xml:space="preserve"> ADDIN ZOTERO_ITEM CSL_CITATION {"citationID":"mZXguBAw","properties":{"formattedCitation":"\\super 282\\nosupersub{}","plainCitation":"282","noteIndex":0},"citationItems":[{"id":"wiida5Bo/xQoRTbbv","uris":["http://zotero.org/users/local/91fNc9yk/items/AIE7T6DW"],"itemData":{"id":527,"type":"article-journal","container-title":"PLoS ONE","DOI":"10.1371/journal.pone.0046858","ISSN":"1932-6203","issue":"10","journalAbbreviation":"PLoS ONE","language":"en","page":"e46858","source":"DOI.org (Crossref)","title":"Isolation and Characterization of Tumor Cells from the Ascites of Ovarian Cancer Patients: Molecular Phenotype of Chemoresistant Ovarian Tumors","title-short":"Isolation and Characterization of Tumor Cells from the Ascites of Ovarian Cancer Patients","volume":"7","author":[{"family":"Latifi","given":"Ardian"},{"family":"Luwor","given":"Rodney B."},{"family":"Bilandzic","given":"Maree"},{"family":"Nazaretian","given":"Simon"},{"family":"Stenvers","given":"Kaye"},{"family":"Pyman","given":"Jan"},{"family":"Zhu","given":"Hongjian"},{"family":"Thompson","given":"Erik W."},{"family":"Quinn","given":"Michael A."},{"family":"Findlay","given":"Jock K."},{"family":"Ahmed","given":"Nuzhat"}],"editor":[{"family":"Hawkins","given":"Shannon M."}],"issued":{"date-parts":[["2012",10,8]]}}}],"schema":"https://github.com/citation-style-language/schema/raw/master/csl-citation.json"}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282</w:t>
      </w:r>
      <w:r w:rsidRPr="002A7128">
        <w:rPr>
          <w:rFonts w:ascii="Calibri" w:hAnsi="Calibri" w:cs="Calibri"/>
        </w:rPr>
        <w:fldChar w:fldCharType="end"/>
      </w:r>
      <w:r w:rsidRPr="002A7128">
        <w:rPr>
          <w:rFonts w:ascii="Calibri" w:hAnsi="Calibri" w:cs="Calibri"/>
        </w:rPr>
        <w:t>. In the present study, we characterized the OVCAR-3 and OVCAR-8 epithelial ovarian cancer cell lines (chosen for their established genetic similarity to the patient tumor samples)</w:t>
      </w:r>
      <w:r w:rsidRPr="002A7128">
        <w:rPr>
          <w:rFonts w:ascii="Calibri" w:hAnsi="Calibri" w:cs="Calibri"/>
        </w:rPr>
        <w:fldChar w:fldCharType="begin"/>
      </w:r>
      <w:r w:rsidR="00317E7D" w:rsidRPr="002A7128">
        <w:rPr>
          <w:rFonts w:ascii="Calibri" w:hAnsi="Calibri" w:cs="Calibri"/>
        </w:rPr>
        <w:instrText xml:space="preserve"> ADDIN ZOTERO_ITEM CSL_CITATION {"citationID":"IDVxQM3v","properties":{"formattedCitation":"\\super 312\\nosupersub{}","plainCitation":"312","noteIndex":0},"citationItems":[{"id":"wiida5Bo/IEuEmUk6","uris":["http://zotero.org/users/local/91fNc9yk/items/5I3TPDLZ"],"itemData":{"id":603,"type":"article-journal","container-title":"Nature Communications","DOI":"10.1038/ncomms3126","ISSN":"2041-1723","issue":"1","journalAbbreviation":"Nat Commun","language":"en","page":"2126","source":"DOI.org (Crossref)","title":"Evaluating cell lines as tumour models by comparison of genomic profiles","volume":"4","author":[{"family":"Domcke","given":"Silvia"},{"family":"Sinha","given":"Rileen"},{"family":"Levine","given":"Douglas A."},{"family":"Sander","given":"Chris"},{"family":"Schultz","given":"Nikolaus"}],"issued":{"date-parts":[["2013",10]]}}}],"schema":"https://github.com/citation-style-language/schema/raw/master/csl-citation.json"}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312</w:t>
      </w:r>
      <w:r w:rsidRPr="002A7128">
        <w:rPr>
          <w:rFonts w:ascii="Calibri" w:hAnsi="Calibri" w:cs="Calibri"/>
        </w:rPr>
        <w:fldChar w:fldCharType="end"/>
      </w:r>
      <w:r w:rsidRPr="002A7128">
        <w:rPr>
          <w:rFonts w:ascii="Calibri" w:hAnsi="Calibri" w:cs="Calibri"/>
        </w:rPr>
        <w:t xml:space="preserve"> using both monolayers and spheroids. We formed spheroids with different initiation cell numbers (50, 100, 200, and 500) to account for the wide range of spheroid sizes in patients; however, spheroid morphology did not differ as a function of initiation cell number for the same cell line</w:t>
      </w:r>
      <w:r w:rsidR="00A27485" w:rsidRPr="002A7128">
        <w:rPr>
          <w:rFonts w:ascii="Calibri" w:hAnsi="Calibri" w:cs="Calibri"/>
        </w:rPr>
        <w:t>.</w:t>
      </w:r>
      <w:r w:rsidRPr="002A7128">
        <w:rPr>
          <w:rFonts w:ascii="Calibri" w:hAnsi="Calibri" w:cs="Calibri"/>
        </w:rPr>
        <w:t xml:space="preserve"> OVCAR-3 spheroids displayed loose aggregate morphology, whereas OVCAR-8 spheroids were more compact, more circular, and exhibited higher solidity. On day 6 after spheroid initiation, spheroids of both cell types were composed almost entirely of viable cells and OVCAR-8 spheroids seeded with 50, 100, 200, and 500 cells all attained roughly the same size (</w:t>
      </w:r>
      <w:r w:rsidR="007D49C3" w:rsidRPr="002A7128">
        <w:rPr>
          <w:rFonts w:ascii="Calibri" w:hAnsi="Calibri" w:cs="Calibri"/>
          <w:b/>
        </w:rPr>
        <w:fldChar w:fldCharType="begin"/>
      </w:r>
      <w:r w:rsidR="007D49C3" w:rsidRPr="002A7128">
        <w:rPr>
          <w:rFonts w:ascii="Calibri" w:hAnsi="Calibri" w:cs="Calibri"/>
        </w:rPr>
        <w:instrText xml:space="preserve"> REF _Ref103519054  \* MERGEFORMAT </w:instrText>
      </w:r>
      <w:r w:rsidR="007D49C3" w:rsidRPr="002A7128">
        <w:rPr>
          <w:rFonts w:ascii="Calibri" w:hAnsi="Calibri" w:cs="Calibri"/>
          <w:b/>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25</w:t>
      </w:r>
      <w:r w:rsidR="007D49C3" w:rsidRPr="002A7128">
        <w:rPr>
          <w:rFonts w:ascii="Calibri" w:hAnsi="Calibri" w:cs="Calibri"/>
          <w:b/>
        </w:rPr>
        <w:fldChar w:fldCharType="end"/>
      </w:r>
      <w:r w:rsidR="007D49C3" w:rsidRPr="002A7128">
        <w:rPr>
          <w:rFonts w:ascii="Calibri" w:hAnsi="Calibri" w:cs="Calibri"/>
          <w:b/>
        </w:rPr>
        <w:t>F</w:t>
      </w:r>
      <w:r w:rsidRPr="002A7128">
        <w:rPr>
          <w:rFonts w:ascii="Calibri" w:hAnsi="Calibri" w:cs="Calibri"/>
        </w:rPr>
        <w:t>).</w:t>
      </w:r>
    </w:p>
    <w:p w14:paraId="7DAFEAD7" w14:textId="77777777" w:rsidR="000711C0" w:rsidRPr="002A7128" w:rsidRDefault="000711C0" w:rsidP="00F675B4">
      <w:pPr>
        <w:spacing w:line="480" w:lineRule="auto"/>
        <w:jc w:val="both"/>
        <w:rPr>
          <w:rFonts w:ascii="Calibri" w:hAnsi="Calibri" w:cs="Calibri"/>
        </w:rPr>
      </w:pPr>
    </w:p>
    <w:p w14:paraId="543B4B84" w14:textId="0D30C3A8" w:rsidR="000711C0" w:rsidRPr="002A7128" w:rsidRDefault="000711C0" w:rsidP="002A45FA">
      <w:pPr>
        <w:keepNext/>
        <w:spacing w:line="480" w:lineRule="auto"/>
        <w:jc w:val="both"/>
        <w:rPr>
          <w:rFonts w:ascii="Calibri" w:hAnsi="Calibri" w:cs="Calibri"/>
        </w:rPr>
      </w:pPr>
      <w:r w:rsidRPr="002A7128">
        <w:rPr>
          <w:rFonts w:ascii="Calibri" w:hAnsi="Calibri" w:cs="Calibri"/>
        </w:rPr>
        <w:lastRenderedPageBreak/>
        <w:t>It is often reported that 3D systems display greater resistance to anti-cancer drugs</w:t>
      </w:r>
      <w:r w:rsidRPr="002A7128">
        <w:rPr>
          <w:rFonts w:ascii="Calibri" w:hAnsi="Calibri" w:cs="Calibri"/>
        </w:rPr>
        <w:fldChar w:fldCharType="begin"/>
      </w:r>
      <w:r w:rsidR="00317E7D" w:rsidRPr="002A7128">
        <w:rPr>
          <w:rFonts w:ascii="Calibri" w:hAnsi="Calibri" w:cs="Calibri"/>
        </w:rPr>
        <w:instrText xml:space="preserve"> ADDIN ZOTERO_ITEM CSL_CITATION {"citationID":"ja2BZ0c3","properties":{"formattedCitation":"\\super 313\\nosupersub{}","plainCitation":"313","noteIndex":0},"citationItems":[{"id":"wiida5Bo/XXF7xkno","uris":["http://zotero.org/users/local/91fNc9yk/items/KPFJSYEP"],"itemData":{"id":552,"type":"article-journal","container-title":"Biology","DOI":"10.3390/biology3020345","ISSN":"2079-7737","issue":"2","journalAbbreviation":"Biology","language":"en","page":"345-367","source":"DOI.org (Crossref)","title":"Advanced Cell Culture Techniques for Cancer Drug Discovery","volume":"3","author":[{"family":"Lovitt","given":"Carrie"},{"family":"Shelper","given":"Todd"},{"family":"Avery","given":"Vicky"}],"issued":{"date-parts":[["2014",5,30]]}}}],"schema":"https://github.com/citation-style-language/schema/raw/master/csl-citation.json"}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313</w:t>
      </w:r>
      <w:r w:rsidRPr="002A7128">
        <w:rPr>
          <w:rFonts w:ascii="Calibri" w:hAnsi="Calibri" w:cs="Calibri"/>
        </w:rPr>
        <w:fldChar w:fldCharType="end"/>
      </w:r>
      <w:r w:rsidRPr="002A7128">
        <w:rPr>
          <w:rFonts w:ascii="Calibri" w:hAnsi="Calibri" w:cs="Calibri"/>
        </w:rPr>
        <w:t>. Taxol, cisplatin and their combination has been widely used in ovarian cancer,</w:t>
      </w:r>
      <w:r w:rsidRPr="002A7128">
        <w:rPr>
          <w:rFonts w:ascii="Calibri" w:hAnsi="Calibri" w:cs="Calibri"/>
        </w:rPr>
        <w:fldChar w:fldCharType="begin"/>
      </w:r>
      <w:r w:rsidR="00317E7D" w:rsidRPr="002A7128">
        <w:rPr>
          <w:rFonts w:ascii="Calibri" w:hAnsi="Calibri" w:cs="Calibri"/>
        </w:rPr>
        <w:instrText xml:space="preserve"> ADDIN ZOTERO_ITEM CSL_CITATION {"citationID":"YJxMc4Lz","properties":{"formattedCitation":"\\super 314\\uc0\\u8211{}316\\nosupersub{}","plainCitation":"314–316","noteIndex":0},"citationItems":[{"id":"wiida5Bo/nBTHtBxz","uris":["http://zotero.org/users/local/91fNc9yk/items/SQ2PMUBI"],"itemData":{"id":547,"type":"article-journal","container-title":"Gynecologic Oncology","DOI":"10.1016/j.ygyno.2005.02.006","ISSN":"00908258","issue":"1","journalAbbreviation":"Gynecologic Oncology","language":"en","page":"141-145","source":"DOI.org (Crossref)","title":"An evaluation of cytotoxicity of the taxane and platinum agents combination treatment in a panel of human ovarian carcinoma cell lines","volume":"98","author":[{"family":"Smith","given":"Judith A."},{"family":"Ngo","given":"Hop"},{"family":"Martin","given":"Miranda C."},{"family":"Wolf","given":"Judith K."}],"issued":{"date-parts":[["2005",7]]}}},{"id":"wiida5Bo/PmEfYUTm","uris":["http://zotero.org/users/local/91fNc9yk/items/KTDPRY8T"],"itemData":{"id":579,"type":"article-journal","container-title":"Gynecologic Oncology","DOI":"10.1006/gyno.1994.1085","ISSN":"00908258","issue":"1","journalAbbreviation":"Gynecologic Oncology","language":"en","page":"44-49","source":"DOI.org (Crossref)","title":"Evaluation of Paclitaxel (Taxol), Cisplatin, and the Combination Paclitaxel-Cisplatin in Ovarian Cancer in Vitro with the ATP Cell Viability Assay","volume":"53","author":[{"family":"Untch","given":"Michael"},{"family":"Sevin","given":"Bernd-Uwe"},{"family":"Perras","given":"James P."},{"family":"Angioli","given":"Roberto"},{"family":"Untch","given":"Andrea"},{"family":"Hightower","given":"Randolph D."},{"family":"Koechli","given":"Ossi"},{"family":"Averette","given":"Hervy E."}],"issued":{"date-parts":[["1994",4]]}}},{"id":"wiida5Bo/B0fgWfK9","uris":["http://zotero.org/users/local/91fNc9yk/items/UZ7UQTZ3"],"itemData":{"id":580,"type":"article-journal","container-title":"CancerSpectrum Knowledge Environment","DOI":"10.1093/jnci/djg036","ISSN":"1460-2105","issue":"17","journalAbbreviation":"CancerSpectrum Knowledge Environment","language":"en","page":"1320-1329","source":"DOI.org (Crossref)","title":"A Randomized Clinical Trial of Cisplatin/Paclitaxel Versus Carboplatin/Paclitaxel as First-Line Treatment of Ovarian Cancer","volume":"95","author":[{"family":"Bois","given":"A.","non-dropping-particle":"du"}],"issued":{"date-parts":[["2003",9,3]]}}}],"schema":"https://github.com/citation-style-language/schema/raw/master/csl-citation.json"}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314–316</w:t>
      </w:r>
      <w:r w:rsidRPr="002A7128">
        <w:rPr>
          <w:rFonts w:ascii="Calibri" w:hAnsi="Calibri" w:cs="Calibri"/>
        </w:rPr>
        <w:fldChar w:fldCharType="end"/>
      </w:r>
      <w:r w:rsidRPr="002A7128">
        <w:rPr>
          <w:rFonts w:ascii="Calibri" w:hAnsi="Calibri" w:cs="Calibri"/>
        </w:rPr>
        <w:t xml:space="preserve"> with their IC</w:t>
      </w:r>
      <w:r w:rsidRPr="002A7128">
        <w:rPr>
          <w:rFonts w:ascii="Calibri" w:hAnsi="Calibri" w:cs="Calibri"/>
          <w:vertAlign w:val="subscript"/>
        </w:rPr>
        <w:t>50</w:t>
      </w:r>
      <w:r w:rsidRPr="002A7128">
        <w:rPr>
          <w:rFonts w:ascii="Calibri" w:hAnsi="Calibri" w:cs="Calibri"/>
        </w:rPr>
        <w:t xml:space="preserve"> values on various cancer cell lines extensively studied. In the literature, ovarian cancer cells have IC</w:t>
      </w:r>
      <w:r w:rsidRPr="002A7128">
        <w:rPr>
          <w:rFonts w:ascii="Calibri" w:hAnsi="Calibri" w:cs="Calibri"/>
          <w:vertAlign w:val="subscript"/>
        </w:rPr>
        <w:t>50</w:t>
      </w:r>
      <w:r w:rsidRPr="002A7128">
        <w:rPr>
          <w:rFonts w:ascii="Calibri" w:hAnsi="Calibri" w:cs="Calibri"/>
        </w:rPr>
        <w:t xml:space="preserve"> values at nanomolar range for Taxol</w:t>
      </w:r>
      <w:r w:rsidRPr="002A7128">
        <w:rPr>
          <w:rFonts w:ascii="Calibri" w:hAnsi="Calibri" w:cs="Calibri"/>
        </w:rPr>
        <w:fldChar w:fldCharType="begin"/>
      </w:r>
      <w:r w:rsidR="00317E7D" w:rsidRPr="002A7128">
        <w:rPr>
          <w:rFonts w:ascii="Calibri" w:hAnsi="Calibri" w:cs="Calibri"/>
        </w:rPr>
        <w:instrText xml:space="preserve"> ADDIN ZOTERO_ITEM CSL_CITATION {"citationID":"RY0LLSU9","properties":{"formattedCitation":"\\super 314,317,318\\nosupersub{}","plainCitation":"314,317,318","noteIndex":0},"citationItems":[{"id":"wiida5Bo/4PXF56SY","uris":["http://zotero.org/users/local/91fNc9yk/items/ITMFVFDX"],"itemData":{"id":548,"type":"article-journal","container-title":"British Journal of Cancer","DOI":"10.1038/bjc.2012.207","ISSN":"0007-0920, 1532-1827","issue":"12","journalAbbreviation":"Br J Cancer","language":"en","page":"1967-1975","source":"DOI.org (Crossref)","title":"In vitro analysis of ovarian cancer response to cisplatin, carboplatin, and paclitaxel identifies common pathways that are also associated with overall patient survival","volume":"106","author":[{"family":"Bicaku","given":"E"},{"family":"Xiong","given":"Y"},{"family":"Marchion","given":"D C"},{"family":"Chon","given":"H S"},{"family":"Stickles","given":"X B"},{"family":"Chen","given":"N"},{"family":"Judson","given":"P L"},{"family":"Hakam","given":"A"},{"family":"Gonzalez-Bosquet","given":"J"},{"family":"Wenham","given":"R M"},{"family":"Apte","given":"S M"},{"family":"Fulp","given":"W"},{"family":"Cubitt","given":"C L"},{"family":"Chen","given":"D-T"},{"family":"Lancaster","given":"J M"}],"issued":{"date-parts":[["2012",6]]}}},{"id":"wiida5Bo/ZA7DBrGM","uris":["http://zotero.org/users/local/91fNc9yk/items/5ICNZW6L"],"itemData":{"id":545,"type":"article-journal","container-title":"Scientific Reports","DOI":"10.1038/srep09529","ISSN":"2045-2322","issue":"1","journalAbbreviation":"Sci Rep","language":"en","page":"9529","source":"DOI.org (Crossref)","title":"Alterations in Ovarian Cancer Cell Adhesion Drive Taxol Resistance by Increasing Microtubule Dynamics in a FAK-dependent Manner","volume":"5","author":[{"family":"McGrail","given":"Daniel J."},{"family":"Khambhati","given":"Niti N."},{"family":"Qi","given":"Mark X."},{"family":"Patel","given":"Krishan S."},{"family":"Ravikumar","given":"Nithin"},{"family":"Brandenburg","given":"Chandler P."},{"family":"Dawson","given":"Michelle R."}],"issued":{"date-parts":[["2015",8]]}}},{"id":"wiida5Bo/nBTHtBxz","uris":["http://zotero.org/users/local/91fNc9yk/items/SQ2PMUBI"],"itemData":{"id":547,"type":"article-journal","container-title":"Gynecologic Oncology","DOI":"10.1016/j.ygyno.2005.02.006","ISSN":"00908258","issue":"1","journalAbbreviation":"Gynecologic Oncology","language":"en","page":"141-145","source":"DOI.org (Crossref)","title":"An evaluation of cytotoxicity of the taxane and platinum agents combination treatment in a panel of human ovarian carcinoma cell lines","volume":"98","author":[{"family":"Smith","given":"Judith A."},{"family":"Ngo","given":"Hop"},{"family":"Martin","given":"Miranda C."},{"family":"Wolf","given":"Judith K."}],"issued":{"date-parts":[["2005",7]]}}}],"schema":"https://github.com/citation-style-language/schema/raw/master/csl-citation.json"}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314,317,318</w:t>
      </w:r>
      <w:r w:rsidRPr="002A7128">
        <w:rPr>
          <w:rFonts w:ascii="Calibri" w:hAnsi="Calibri" w:cs="Calibri"/>
        </w:rPr>
        <w:fldChar w:fldCharType="end"/>
      </w:r>
      <w:r w:rsidRPr="002A7128">
        <w:rPr>
          <w:rFonts w:ascii="Calibri" w:hAnsi="Calibri" w:cs="Calibri"/>
        </w:rPr>
        <w:t>, and micromolar range for Cisplatin</w:t>
      </w:r>
      <w:r w:rsidRPr="002A7128">
        <w:rPr>
          <w:rFonts w:ascii="Calibri" w:hAnsi="Calibri" w:cs="Calibri"/>
        </w:rPr>
        <w:fldChar w:fldCharType="begin"/>
      </w:r>
      <w:r w:rsidR="00317E7D" w:rsidRPr="002A7128">
        <w:rPr>
          <w:rFonts w:ascii="Calibri" w:hAnsi="Calibri" w:cs="Calibri"/>
        </w:rPr>
        <w:instrText xml:space="preserve"> ADDIN ZOTERO_ITEM CSL_CITATION {"citationID":"xJq7kIMR","properties":{"formattedCitation":"\\super 317,319\\nosupersub{}","plainCitation":"317,319","noteIndex":0},"citationItems":[{"id":"wiida5Bo/4PXF56SY","uris":["http://zotero.org/users/local/91fNc9yk/items/ITMFVFDX"],"itemData":{"id":548,"type":"article-journal","container-title":"British Journal of Cancer","DOI":"10.1038/bjc.2012.207","ISSN":"0007-0920, 1532-1827","issue":"12","journalAbbreviation":"Br J Cancer","language":"en","page":"1967-1975","source":"DOI.org (Crossref)","title":"In vitro analysis of ovarian cancer response to cisplatin, carboplatin, and paclitaxel identifies common pathways that are also associated with overall patient survival","volume":"106","author":[{"family":"Bicaku","given":"E"},{"family":"Xiong","given":"Y"},{"family":"Marchion","given":"D C"},{"family":"Chon","given":"H S"},{"family":"Stickles","given":"X B"},{"family":"Chen","given":"N"},{"family":"Judson","given":"P L"},{"family":"Hakam","given":"A"},{"family":"Gonzalez-Bosquet","given":"J"},{"family":"Wenham","given":"R M"},{"family":"Apte","given":"S M"},{"family":"Fulp","given":"W"},{"family":"Cubitt","given":"C L"},{"family":"Chen","given":"D-T"},{"family":"Lancaster","given":"J M"}],"issued":{"date-parts":[["2012",6]]}}},{"id":"wiida5Bo/SRaYxG1I","uris":["http://zotero.org/users/local/91fNc9yk/items/3VGLC2VE"],"itemData":{"id":550,"type":"article-journal","container-title":"Toxicological Sciences","DOI":"10.1093/toxsci/kfs085","ISSN":"1096-0929, 1096-6080","issue":"1","language":"en","page":"139-149","source":"DOI.org (Crossref)","title":"Sodium Arsenite ± Hyperthermia Sensitizes p53-Expressing Human Ovarian Cancer Cells to Cisplatin by Modulating Platinum-DNA Damage Responses","volume":"127","author":[{"family":"Muenyi","given":"Clarisse S."},{"family":"Pinhas","given":"Allan R."},{"family":"Fan","given":"Teresa W."},{"family":"Brock","given":"Guy N."},{"family":"Helm","given":"C. William"},{"family":"States","given":"J. Christopher"}],"issued":{"date-parts":[["2012",5]]}}}],"schema":"https://github.com/citation-style-language/schema/raw/master/csl-citation.json"}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317,319</w:t>
      </w:r>
      <w:r w:rsidRPr="002A7128">
        <w:rPr>
          <w:rFonts w:ascii="Calibri" w:hAnsi="Calibri" w:cs="Calibri"/>
        </w:rPr>
        <w:fldChar w:fldCharType="end"/>
      </w:r>
      <w:r w:rsidRPr="002A7128">
        <w:rPr>
          <w:rFonts w:ascii="Calibri" w:hAnsi="Calibri" w:cs="Calibri"/>
        </w:rPr>
        <w:t>. Our IC</w:t>
      </w:r>
      <w:r w:rsidRPr="002A7128">
        <w:rPr>
          <w:rFonts w:ascii="Calibri" w:hAnsi="Calibri" w:cs="Calibri"/>
          <w:vertAlign w:val="subscript"/>
        </w:rPr>
        <w:t xml:space="preserve">50 </w:t>
      </w:r>
      <w:r w:rsidRPr="002A7128">
        <w:rPr>
          <w:rFonts w:ascii="Calibri" w:hAnsi="Calibri" w:cs="Calibri"/>
        </w:rPr>
        <w:t>results for monolayer cell cultures were in strong agreement with the literature. For the IC</w:t>
      </w:r>
      <w:r w:rsidRPr="002A7128">
        <w:rPr>
          <w:rFonts w:ascii="Calibri" w:hAnsi="Calibri" w:cs="Calibri"/>
          <w:vertAlign w:val="subscript"/>
        </w:rPr>
        <w:t xml:space="preserve">50 </w:t>
      </w:r>
      <w:r w:rsidRPr="002A7128">
        <w:rPr>
          <w:rFonts w:ascii="Calibri" w:hAnsi="Calibri" w:cs="Calibri"/>
        </w:rPr>
        <w:t>estimations in spheroids, using the same spheroid formation technique to avoid its potential effect on drug toxicity</w:t>
      </w:r>
      <w:r w:rsidRPr="002A7128">
        <w:rPr>
          <w:rFonts w:ascii="Calibri" w:hAnsi="Calibri" w:cs="Calibri"/>
        </w:rPr>
        <w:fldChar w:fldCharType="begin"/>
      </w:r>
      <w:r w:rsidR="00317E7D" w:rsidRPr="002A7128">
        <w:rPr>
          <w:rFonts w:ascii="Calibri" w:hAnsi="Calibri" w:cs="Calibri"/>
        </w:rPr>
        <w:instrText xml:space="preserve"> ADDIN ZOTERO_ITEM CSL_CITATION {"citationID":"2EYhmGqI","properties":{"formattedCitation":"\\super 305\\nosupersub{}","plainCitation":"305","noteIndex":0},"citationItems":[{"id":"wiida5Bo/LaTheadD","uris":["http://zotero.org/users/local/91fNc9yk/items/LKT8AVIA"],"itemData":{"id":38,"type":"article-journal","abstract":"Multicellular tumor spheroids are powerful in vitro models to perform preclinical chemosensitivity assays. We compare different methodologies to generate tumor spheroids in terms of resultant spheroid morphology, cellular arrangement and chemosensitivity. We used two cancer cell lines (MCF7 and OVCAR8) to generate spheroids using i) hanging drop array plates; ii) liquid overlay on ultra-low attachment plates; iii) liquid overlay on ultra-low attachment plates with rotating mixing (nutator plates). Analysis of spheroid morphometry indicated that cellular compaction was increased in spheroids generated on nutator and hanging drop array plates. Collagen staining also indicated higher compaction and remodeling in tumor spheroids on nutator and hanging drop arrays compared to conventional liquid overlay. Consequently, spheroids generated on nutator or hanging drop plates had increased chemoresistance to cisplatin treatment (20-60% viability) compared to spheroids on ultra low attachment plates (10-20% viability). Lastly, we used a mathematical model to demonstrate minimal changes in oxygen and cisplatin diffusion within experimentally generated spheroids. Our results demonstrate that in vitro methods of tumor spheroid generation result in varied cellular arrangement and chemosensitivity.","container-title":"Oncotarget","DOI":"10.18632/oncotarget.7659","title":"Comparative analysis of tumor spheroid generation techniques for differential in vitro drug toxicity","author":[{"family":"Horst","given":"Eric N."},{"family":"Ward","given":"Maria R."},{"family":"Raghavan","given":"Shreya"},{"family":"Mehta","given":"Pooja"},{"family":"Rowley","given":"Katelyn R."},{"family":"Mehta","given":"Geeta"}],"issued":{"date-parts":[["2016"]]}}}],"schema":"https://github.com/citation-style-language/schema/raw/master/csl-citation.json"}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305</w:t>
      </w:r>
      <w:r w:rsidRPr="002A7128">
        <w:rPr>
          <w:rFonts w:ascii="Calibri" w:hAnsi="Calibri" w:cs="Calibri"/>
        </w:rPr>
        <w:fldChar w:fldCharType="end"/>
      </w:r>
      <w:r w:rsidRPr="002A7128">
        <w:rPr>
          <w:rFonts w:ascii="Calibri" w:hAnsi="Calibri" w:cs="Calibri"/>
        </w:rPr>
        <w:t>, we added a larger sized spheroid (initiation cell number of 5000), because OVCAR-8 spheroids reached to similar sizes when initiated with 50, 100, 200, and 500 cells. We measured viability using an ATP-based assay (CellTiter-Glo3D), as colorimetric assays fail to represent viability in 3D models</w:t>
      </w:r>
      <w:r w:rsidRPr="002A7128">
        <w:rPr>
          <w:rFonts w:ascii="Calibri" w:hAnsi="Calibri" w:cs="Calibri"/>
        </w:rPr>
        <w:fldChar w:fldCharType="begin"/>
      </w:r>
      <w:r w:rsidR="00317E7D" w:rsidRPr="002A7128">
        <w:rPr>
          <w:rFonts w:ascii="Calibri" w:hAnsi="Calibri" w:cs="Calibri"/>
        </w:rPr>
        <w:instrText xml:space="preserve"> ADDIN ZOTERO_ITEM CSL_CITATION {"citationID":"unpUZBye","properties":{"formattedCitation":"\\super 320\\nosupersub{}","plainCitation":"320","noteIndex":0},"citationItems":[{"id":"wiida5Bo/SaBvC8lB","uris":["http://zotero.org/users/local/91fNc9yk/items/M3B8W96M"],"itemData":{"id":70,"type":"chapter","abstract":"In vitro models continuously evolve to more closely mimic and predict biological responses of living organisms. Just in the past years many novel three dimensional (3D) organotypic models, which resemble tissue structure, function and even disease progression, have been developed. However, application of more complex models and technologies may increase the risk of compromising assay robustness and reproducibility. Consequently, the first developmental stage of cell-based assays is to combine complex tissue models with standard assays - a combination that already provides more physiologically insightful information when compared to two-dimensional (2D) systems. The final goal should be to exploit the full potential of tissue-like in vitro models by investigating them with modern assays such as –Omics and imaging technologies. Furthermore, organotypic models will allow for a design of novel assay concepts that utilize the whole tool box of models and endpoints. In this chapter we focus on assessment of spheroid viability by measuring intracellular ATP content. This primary assay performed on 3D cell culture system is a powerful tool to predict with high confidence health, growth and energy status of tissue of interest. The 3D spheroid model is particularly useful to mimic solid-tumors from a physiologically relevant architectural perspective, when they are grown with multiple cell types prevalent in these tumors. However, this assay is equally applicable for other non-spheroid 3D tissue models to quantify viability and toxicity.","call-number":"NBK343426","container-title":"Assay Guidance Manual","event-place":"Bethesda (MD)","language":"eng","note":"PMID: 26844332","publisher":"Eli Lilly &amp; Company and the National Center for Advancing Translational Sciences","publisher-place":"Bethesda (MD)","source":"PubMed","title":"In vitro 3D Spheroids and Microtissues: ATP-based Cell Viability and Toxicity Assays","title-short":"In vitro 3D Spheroids and Microtissues","URL":"http://www.ncbi.nlm.nih.gov/books/NBK343426/","author":[{"family":"Kijanska","given":"Monika"},{"family":"Kelm","given":"Jens"}],"editor":[{"family":"Sittampalam","given":"G. Sitta"},{"family":"Coussens","given":"Nathan P."},{"family":"Brimacombe","given":"Kyle"},{"family":"Grossman","given":"Abigail"},{"family":"Arkin","given":"Michelle"},{"family":"Auld","given":"Douglas"},{"family":"Austin","given":"Chris"},{"family":"Baell","given":"Jonathan"},{"family":"Bejcek","given":"Bruce"},{"family":"Caaveiro","given":"Jose M. M."},{"family":"Chung","given":"Thomas D. Y."},{"family":"Dahlin","given":"Jayme L."},{"family":"Devanaryan","given":"Viswanath"},{"family":"Foley","given":"Timothy L."},{"family":"Glicksman","given":"Marcie"},{"family":"Hall","given":"Matthew D."},{"family":"Haas","given":"Joseph V."},{"family":"Inglese","given":"James"},{"family":"Iversen","given":"Philip W."},{"family":"Kahl","given":"Steven D."},{"family":"Kales","given":"Stephen C."},{"family":"Lal-Nag","given":"Madhu"},{"family":"Li","given":"Zhuyin"},{"family":"McGee","given":"James"},{"family":"McManus","given":"Owen"},{"family":"Riss","given":"Terry"},{"family":"Trask","given":"O. Joseph"},{"family":"Weidner","given":"Jeffrey R."},{"family":"Wildey","given":"Mary Jo"},{"family":"Xia","given":"Menghang"},{"family":"Xu","given":"Xin"}],"accessed":{"date-parts":[["2019",6,17]]},"issued":{"date-parts":[["2004"]]}}}],"schema":"https://github.com/citation-style-language/schema/raw/master/csl-citation.json"}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320</w:t>
      </w:r>
      <w:r w:rsidRPr="002A7128">
        <w:rPr>
          <w:rFonts w:ascii="Calibri" w:hAnsi="Calibri" w:cs="Calibri"/>
        </w:rPr>
        <w:fldChar w:fldCharType="end"/>
      </w:r>
      <w:r w:rsidRPr="002A7128">
        <w:rPr>
          <w:rFonts w:ascii="Calibri" w:hAnsi="Calibri" w:cs="Calibri"/>
        </w:rPr>
        <w:t>. For both Taxol and Cisplatin, no difference in resistance was observed for different sizes within a particular concentration for 48h. Large spheroids (5000) showed increased resistance to Taxol at 72h. However, spheroids displayed much higher resistance to Taxol compared to monolayers, whereas resistance to Cisplatin was similar for both monolayers and spheroids (in accordance with previous observations)</w:t>
      </w:r>
      <w:r w:rsidRPr="002A7128">
        <w:rPr>
          <w:rFonts w:ascii="Calibri" w:hAnsi="Calibri" w:cs="Calibri"/>
        </w:rPr>
        <w:fldChar w:fldCharType="begin"/>
      </w:r>
      <w:r w:rsidR="00317E7D" w:rsidRPr="002A7128">
        <w:rPr>
          <w:rFonts w:ascii="Calibri" w:hAnsi="Calibri" w:cs="Calibri"/>
        </w:rPr>
        <w:instrText xml:space="preserve"> ADDIN ZOTERO_ITEM CSL_CITATION {"citationID":"R8JJYQMM","properties":{"formattedCitation":"\\super 321\\nosupersub{}","plainCitation":"321","noteIndex":0},"citationItems":[{"id":"wiida5Bo/Pzi77IeM","uris":["http://zotero.org/users/local/91fNc9yk/items/578J47YR"],"itemData":{"id":554,"type":"article-journal","container-title":"Frontiers in Oncology","DOI":"10.3389/fonc.2017.00293","ISSN":"2234-943X","journalAbbreviation":"Front. Oncol.","page":"293","source":"DOI.org (Crossref)","title":"High-Content Monitoring of Drug Effects in a 3D Spheroid Model","volume":"7","author":[{"family":"Mittler","given":"Frédérique"},{"family":"Obeïd","given":"Patricia"},{"family":"Rulina","given":"Anastasia V."},{"family":"Haguet","given":"Vincent"},{"family":"Gidrol","given":"Xavier"},{"family":"Balakirev","given":"Maxim Y."}],"issued":{"date-parts":[["2017",12,11]]}}}],"schema":"https://github.com/citation-style-language/schema/raw/master/csl-citation.json"}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321</w:t>
      </w:r>
      <w:r w:rsidRPr="002A7128">
        <w:rPr>
          <w:rFonts w:ascii="Calibri" w:hAnsi="Calibri" w:cs="Calibri"/>
        </w:rPr>
        <w:fldChar w:fldCharType="end"/>
      </w:r>
      <w:r w:rsidRPr="002A7128">
        <w:rPr>
          <w:rFonts w:ascii="Calibri" w:hAnsi="Calibri" w:cs="Calibri"/>
        </w:rPr>
        <w:t>. The toxicity mechanism of Taxol is inhibiting cell division through the inhibition of cytoskeletal proteins</w:t>
      </w:r>
      <w:r w:rsidRPr="002A7128">
        <w:rPr>
          <w:rFonts w:ascii="Calibri" w:hAnsi="Calibri" w:cs="Calibri"/>
        </w:rPr>
        <w:fldChar w:fldCharType="begin"/>
      </w:r>
      <w:r w:rsidR="00317E7D" w:rsidRPr="002A7128">
        <w:rPr>
          <w:rFonts w:ascii="Calibri" w:hAnsi="Calibri" w:cs="Calibri"/>
        </w:rPr>
        <w:instrText xml:space="preserve"> ADDIN ZOTERO_ITEM CSL_CITATION {"citationID":"pphb0TFV","properties":{"formattedCitation":"\\super 322\\nosupersub{}","plainCitation":"322","noteIndex":0},"citationItems":[{"id":"wiida5Bo/gfRwWH2z","uris":["http://zotero.org/users/local/91fNc9yk/items/BD3HF4RB"],"itemData":{"id":619,"type":"article-journal","abstract":"Microtubules are intrinsically dynamic polymers, and their dynamics play a crucial role in mitotic spindle assembly, the mitotic checkpoint, and chromosome movement. We hypothesized that, inliving cells, suppression of microtubule dynamics is responsible for the ability of taxol to inhibit mitotic progression and cell proliferation. Using quantitative fluorescence video microscopy, we examined the effects of taxol (30–100 nM) on the dynamics of individual microtubules in two living human tumor cell lines: Caov-3 ovarian adenocarcinoma cells and A-498 kidney carcinoma cells. Taxol accumulated more in Caov-3 cells than in A-498 cells. At equivalent intracellular taxol concentrations, dynamic instability was inhibited similarly in the two cell lines. Microtubule shortening rates were inhibited in Caov-3 cells and in A-498 cells by 32 and 26%, growing rates were inhibited by 24 and 18%, and dynamicity was inhibited by 31 and 63%, respectively. All mitotic spindles were abnormal, and many interphase cells became multinucleate (Caov-3, 30%; A-498, 58%). Taxol blocked cell cycle progress at the metaphase/anaphase transition and inhibited cell proliferation. The results indicate that suppression of microtubule dynamics by taxol deleteriously affects the ability of cancer cells to properly assemble a mitotic spindle, pass the metaphase/anaphase checkpoint, and produce progeny.","container-title":"Molecular Biology of the Cell","DOI":"10.1091/mbc.10.4.947","ISSN":"1059-1524, 1939-4586","issue":"4","journalAbbreviation":"MBoC","language":"en","page":"947-959","source":"DOI.org (Crossref)","title":"Taxol Suppresses Dynamics of Individual Microtubules in Living Human Tumor Cells","volume":"10","author":[{"family":"Yvon","given":"Anne-Marie C."},{"family":"Wadsworth","given":"Patricia"},{"family":"Jordan","given":"Mary Ann"}],"editor":[{"family":"Kirschner","given":"Marc W."}],"issued":{"date-parts":[["1999",4]]}}}],"schema":"https://github.com/citation-style-language/schema/raw/master/csl-citation.json"}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322</w:t>
      </w:r>
      <w:r w:rsidRPr="002A7128">
        <w:rPr>
          <w:rFonts w:ascii="Calibri" w:hAnsi="Calibri" w:cs="Calibri"/>
        </w:rPr>
        <w:fldChar w:fldCharType="end"/>
      </w:r>
      <w:r w:rsidRPr="002A7128">
        <w:rPr>
          <w:rFonts w:ascii="Calibri" w:hAnsi="Calibri" w:cs="Calibri"/>
        </w:rPr>
        <w:t>. Because the cell proliferation rate slows down in 3D systems, the toxicity of Taxol diminishes. On the other hand, cisplatin toxicity was not dramatically different in monolayer and 3D, which might be because of its DNA crosslinking cytotoxicity mechanism</w:t>
      </w:r>
      <w:r w:rsidRPr="002A7128">
        <w:rPr>
          <w:rFonts w:ascii="Calibri" w:hAnsi="Calibri" w:cs="Calibri"/>
        </w:rPr>
        <w:fldChar w:fldCharType="begin"/>
      </w:r>
      <w:r w:rsidR="00317E7D" w:rsidRPr="002A7128">
        <w:rPr>
          <w:rFonts w:ascii="Calibri" w:hAnsi="Calibri" w:cs="Calibri"/>
        </w:rPr>
        <w:instrText xml:space="preserve"> ADDIN ZOTERO_ITEM CSL_CITATION {"citationID":"g18ATFeW","properties":{"formattedCitation":"\\super 323\\nosupersub{}","plainCitation":"323","noteIndex":0},"citationItems":[{"id":"wiida5Bo/vXynUaNQ","uris":["http://zotero.org/users/local/91fNc9yk/items/D6R9QWFK"],"itemData":{"id":621,"type":"article-journal","container-title":"European Journal of Pharmacology","DOI":"10.1016/j.ejphar.2014.07.025","ISSN":"00142999","journalAbbreviation":"European Journal of Pharmacology","language":"en","page":"364-378","source":"DOI.org (Crossref)","title":"Cisplatin in cancer therapy: Molecular mechanisms of action","title-short":"Cisplatin in cancer therapy","volume":"740","author":[{"family":"Dasari","given":"Shaloam"},{"family":"Bernard Tchounwou","given":"Paul"}],"issued":{"date-parts":[["2014",10]]}}}],"schema":"https://github.com/citation-style-language/schema/raw/master/csl-citation.json"}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323</w:t>
      </w:r>
      <w:r w:rsidRPr="002A7128">
        <w:rPr>
          <w:rFonts w:ascii="Calibri" w:hAnsi="Calibri" w:cs="Calibri"/>
        </w:rPr>
        <w:fldChar w:fldCharType="end"/>
      </w:r>
      <w:r w:rsidRPr="002A7128">
        <w:rPr>
          <w:rFonts w:ascii="Calibri" w:hAnsi="Calibri" w:cs="Calibri"/>
        </w:rPr>
        <w:t>.</w:t>
      </w:r>
    </w:p>
    <w:p w14:paraId="2DDB2645" w14:textId="08A914E7" w:rsidR="000711C0" w:rsidRPr="002A7128" w:rsidRDefault="000711C0" w:rsidP="00F675B4">
      <w:pPr>
        <w:spacing w:line="480" w:lineRule="auto"/>
        <w:jc w:val="both"/>
        <w:rPr>
          <w:rFonts w:ascii="Calibri" w:hAnsi="Calibri" w:cs="Calibri"/>
        </w:rPr>
      </w:pPr>
      <w:r w:rsidRPr="002A7128">
        <w:rPr>
          <w:rFonts w:ascii="Calibri" w:hAnsi="Calibri" w:cs="Calibri"/>
        </w:rPr>
        <w:t>Previous studies suggested that E-cadherin accumulation on the cell surface inhibits the formation of morphologically compact spheroids</w:t>
      </w:r>
      <w:r w:rsidRPr="002A7128">
        <w:rPr>
          <w:rFonts w:ascii="Calibri" w:hAnsi="Calibri" w:cs="Calibri"/>
        </w:rPr>
        <w:fldChar w:fldCharType="begin"/>
      </w:r>
      <w:r w:rsidR="00317E7D" w:rsidRPr="002A7128">
        <w:rPr>
          <w:rFonts w:ascii="Calibri" w:hAnsi="Calibri" w:cs="Calibri"/>
        </w:rPr>
        <w:instrText xml:space="preserve"> ADDIN ZOTERO_ITEM CSL_CITATION {"citationID":"R98WFk2Y","properties":{"formattedCitation":"\\super 287\\nosupersub{}","plainCitation":"287","noteIndex":0},"citationItems":[{"id":"wiida5Bo/V0tWG234","uris":["http://zotero.org/users/local/91fNc9yk/items/QFULYZYQ"],"itemData":{"id":519,"type":"article-journal","container-title":"Cell and Tissue Research","DOI":"10.1007/s00441-005-0148-2","ISSN":"0302-766X, 1432-0878","issue":"3","journalAbbreviation":"Cell Tissue Res","language":"en","page":"411-422","source":"DOI.org (Crossref)","title":"Dynamic analysis of hepatoma spheroid formation: roles of E-cadherin and β1-integrin","title-short":"Dynamic analysis of hepatoma spheroid formation","volume":"324","author":[{"family":"Lin","given":"Ruei-Zeng"},{"family":"Chou","given":"Li-Fang"},{"family":"Chien","given":"Chi-Chen Michael"},{"family":"Chang","given":"Hwan-You"}],"issued":{"date-parts":[["2006",6]]}}}],"schema":"https://github.com/citation-style-language/schema/raw/master/csl-citation.json"}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287</w:t>
      </w:r>
      <w:r w:rsidRPr="002A7128">
        <w:rPr>
          <w:rFonts w:ascii="Calibri" w:hAnsi="Calibri" w:cs="Calibri"/>
        </w:rPr>
        <w:fldChar w:fldCharType="end"/>
      </w:r>
      <w:r w:rsidRPr="002A7128">
        <w:rPr>
          <w:rFonts w:ascii="Calibri" w:hAnsi="Calibri" w:cs="Calibri"/>
        </w:rPr>
        <w:t xml:space="preserve">. Therefore, we investigated the expression levels of E-cadherin in our cell lines both as monolayers and as spheroids. Monolayer cell culture of OVCAR-3 exhibited very low expression of E-cadherin. Strikingly, E-cadherin expression was </w:t>
      </w:r>
      <w:r w:rsidRPr="002A7128">
        <w:rPr>
          <w:rFonts w:ascii="Calibri" w:hAnsi="Calibri" w:cs="Calibri"/>
        </w:rPr>
        <w:lastRenderedPageBreak/>
        <w:t>highly upregulated during spheroid formation in OVCAR-3 cells which explains their loose aggregate morphologies. By contrast, OVCAR-8 cells were negative for E-cadherin both in monolayer and spheroid forms. A reduced E-cadherin level is often reported in malignant epithelial tumors,</w:t>
      </w:r>
      <w:r w:rsidRPr="002A7128">
        <w:rPr>
          <w:rFonts w:ascii="Calibri" w:hAnsi="Calibri" w:cs="Calibri"/>
        </w:rPr>
        <w:fldChar w:fldCharType="begin"/>
      </w:r>
      <w:r w:rsidR="00317E7D" w:rsidRPr="002A7128">
        <w:rPr>
          <w:rFonts w:ascii="Calibri" w:hAnsi="Calibri" w:cs="Calibri"/>
        </w:rPr>
        <w:instrText xml:space="preserve"> ADDIN ZOTERO_ITEM CSL_CITATION {"citationID":"3MCBncyH","properties":{"formattedCitation":"\\super 324\\nosupersub{}","plainCitation":"324","noteIndex":0},"citationItems":[{"id":"wiida5Bo/IZAj1ub6","uris":["http://zotero.org/users/local/91fNc9yk/items/DJJN86AM"],"itemData":{"id":605,"type":"article-journal","container-title":"Cancer Investigation","DOI":"10.3109/07357909809039774","ISSN":"0735-7907, 1532-4192","issue":"4","journalAbbreviation":"Cancer Investigation","language":"en","page":"252-261","source":"DOI.org (Crossref)","title":"The Morphogenetic Role of Cadherin Cell Adhesion Molecules in Human Cancer: A Thematic Review","title-short":"The Morphogenetic Role of Cadherin Cell Adhesion Molecules in Human Cancer","volume":"16","author":[{"family":"Yap","given":"Alpha S."}],"issued":{"date-parts":[["1998",1]]}}}],"schema":"https://github.com/citation-style-language/schema/raw/master/csl-citation.json"}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324</w:t>
      </w:r>
      <w:r w:rsidRPr="002A7128">
        <w:rPr>
          <w:rFonts w:ascii="Calibri" w:hAnsi="Calibri" w:cs="Calibri"/>
        </w:rPr>
        <w:fldChar w:fldCharType="end"/>
      </w:r>
      <w:r w:rsidRPr="002A7128">
        <w:rPr>
          <w:rFonts w:ascii="Calibri" w:hAnsi="Calibri" w:cs="Calibri"/>
        </w:rPr>
        <w:t xml:space="preserve"> and this downregulation is suggested as a potential mechanism for shed EOC cells to survive </w:t>
      </w:r>
      <w:proofErr w:type="spellStart"/>
      <w:r w:rsidRPr="002A7128">
        <w:rPr>
          <w:rFonts w:ascii="Calibri" w:hAnsi="Calibri" w:cs="Calibri"/>
        </w:rPr>
        <w:t>anoikis</w:t>
      </w:r>
      <w:proofErr w:type="spellEnd"/>
      <w:r w:rsidRPr="002A7128">
        <w:rPr>
          <w:rFonts w:ascii="Calibri" w:hAnsi="Calibri" w:cs="Calibri"/>
        </w:rPr>
        <w:t xml:space="preserve">, a programmed cell death induced by cell detachment from the extracellular matrix (ECM) under the anchorage-independent conditions of the abdominal cavity. </w:t>
      </w:r>
      <w:proofErr w:type="spellStart"/>
      <w:r w:rsidRPr="002A7128">
        <w:rPr>
          <w:rFonts w:ascii="Calibri" w:hAnsi="Calibri" w:cs="Calibri"/>
        </w:rPr>
        <w:t>Anoikis</w:t>
      </w:r>
      <w:proofErr w:type="spellEnd"/>
      <w:r w:rsidRPr="002A7128">
        <w:rPr>
          <w:rFonts w:ascii="Calibri" w:hAnsi="Calibri" w:cs="Calibri"/>
        </w:rPr>
        <w:t xml:space="preserve"> avoidance allows spheroids to adhere to and invade the mesothelium lining, leading to metastasis</w:t>
      </w:r>
      <w:r w:rsidRPr="002A7128">
        <w:rPr>
          <w:rFonts w:ascii="Calibri" w:hAnsi="Calibri" w:cs="Calibri"/>
        </w:rPr>
        <w:fldChar w:fldCharType="begin"/>
      </w:r>
      <w:r w:rsidR="00317E7D" w:rsidRPr="002A7128">
        <w:rPr>
          <w:rFonts w:ascii="Calibri" w:hAnsi="Calibri" w:cs="Calibri"/>
        </w:rPr>
        <w:instrText xml:space="preserve"> ADDIN ZOTERO_ITEM CSL_CITATION {"citationID":"x5UeRRSo","properties":{"formattedCitation":"\\super 325\\nosupersub{}","plainCitation":"325","noteIndex":0},"citationItems":[{"id":"wiida5Bo/zUaJYSVf","uris":["http://zotero.org/users/local/91fNc9yk/items/ZILTPM99"],"itemData":{"id":11,"type":"article-journal","abstract":"Ovarian cancer (OC) is the fifth cancer death cause in women worldwide. The malignant nature of this disease stems from its unique dissemination pattern. Epithelial-to-mesenchymal transition (EMT) has been reported in OC and downregulation of Epithelial cadherin (E-cadherin) is a hallmark of this process. However, findings on the relationship between E-cadherin levels and OC progression, dissemination and aggressiveness are controversial. In this study, the evaluation of E-cadherin expression in an OC tissue microarray revealed its prognostic value to discriminate between advanced- and early-stage tumors, as well as serous tumors from other histologies. Moreover, E-cadherin, Neural cadherin (N-cadherin), cytokeratins and vimentin expression was assessed in TOV-112, SKOV-3, OAW-42 and OV-90 OC cell lines grown in monolayers and under anchorage-independent conditions to mimic ovarian tumor cell dissemination, and results were associated with cell aggressiveness. According to these EMT-related markers, cell lines were classified as mesenchymal (M; TOV-112), intermediate mesenchymal (IM; SKOV-3), intermediate epithelial (IE; OAW-42) and epithelial (E; OV-90). M- and IM-cells depicted the highest migration capacity when grown in monolayers, and aggregates derived from M- and IM-cell lines showed lower cell death, higher adhesion to extracellular matrices and higher invasion capacity than E- and IE-aggregates. The analysis of E-cadherin, N-cadherin, cytokeratin 19 and vimentin mRNA levels in 20 advanced-stage high-grade serous human OC ascites showed an IM phenotype in all cases, characterized by higher proportions of N- to E-cadherin and vimentin to cytokeratin 19. In particular, higher E-cadherin mRNA levels were associated with cancer antigen 125 levels more than 500 U/mL and platinum-free intervals less than 6 months. Altogether, E-cadherin expression levels were found relevant for the assessment of OC progression and aggressiveness.","container-title":"PLoS ONE","DOI":"10.1371/journal.pone.0184439","title":"E-cadherin: A determinant molecule associated with ovarian cancer progression, dissemination and aggressiveness","author":[{"family":"Rosso","given":"Marina"},{"family":"Majem","given":"Blanca"},{"family":"Devis","given":"Laura"},{"family":"Lapyckyj","given":"Lara"},{"family":"Besso","given":"María José"},{"family":"Llauradó","given":"Marta"},{"family":"Abascal","given":"María Florencia"},{"family":"Matos","given":"María Laura"},{"family":"Lanau","given":"Lucia"},{"family":"Castellví","given":"Josep"},{"family":"Sánchez","given":"José Luis"},{"family":"Benavente","given":"Asunción Pérez"},{"family":"Gil-Moreno","given":"Antonio"},{"family":"Reventós","given":"Jaume"},{"family":"Margalef","given":"Anna Santamaria"},{"family":"Rigau","given":"Marina"},{"family":"Vazquez-Levin","given":"Mónica Hebe"}],"issued":{"date-parts":[["2017"]]}}}],"schema":"https://github.com/citation-style-language/schema/raw/master/csl-citation.json"}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325</w:t>
      </w:r>
      <w:r w:rsidRPr="002A7128">
        <w:rPr>
          <w:rFonts w:ascii="Calibri" w:hAnsi="Calibri" w:cs="Calibri"/>
        </w:rPr>
        <w:fldChar w:fldCharType="end"/>
      </w:r>
      <w:r w:rsidRPr="002A7128">
        <w:rPr>
          <w:rFonts w:ascii="Calibri" w:hAnsi="Calibri" w:cs="Calibri"/>
        </w:rPr>
        <w:t>. Downregulation of E-cadherin is one of the key features of EMT</w:t>
      </w:r>
      <w:r w:rsidRPr="002A7128">
        <w:rPr>
          <w:rFonts w:ascii="Calibri" w:hAnsi="Calibri" w:cs="Calibri"/>
        </w:rPr>
        <w:fldChar w:fldCharType="begin"/>
      </w:r>
      <w:r w:rsidR="00A64B61" w:rsidRPr="002A7128">
        <w:rPr>
          <w:rFonts w:ascii="Calibri" w:hAnsi="Calibri" w:cs="Calibri"/>
        </w:rPr>
        <w:instrText xml:space="preserve"> ADDIN ZOTERO_ITEM CSL_CITATION {"citationID":"p5p3vZk1","properties":{"formattedCitation":"\\super 284\\nosupersub{}","plainCitation":"284","noteIndex":0},"citationItems":[{"id":134,"uris":["http://zotero.org/users/5797461/items/MPMJL9AC"],"itemData":{"id":134,"type":"chapter","container-title":"Progress in Molecular Biology and Translational Science","ISBN":"978-0-12-394311-8","language":"en","note":"DOI: 10.1016/B978-0-12-394311-8.00014-5","page":"317-336","publisher":"Elsevier","source":"DOI.org (Crossref)","title":"Cadherins and Epithelial-to-Mesenchymal Transition","URL":"https://linkinghub.elsevier.com/retrieve/pii/B9780123943118000145","volume":"116","author":[{"family":"Gheldof","given":"Alexander"},{"family":"Berx","given":"Geert"}],"accessed":{"date-parts":[["2019",7,2]]},"issued":{"date-parts":[["2013"]]},"citation-key":"gheldof_cadherins_2013"}}],"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284</w:t>
      </w:r>
      <w:r w:rsidRPr="002A7128">
        <w:rPr>
          <w:rFonts w:ascii="Calibri" w:hAnsi="Calibri" w:cs="Calibri"/>
        </w:rPr>
        <w:fldChar w:fldCharType="end"/>
      </w:r>
      <w:r w:rsidRPr="002A7128">
        <w:rPr>
          <w:rFonts w:ascii="Calibri" w:hAnsi="Calibri" w:cs="Calibri"/>
        </w:rPr>
        <w:t>, together with the upregulation of Vimentin</w:t>
      </w:r>
      <w:r w:rsidRPr="002A7128">
        <w:rPr>
          <w:rFonts w:ascii="Calibri" w:hAnsi="Calibri" w:cs="Calibri"/>
        </w:rPr>
        <w:fldChar w:fldCharType="begin"/>
      </w:r>
      <w:r w:rsidR="00317E7D" w:rsidRPr="002A7128">
        <w:rPr>
          <w:rFonts w:ascii="Calibri" w:hAnsi="Calibri" w:cs="Calibri"/>
        </w:rPr>
        <w:instrText xml:space="preserve"> ADDIN ZOTERO_ITEM CSL_CITATION {"citationID":"40lnEWbW","properties":{"formattedCitation":"\\super 290\\nosupersub{}","plainCitation":"290","noteIndex":0},"citationItems":[{"id":"wiida5Bo/QxsJbaam","uris":["http://zotero.org/users/local/91fNc9yk/items/KERZUA6F"],"itemData":{"id":568,"type":"article-journal","container-title":"The FASEB Journal","DOI":"10.1096/fj.09-151639","ISSN":"0892-6638, 1530-6860","issue":"6","journalAbbreviation":"FASEB j.","language":"en","page":"1838-1851","source":"DOI.org (Crossref)","title":"Vimentin induces changes in cell shape, motility, and adhesion during the epithelial to mesenchymal transition","volume":"24","author":[{"family":"Mendez","given":"Melissa G."},{"family":"Kojima","given":"Shin‐Ichiro"},{"family":"Goldman","given":"Robert D."}],"issued":{"date-parts":[["2010",6]]}}}],"schema":"https://github.com/citation-style-language/schema/raw/master/csl-citation.json"}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290</w:t>
      </w:r>
      <w:r w:rsidRPr="002A7128">
        <w:rPr>
          <w:rFonts w:ascii="Calibri" w:hAnsi="Calibri" w:cs="Calibri"/>
        </w:rPr>
        <w:fldChar w:fldCharType="end"/>
      </w:r>
      <w:r w:rsidRPr="002A7128">
        <w:rPr>
          <w:rFonts w:ascii="Calibri" w:hAnsi="Calibri" w:cs="Calibri"/>
        </w:rPr>
        <w:t>. We allocated the OVCAR-3 and OVCAR-8 spheroids on an EMT spectrum based on their E-cadherin and Vimentin expressions</w:t>
      </w:r>
      <w:r w:rsidRPr="002A7128">
        <w:rPr>
          <w:rFonts w:ascii="Calibri" w:hAnsi="Calibri" w:cs="Calibri"/>
        </w:rPr>
        <w:fldChar w:fldCharType="begin"/>
      </w:r>
      <w:r w:rsidR="00317E7D" w:rsidRPr="002A7128">
        <w:rPr>
          <w:rFonts w:ascii="Calibri" w:hAnsi="Calibri" w:cs="Calibri"/>
        </w:rPr>
        <w:instrText xml:space="preserve"> ADDIN ZOTERO_ITEM CSL_CITATION {"citationID":"ozmzNXx6","properties":{"formattedCitation":"\\super 325,326\\nosupersub{}","plainCitation":"325,326","noteIndex":0},"citationItems":[{"id":"wiida5Bo/zUaJYSVf","uris":["http://zotero.org/users/local/91fNc9yk/items/ZILTPM99"],"itemData":{"id":11,"type":"article-journal","abstract":"Ovarian cancer (OC) is the fifth cancer death cause in women worldwide. The malignant nature of this disease stems from its unique dissemination pattern. Epithelial-to-mesenchymal transition (EMT) has been reported in OC and downregulation of Epithelial cadherin (E-cadherin) is a hallmark of this process. However, findings on the relationship between E-cadherin levels and OC progression, dissemination and aggressiveness are controversial. In this study, the evaluation of E-cadherin expression in an OC tissue microarray revealed its prognostic value to discriminate between advanced- and early-stage tumors, as well as serous tumors from other histologies. Moreover, E-cadherin, Neural cadherin (N-cadherin), cytokeratins and vimentin expression was assessed in TOV-112, SKOV-3, OAW-42 and OV-90 OC cell lines grown in monolayers and under anchorage-independent conditions to mimic ovarian tumor cell dissemination, and results were associated with cell aggressiveness. According to these EMT-related markers, cell lines were classified as mesenchymal (M; TOV-112), intermediate mesenchymal (IM; SKOV-3), intermediate epithelial (IE; OAW-42) and epithelial (E; OV-90). M- and IM-cells depicted the highest migration capacity when grown in monolayers, and aggregates derived from M- and IM-cell lines showed lower cell death, higher adhesion to extracellular matrices and higher invasion capacity than E- and IE-aggregates. The analysis of E-cadherin, N-cadherin, cytokeratin 19 and vimentin mRNA levels in 20 advanced-stage high-grade serous human OC ascites showed an IM phenotype in all cases, characterized by higher proportions of N- to E-cadherin and vimentin to cytokeratin 19. In particular, higher E-cadherin mRNA levels were associated with cancer antigen 125 levels more than 500 U/mL and platinum-free intervals less than 6 months. Altogether, E-cadherin expression levels were found relevant for the assessment of OC progression and aggressiveness.","container-title":"PLoS ONE","DOI":"10.1371/journal.pone.0184439","title":"E-cadherin: A determinant molecule associated with ovarian cancer progression, dissemination and aggressiveness","author":[{"family":"Rosso","given":"Marina"},{"family":"Majem","given":"Blanca"},{"family":"Devis","given":"Laura"},{"family":"Lapyckyj","given":"Lara"},{"family":"Besso","given":"María José"},{"family":"Llauradó","given":"Marta"},{"family":"Abascal","given":"María Florencia"},{"family":"Matos","given":"María Laura"},{"family":"Lanau","given":"Lucia"},{"family":"Castellví","given":"Josep"},{"family":"Sánchez","given":"José Luis"},{"family":"Benavente","given":"Asunción Pérez"},{"family":"Gil-Moreno","given":"Antonio"},{"family":"Reventós","given":"Jaume"},{"family":"Margalef","given":"Anna Santamaria"},{"family":"Rigau","given":"Marina"},{"family":"Vazquez-Levin","given":"Mónica Hebe"}],"issued":{"date-parts":[["2017"]]}}},{"id":"wiida5Bo/mob2C4Hh","uris":["http://zotero.org/users/local/91fNc9yk/items/9QYGVXTZ"],"itemData":{"id":606,"type":"article-journal","abstract":"The phenotypic transformation of well-differentiated epithelial carcinoma into a mesenchymal-like state provides cancer cells with the ability to disseminate locally and to metastasise. Different degrees of epithelial-mesenchymal transition (EMT) have been found to occur in carcinomas from breast, colon and ovarian carcinoma (OC), among others. Numerous studies have focused on bona fide epithelial and mesenchymal states but rarely on intermediate states. In this study, we describe a model system for appraising the spectrum of EMT using 43 well-characterised OC cell lines. Phenotypic EMT characterisation reveals four subgroups: Epithelial, Intermediate E, Intermediate M and Mesenchymal, which represent different epithelial-mesenchymal compositions along the EMT spectrum. In cell-based EMT-related functional studies, OC cells harbouring an Intermediate M phenotype are characterised by high N-cadherin and ZEB1 expression and low E-cadherin and ERBB3/HER3 expression and are more anoikis-resistant and spheroidogenic. A specific Src-kinase inhibitor, Saracatinib (AZD0530), restores E-cadherin expression in Intermediate M cells in in vitro and in vivo models and abrogates spheroidogenesis. We show how a 33-gene EMT Signature can sub-classify an OC cohort into four EMT States correlating with progression-free survival (PFS). We conclude that the characterisation of intermediate EMT states provides a new approach to better define EMT. The concept of the EMT Spectrum allows the utilisation of EMT genes as predictive markers and the design and application of therapeutic targets for reversing EMT in a selective subgroup of patients.","container-title":"Cell Death &amp; Disease","DOI":"10.1038/cddis.2013.442","ISSN":"2041-4889","journalAbbreviation":"Cell Death Dis","language":"eng","note":"PMID: 24201814\nPMCID: PMC3847320","page":"e915","source":"PubMed","title":"An EMT spectrum defines an anoikis-resistant and spheroidogenic intermediate mesenchymal state that is sensitive to e-cadherin restoration by a src-kinase inhibitor, saracatinib (AZD0530)","volume":"4","author":[{"family":"Huang","given":"R. Y.-J."},{"family":"Wong","given":"M. K."},{"family":"Tan","given":"T. Z."},{"family":"Kuay","given":"K. T."},{"family":"Ng","given":"A. H. C."},{"family":"Chung","given":"V. Y."},{"family":"Chu","given":"Y.-S."},{"family":"Matsumura","given":"N."},{"family":"Lai","given":"H.-C."},{"family":"Lee","given":"Y. F."},{"family":"Sim","given":"W.-J."},{"family":"Chai","given":"C."},{"family":"Pietschmann","given":"E."},{"family":"Mori","given":"S."},{"family":"Low","given":"J. J. H."},{"family":"Choolani","given":"M."},{"family":"Thiery","given":"J. P."}],"issued":{"date-parts":[["2013",11,7]]}}}],"schema":"https://github.com/citation-style-language/schema/raw/master/csl-citation.json"}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325,326</w:t>
      </w:r>
      <w:r w:rsidRPr="002A7128">
        <w:rPr>
          <w:rFonts w:ascii="Calibri" w:hAnsi="Calibri" w:cs="Calibri"/>
        </w:rPr>
        <w:fldChar w:fldCharType="end"/>
      </w:r>
      <w:r w:rsidRPr="002A7128">
        <w:rPr>
          <w:rFonts w:ascii="Calibri" w:hAnsi="Calibri" w:cs="Calibri"/>
        </w:rPr>
        <w:t xml:space="preserve">. In line with previous observations, OVCAR-3 spheroids were positive for E-cadherin expression and negative for Vimentin expression (epithelial), whereas OVCAR-8 spheroids were negative for E-cadherin and positive for Vimentin expression (mesenchymal) </w:t>
      </w:r>
      <w:r w:rsidRPr="002A7128">
        <w:rPr>
          <w:rFonts w:ascii="Calibri" w:hAnsi="Calibri" w:cs="Calibri"/>
          <w:b/>
          <w:bCs/>
        </w:rPr>
        <w:t>(</w:t>
      </w:r>
      <w:r w:rsidR="007D49C3" w:rsidRPr="002A7128">
        <w:rPr>
          <w:rFonts w:ascii="Calibri" w:hAnsi="Calibri" w:cs="Calibri"/>
          <w:b/>
          <w:bCs/>
        </w:rPr>
        <w:fldChar w:fldCharType="begin"/>
      </w:r>
      <w:r w:rsidR="007D49C3" w:rsidRPr="002A7128">
        <w:rPr>
          <w:rFonts w:ascii="Calibri" w:hAnsi="Calibri" w:cs="Calibri"/>
          <w:b/>
          <w:bCs/>
        </w:rPr>
        <w:instrText xml:space="preserve"> REF _Ref103519364  \* MERGEFORMAT </w:instrText>
      </w:r>
      <w:r w:rsidR="007D49C3"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28</w:t>
      </w:r>
      <w:r w:rsidR="007D49C3" w:rsidRPr="002A7128">
        <w:rPr>
          <w:rFonts w:ascii="Calibri" w:hAnsi="Calibri" w:cs="Calibri"/>
          <w:b/>
          <w:bCs/>
        </w:rPr>
        <w:fldChar w:fldCharType="end"/>
      </w:r>
      <w:r w:rsidRPr="002A7128">
        <w:rPr>
          <w:rFonts w:ascii="Calibri" w:hAnsi="Calibri" w:cs="Calibri"/>
          <w:b/>
          <w:bCs/>
        </w:rPr>
        <w:t>)</w:t>
      </w:r>
      <w:r w:rsidRPr="002A7128">
        <w:rPr>
          <w:rFonts w:ascii="Calibri" w:hAnsi="Calibri" w:cs="Calibri"/>
        </w:rPr>
        <w:fldChar w:fldCharType="begin"/>
      </w:r>
      <w:r w:rsidR="00317E7D" w:rsidRPr="002A7128">
        <w:rPr>
          <w:rFonts w:ascii="Calibri" w:hAnsi="Calibri" w:cs="Calibri"/>
        </w:rPr>
        <w:instrText xml:space="preserve"> ADDIN ZOTERO_ITEM CSL_CITATION {"citationID":"rFHnQChZ","properties":{"formattedCitation":"\\super 277,301,327\\nosupersub{}","plainCitation":"277,301,327","noteIndex":0},"citationItems":[{"id":"wiida5Bo/Dwzr2UDs","uris":["http://zotero.org/users/local/91fNc9yk/items/DVKMQN9S"],"itemData":{"id":44,"type":"article-journal","abstract":"Ovarian cancer is the most lethal gynecological cancer, where survival rates have had modest improvement over the last 30 years. Metastasis of cancer cells is a major clinical problem, and patient mortality occurs when ovarian cancer cells spread beyond the confinement of ovaries. Disseminated ovarian cancer cells typically spread within the abdomen, where ascites accumulation aids in their transit. Metastatic ascites contain multicellular spheroids, which promote chemo-resistance and recurrence. However, little is known about the origin and mechanisms through which spheroids arise. Using live-imaging of 3D culture models and animal models, we report that epithelial ovarian cancer (EOC) cells, the most common type of ovarian cancer, can spontaneously detach as either single cells or clusters. We report that clusters are more resistant to anoikis and have a potent survival advantage over single cells. Using in vivo lineage tracing, we found that multicellular spheroids arise preferentially from collective detachment, rather than aggregation in the abdomen. Finally, we report that multicellular spheroids from collective detachment are capable of seeding intra-abdominal metastases that retain intra-tumoral heterogeneity from the primary tumor.","container-title":"Oncogene","DOI":"10.1038/s41388-018-0317-x","title":"Multicellular detachment generates metastatic spheroids during intra-abdominal dissemination in epithelial ovarian cancer","author":[{"family":"Al Habyan","given":"Sara"},{"family":"Kalos","given":"Christina"},{"family":"Szymborski","given":"Joseph"},{"family":"McCaffrey","given":"Luke"}],"issued":{"date-parts":[["2018"]]}}},{"id":"wiida5Bo/TFywGkjg","uris":["http://zotero.org/users/local/91fNc9yk/items/CV99LWTJ"],"itemData":{"id":87,"type":"article-journal","container-title":"International Journal of Oncology","DOI":"10.3892/ijo.2014.2695","ISSN":"1019-6439, 1791-2423","issue":"1","language":"en","page":"272-280","source":"DOI.org (Crossref)","title":"Alteration of epithelial-mesenchymal transition markers in human normal ovaries and neoplastic ovarian cancers","volume":"46","author":[{"family":"Yi","given":"Bo-Rim"},{"family":"Kim","given":"Tae-Hee"},{"family":"Kim","given":"Ye-Seul"},{"family":"Choi","given":"Kyung-Chul"}],"issued":{"date-parts":[["2015",1]]}}},{"id":"wiida5Bo/cHD7XVU3","uris":["http://zotero.org/users/local/91fNc9yk/items/3UZ8MXXA"],"itemData":{"id":577,"type":"article-journal","container-title":"Oncotarget","DOI":"10.18632/oncotarget.9053","ISSN":"1949-2553","issue":"22","journalAbbreviation":"Oncotarget","language":"en","source":"DOI.org (Crossref)","title":"Functional characterization of a panel of high-grade serous ovarian cancer cell lines as representative experimental models of the disease","URL":"http://www.oncotarget.com/fulltext/9053","volume":"7","author":[{"family":"Haley","given":"James"},{"family":"Tomar","given":"Sunil"},{"family":"Pulliam","given":"Nicholas"},{"family":"Xiong","given":"Sen"},{"family":"Perkins","given":"Susan M."},{"family":"Karpf","given":"Adam R."},{"family":"Mitra","given":"Sumegha"},{"family":"Nephew","given":"Kenneth P."},{"family":"Mitra","given":"Anirban K."}],"accessed":{"date-parts":[["2020",3,30]]},"issued":{"date-parts":[["2016",5,31]]}}}],"schema":"https://github.com/citation-style-language/schema/raw/master/csl-citation.json"}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277,301,327</w:t>
      </w:r>
      <w:r w:rsidRPr="002A7128">
        <w:rPr>
          <w:rFonts w:ascii="Calibri" w:hAnsi="Calibri" w:cs="Calibri"/>
        </w:rPr>
        <w:fldChar w:fldCharType="end"/>
      </w:r>
      <w:r w:rsidRPr="002A7128">
        <w:rPr>
          <w:rFonts w:ascii="Calibri" w:hAnsi="Calibri" w:cs="Calibri"/>
        </w:rPr>
        <w:t xml:space="preserve">. </w:t>
      </w:r>
    </w:p>
    <w:p w14:paraId="087962DE" w14:textId="4F4C9C23" w:rsidR="000711C0" w:rsidRPr="002A7128" w:rsidRDefault="000711C0" w:rsidP="00F675B4">
      <w:pPr>
        <w:spacing w:line="480" w:lineRule="auto"/>
        <w:jc w:val="both"/>
        <w:rPr>
          <w:rFonts w:ascii="Calibri" w:hAnsi="Calibri" w:cs="Calibri"/>
        </w:rPr>
      </w:pPr>
      <w:r w:rsidRPr="002A7128">
        <w:rPr>
          <w:rFonts w:ascii="Calibri" w:hAnsi="Calibri" w:cs="Calibri"/>
        </w:rPr>
        <w:t>Increased migratory phenotype was previously shown to correlate with upregulation of mesenchymal genes in EOC cell lines and human samples</w:t>
      </w:r>
      <w:r w:rsidRPr="002A7128">
        <w:rPr>
          <w:rFonts w:ascii="Calibri" w:hAnsi="Calibri" w:cs="Calibri"/>
        </w:rPr>
        <w:fldChar w:fldCharType="begin"/>
      </w:r>
      <w:r w:rsidR="00317E7D" w:rsidRPr="002A7128">
        <w:rPr>
          <w:rFonts w:ascii="Calibri" w:hAnsi="Calibri" w:cs="Calibri"/>
        </w:rPr>
        <w:instrText xml:space="preserve"> ADDIN ZOTERO_ITEM CSL_CITATION {"citationID":"WEvjEMur","properties":{"formattedCitation":"\\super 328\\nosupersub{}","plainCitation":"328","noteIndex":0},"citationItems":[{"id":"wiida5Bo/tjW41eMZ","uris":["http://zotero.org/users/local/91fNc9yk/items/2568XH2Y"],"itemData":{"id":573,"type":"article-journal","container-title":"Journal of Clinical Investigation","DOI":"10.1172/JCI69815","ISSN":"0021-9738","issue":"6","journalAbbreviation":"J. Clin. Invest.","language":"en","page":"2611-2625","source":"DOI.org (Crossref)","title":"Mesenchymal gene program–expressing ovarian cancer spheroids exhibit enhanced mesothelial clearance","volume":"124","author":[{"family":"Davidowitz","given":"Rachel A."},{"family":"Selfors","given":"Laura M."},{"family":"Iwanicki","given":"Marcin P."},{"family":"Elias","given":"Kevin M."},{"family":"Karst","given":"Alison"},{"family":"Piao","given":"Huiying"},{"family":"Ince","given":"Tan A."},{"family":"Drage","given":"Michael G."},{"family":"Dering","given":"Judy"},{"family":"Konecny","given":"Gottfried E."},{"family":"Matulonis","given":"Ursula"},{"family":"Mills","given":"Gordon B."},{"family":"Slamon","given":"Dennis J."},{"family":"Drapkin","given":"Ronny"},{"family":"Brugge","given":"Joan S."}],"issued":{"date-parts":[["2014",6,2]]}}}],"schema":"https://github.com/citation-style-language/schema/raw/master/csl-citation.json"}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328</w:t>
      </w:r>
      <w:r w:rsidRPr="002A7128">
        <w:rPr>
          <w:rFonts w:ascii="Calibri" w:hAnsi="Calibri" w:cs="Calibri"/>
        </w:rPr>
        <w:fldChar w:fldCharType="end"/>
      </w:r>
      <w:r w:rsidRPr="002A7128">
        <w:rPr>
          <w:rFonts w:ascii="Calibri" w:hAnsi="Calibri" w:cs="Calibri"/>
        </w:rPr>
        <w:t>. During the advanced-stages of cancer, EMT is regulated by several transcription factors, such as Snail, Slug and Twist, leading to an increased progression of the disease</w:t>
      </w:r>
      <w:r w:rsidRPr="002A7128">
        <w:rPr>
          <w:rFonts w:ascii="Calibri" w:hAnsi="Calibri" w:cs="Calibri"/>
        </w:rPr>
        <w:fldChar w:fldCharType="begin"/>
      </w:r>
      <w:r w:rsidR="00317E7D" w:rsidRPr="002A7128">
        <w:rPr>
          <w:rFonts w:ascii="Calibri" w:hAnsi="Calibri" w:cs="Calibri"/>
        </w:rPr>
        <w:instrText xml:space="preserve"> ADDIN ZOTERO_ITEM CSL_CITATION {"citationID":"Yor3kJPf","properties":{"formattedCitation":"\\super 329\\uc0\\u8211{}331\\nosupersub{}","plainCitation":"329–331","noteIndex":0},"citationItems":[{"id":"wiida5Bo/H9MVTZXl","uris":["http://zotero.org/users/local/91fNc9yk/items/NB5DCBDX"],"itemData":{"id":585,"type":"article-journal","container-title":"British Journal of Cancer","DOI":"10.1038/sj.bjc.6603533","ISSN":"0007-0920, 1532-1827","issue":"2","journalAbbreviation":"Br J Cancer","language":"en","page":"314-320","source":"DOI.org (Crossref)","title":"Expression of Twist increases the risk for recurrence and for poor survival in epithelial ovarian carcinoma patients","volume":"96","author":[{"family":"Hosono","given":"S"},{"family":"Kajiyama","given":"H"},{"family":"Terauchi","given":"M"},{"family":"Shibata","given":"K"},{"family":"Ino","given":"K"},{"family":"Nawa","given":"A"},{"family":"Kikkawa","given":"F"}],"issued":{"date-parts":[["2007",1]]}}},{"id":"wiida5Bo/Vp8G53Lw","uris":["http://zotero.org/users/local/91fNc9yk/items/TYE84A96"],"itemData":{"id":584,"type":"article-journal","container-title":"International Journal of Cancer","DOI":"10.1002/ijc.24901","ISSN":"00207136, 10970215","journalAbbreviation":"Int. J. Cancer","language":"en","page":"n/a-n/a","source":"DOI.org (Crossref)","title":"Snail is critical for tumor growth and metastasis of ovarian carcinoma","author":[{"family":"Jin","given":"Hongyan"},{"family":"Yu","given":"Yinhua"},{"family":"Zhang","given":"Tao"},{"family":"Zhou","given":"Xianrong"},{"family":"Zhou","given":"Jiayi"},{"family":"Jia","given":"Luoqi"},{"family":"Wu","given":"Yadi"},{"family":"Zhou","given":"Binhua P."},{"family":"Feng","given":"Youji"}],"issued":{"date-parts":[["2009"]]}}},{"id":"wiida5Bo/tfv9mrfo","uris":["http://zotero.org/users/local/91fNc9yk/items/UT24UC8X"],"itemData":{"id":582,"type":"article-journal","container-title":"Current Oncology","DOI":"10.3747/co.19.895","ISSN":"11980052","issue":"1","journalAbbreviation":"Curr. Oncol.","page":"36-38","source":"DOI.org (Crossref)","title":"Understanding and overcoming chemoresistance in ovarian cancer: emerging role of the endothelin axis","title-short":"Understanding and overcoming chemoresistance in ovarian cancer","volume":"19","author":[{"family":"Bagnato","given":"A."},{"family":"Rosanò","given":"L."}],"issued":{"date-parts":[["2012",2,1]]}}}],"schema":"https://github.com/citation-style-language/schema/raw/master/csl-citation.json"}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329–331</w:t>
      </w:r>
      <w:r w:rsidRPr="002A7128">
        <w:rPr>
          <w:rFonts w:ascii="Calibri" w:hAnsi="Calibri" w:cs="Calibri"/>
        </w:rPr>
        <w:fldChar w:fldCharType="end"/>
      </w:r>
      <w:r w:rsidRPr="002A7128">
        <w:rPr>
          <w:rFonts w:ascii="Calibri" w:hAnsi="Calibri" w:cs="Calibri"/>
        </w:rPr>
        <w:fldChar w:fldCharType="begin"/>
      </w:r>
      <w:r w:rsidR="00317E7D" w:rsidRPr="002A7128">
        <w:rPr>
          <w:rFonts w:ascii="Calibri" w:hAnsi="Calibri" w:cs="Calibri"/>
        </w:rPr>
        <w:instrText xml:space="preserve"> ADDIN ZOTERO_ITEM CSL_CITATION {"citationID":"zu75ceWv","properties":{"formattedCitation":"\\super 332,333\\nosupersub{}","plainCitation":"332,333","noteIndex":0},"citationItems":[{"id":"wiida5Bo/6bsS4wxv","uris":["http://zotero.org/users/local/91fNc9yk/items/R35L4Z37"],"itemData":{"id":539,"type":"article-journal","container-title":"Reproductive Sciences","DOI":"10.1177/1933719116654989","ISSN":"1933-7191, 1933-7205","issue":"2","journalAbbreviation":"Reprod Sci","language":"en","page":"291-299","source":"DOI.org (Crossref)","title":"Slug Is Associated With Tumor Metastasis and Angiogenesis in Ovarian Cancer","volume":"24","author":[{"family":"Gu","given":"Anxin"},{"family":"Jie","given":"Yamin"},{"family":"Yao","given":"Qiang"},{"family":"Zhang","given":"Yuqi"},{"family":"Mingyan","given":"E."}],"issued":{"date-parts":[["2017",2]]}}},{"id":"wiida5Bo/cvwHPJJ0","uris":["http://zotero.org/users/local/91fNc9yk/items/IRC9WKQT"],"itemData":{"id":540,"type":"article-journal","container-title":"International Journal of Oncology","DOI":"10.3892/ijo.2015.2878","ISSN":"1019-6439, 1791-2423","issue":"4","language":"en","page":"1461-1472","source":"DOI.org (Crossref)","title":"Slug contributes to cancer progression by direct regulation of ERα signaling pathway","volume":"46","author":[{"family":"Li","given":"Youqiang"},{"family":"Wu","given":"Yanyuan"},{"family":"Abbatiello","given":"Thomas C."},{"family":"Wu","given":"Warren L."},{"family":"Kim","given":"Ju Ri"},{"family":"Sarkissyan","given":"Marianna"},{"family":"Sarkissyan","given":"Suren"},{"family":"Chung","given":"Seyung S."},{"family":"Elshimali","given":"Yahya"},{"family":"Vadgama","given":"Jaydutt V."}],"issued":{"date-parts":[["2015",4]]}}}],"schema":"https://github.com/citation-style-language/schema/raw/master/csl-citation.json"}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332,333</w:t>
      </w:r>
      <w:r w:rsidRPr="002A7128">
        <w:rPr>
          <w:rFonts w:ascii="Calibri" w:hAnsi="Calibri" w:cs="Calibri"/>
        </w:rPr>
        <w:fldChar w:fldCharType="end"/>
      </w:r>
      <w:r w:rsidRPr="002A7128">
        <w:rPr>
          <w:rFonts w:ascii="Calibri" w:hAnsi="Calibri" w:cs="Calibri"/>
        </w:rPr>
        <w:t>. In particular, overexpression of slug is reported to correlate with the invasiveness of ovarian cancer</w:t>
      </w:r>
      <w:r w:rsidRPr="002A7128">
        <w:rPr>
          <w:rFonts w:ascii="Calibri" w:hAnsi="Calibri" w:cs="Calibri"/>
        </w:rPr>
        <w:fldChar w:fldCharType="begin"/>
      </w:r>
      <w:r w:rsidR="00317E7D" w:rsidRPr="002A7128">
        <w:rPr>
          <w:rFonts w:ascii="Calibri" w:hAnsi="Calibri" w:cs="Calibri"/>
        </w:rPr>
        <w:instrText xml:space="preserve"> ADDIN ZOTERO_ITEM CSL_CITATION {"citationID":"7AX2xW6M","properties":{"formattedCitation":"\\super 311,334\\nosupersub{}","plainCitation":"311,334","noteIndex":0},"citationItems":[{"id":"wiida5Bo/ZJYkz7UM","uris":["http://zotero.org/users/local/91fNc9yk/items/T7LIM6ZA"],"itemData":{"id":542,"type":"article-journal","container-title":"Gynecologic Oncology","DOI":"10.1016/j.ygyno.2004.12.043","ISSN":"00908258","issue":"1","journalAbbreviation":"Gynecologic Oncology","language":"en","page":"155-165","source":"DOI.org (Crossref)","title":"Snail and Slug are major determinants of ovarian cancer invasiveness at the transcription level","volume":"97","author":[{"family":"Kurrey","given":"N.K."},{"family":"K","given":"Amit"},{"family":"Bapat","given":"S.A."}],"issued":{"date-parts":[["2005",4]]}}},{"id":"wiida5Bo/UpFna6ZJ","uris":["http://zotero.org/users/local/91fNc9yk/items/U963ZIKZ"],"itemData":{"id":543,"type":"article-journal","container-title":"Molecular Cancer","DOI":"10.1186/1476-4598-10-139","ISSN":"1476-4598","issue":"1","journalAbbreviation":"Mol Cancer","language":"en","page":"139","source":"DOI.org (Crossref)","title":"SLUG promotes prostate cancer cell migration and invasion via CXCR4/CXCL12 axis","volume":"10","author":[{"family":"Uygur","given":"Berna"},{"family":"Wu","given":"Wen-Shu"}],"issued":{"date-parts":[["2011"]]}}}],"schema":"https://github.com/citation-style-language/schema/raw/master/csl-citation.json"}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311,334</w:t>
      </w:r>
      <w:r w:rsidRPr="002A7128">
        <w:rPr>
          <w:rFonts w:ascii="Calibri" w:hAnsi="Calibri" w:cs="Calibri"/>
        </w:rPr>
        <w:fldChar w:fldCharType="end"/>
      </w:r>
      <w:r w:rsidRPr="002A7128">
        <w:rPr>
          <w:rFonts w:ascii="Calibri" w:hAnsi="Calibri" w:cs="Calibri"/>
        </w:rPr>
        <w:t>. We examined the expression of slug in our EOC monolayer cells and their spheroids and found that OVCAR-3 monolayers and spheroids were deficient of slug, whereas OVCAR-8 monolayer and spheroids expressed slug, supporting OVCAR-8’s mesenchymal phenotype. We then quantified migration profiles and, in line with previous observations</w:t>
      </w:r>
      <w:r w:rsidRPr="002A7128">
        <w:rPr>
          <w:rFonts w:ascii="Calibri" w:hAnsi="Calibri" w:cs="Calibri"/>
        </w:rPr>
        <w:fldChar w:fldCharType="begin"/>
      </w:r>
      <w:r w:rsidR="00317E7D" w:rsidRPr="002A7128">
        <w:rPr>
          <w:rFonts w:ascii="Calibri" w:hAnsi="Calibri" w:cs="Calibri"/>
        </w:rPr>
        <w:instrText xml:space="preserve"> ADDIN ZOTERO_ITEM CSL_CITATION {"citationID":"twBIsm0P","properties":{"formattedCitation":"\\super 328,335\\nosupersub{}","plainCitation":"328,335","noteIndex":0},"citationItems":[{"id":"wiida5Bo/tjW41eMZ","uris":["http://zotero.org/users/local/91fNc9yk/items/2568XH2Y"],"itemData":{"id":573,"type":"article-journal","container-title":"Journal of Clinical Investigation","DOI":"10.1172/JCI69815","ISSN":"0021-9738","issue":"6","journalAbbreviation":"J. Clin. Invest.","language":"en","page":"2611-2625","source":"DOI.org (Crossref)","title":"Mesenchymal gene program–expressing ovarian cancer spheroids exhibit enhanced mesothelial clearance","volume":"124","author":[{"family":"Davidowitz","given":"Rachel A."},{"family":"Selfors","given":"Laura M."},{"family":"Iwanicki","given":"Marcin P."},{"family":"Elias","given":"Kevin M."},{"family":"Karst","given":"Alison"},{"family":"Piao","given":"Huiying"},{"family":"Ince","given":"Tan A."},{"family":"Drage","given":"Michael G."},{"family":"Dering","given":"Judy"},{"family":"Konecny","given":"Gottfried E."},{"family":"Matulonis","given":"Ursula"},{"family":"Mills","given":"Gordon B."},{"family":"Slamon","given":"Dennis J."},{"family":"Drapkin","given":"Ronny"},{"family":"Brugge","given":"Joan S."}],"issued":{"date-parts":[["2014",6,2]]}}},{"id":"wiida5Bo/OwrZTuX9","uris":["http://zotero.org/users/local/91fNc9yk/items/JMQEYNJ5"],"itemData":{"id":575,"type":"article-journal","container-title":"Experimental and Therapeutic Medicine","DOI":"10.3892/etm.2017.5259","ISSN":"1792-0981, 1792-1015","journalAbbreviation":"Exp Ther Med","source":"DOI.org (Crossref)","title":"Effects of CD44 and E</w:instrText>
      </w:r>
      <w:r w:rsidR="00317E7D" w:rsidRPr="002A7128">
        <w:rPr>
          <w:rFonts w:ascii="Cambria Math" w:hAnsi="Cambria Math" w:cs="Cambria Math"/>
        </w:rPr>
        <w:instrText>‑</w:instrText>
      </w:r>
      <w:r w:rsidR="00317E7D" w:rsidRPr="002A7128">
        <w:rPr>
          <w:rFonts w:ascii="Calibri" w:hAnsi="Calibri" w:cs="Calibri"/>
        </w:rPr>
        <w:instrText xml:space="preserve">cadherin overexpression on the proliferation, adhesion and invasion of ovarian cancer cells","URL":"http://www.spandidos-publications.com/10.3892/etm.2017.5259","author":[{"family":"Mao","given":"Meiya"},{"family":"Zheng","given":"Xiaojiao"},{"family":"Jin","given":"Bohong"},{"family":"Zhang","given":"Fubin"},{"family":"Zhu","given":"Linyan"},{"family":"Cui","given":"Lining"}],"accessed":{"date-parts":[["2020",3,30]]},"issued":{"date-parts":[["2017",10,3]]}},"locator":"44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328,335</w:t>
      </w:r>
      <w:r w:rsidRPr="002A7128">
        <w:rPr>
          <w:rFonts w:ascii="Calibri" w:hAnsi="Calibri" w:cs="Calibri"/>
        </w:rPr>
        <w:fldChar w:fldCharType="end"/>
      </w:r>
      <w:r w:rsidRPr="002A7128">
        <w:rPr>
          <w:rFonts w:ascii="Calibri" w:hAnsi="Calibri" w:cs="Calibri"/>
        </w:rPr>
        <w:t xml:space="preserve">, OVCAR-8 spheroids displayed nearly 13 fold (24 h) and 16 </w:t>
      </w:r>
      <w:r w:rsidRPr="002A7128">
        <w:rPr>
          <w:rFonts w:ascii="Calibri" w:hAnsi="Calibri" w:cs="Calibri"/>
        </w:rPr>
        <w:lastRenderedPageBreak/>
        <w:t>fold (48 h) increased migration area compared to OVCAR-3 spheroids. It should be noted, however, that the high migratory phenotype of cancer cells is also orchestrated by proteins such as CD44</w:t>
      </w:r>
      <w:r w:rsidRPr="002A7128">
        <w:rPr>
          <w:rFonts w:ascii="Calibri" w:hAnsi="Calibri" w:cs="Calibri"/>
        </w:rPr>
        <w:fldChar w:fldCharType="begin"/>
      </w:r>
      <w:r w:rsidR="00317E7D" w:rsidRPr="002A7128">
        <w:rPr>
          <w:rFonts w:ascii="Calibri" w:hAnsi="Calibri" w:cs="Calibri"/>
        </w:rPr>
        <w:instrText xml:space="preserve"> ADDIN ZOTERO_ITEM CSL_CITATION {"citationID":"aDVHuaZu","properties":{"formattedCitation":"\\super 335\\nosupersub{}","plainCitation":"335","noteIndex":0},"citationItems":[{"id":"wiida5Bo/OwrZTuX9","uris":["http://zotero.org/users/local/91fNc9yk/items/JMQEYNJ5"],"itemData":{"id":575,"type":"article-journal","container-title":"Experimental and Therapeutic Medicine","DOI":"10.3892/etm.2017.5259","ISSN":"1792-0981, 1792-1015","journalAbbreviation":"Exp Ther Med","source":"DOI.org (Crossref)","title":"Effects of CD44 and E</w:instrText>
      </w:r>
      <w:r w:rsidR="00317E7D" w:rsidRPr="002A7128">
        <w:rPr>
          <w:rFonts w:ascii="Cambria Math" w:hAnsi="Cambria Math" w:cs="Cambria Math"/>
        </w:rPr>
        <w:instrText>‑</w:instrText>
      </w:r>
      <w:r w:rsidR="00317E7D" w:rsidRPr="002A7128">
        <w:rPr>
          <w:rFonts w:ascii="Calibri" w:hAnsi="Calibri" w:cs="Calibri"/>
        </w:rPr>
        <w:instrText xml:space="preserve">cadherin overexpression on the proliferation, adhesion and invasion of ovarian cancer cells","URL":"http://www.spandidos-publications.com/10.3892/etm.2017.5259","author":[{"family":"Mao","given":"Meiya"},{"family":"Zheng","given":"Xiaojiao"},{"family":"Jin","given":"Bohong"},{"family":"Zhang","given":"Fubin"},{"family":"Zhu","given":"Linyan"},{"family":"Cui","given":"Lining"}],"accessed":{"date-parts":[["2020",3,30]]},"issued":{"date-parts":[["2017",10,3]]}},"locator":"44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335</w:t>
      </w:r>
      <w:r w:rsidRPr="002A7128">
        <w:rPr>
          <w:rFonts w:ascii="Calibri" w:hAnsi="Calibri" w:cs="Calibri"/>
        </w:rPr>
        <w:fldChar w:fldCharType="end"/>
      </w:r>
      <w:r w:rsidRPr="002A7128">
        <w:rPr>
          <w:rFonts w:ascii="Calibri" w:hAnsi="Calibri" w:cs="Calibri"/>
        </w:rPr>
        <w:t xml:space="preserve"> and transcription factors such as twist</w:t>
      </w:r>
      <w:r w:rsidRPr="002A7128">
        <w:rPr>
          <w:rFonts w:ascii="Calibri" w:hAnsi="Calibri" w:cs="Calibri"/>
        </w:rPr>
        <w:fldChar w:fldCharType="begin"/>
      </w:r>
      <w:r w:rsidR="00317E7D" w:rsidRPr="002A7128">
        <w:rPr>
          <w:rFonts w:ascii="Calibri" w:hAnsi="Calibri" w:cs="Calibri"/>
        </w:rPr>
        <w:instrText xml:space="preserve"> ADDIN ZOTERO_ITEM CSL_CITATION {"citationID":"7BEUQrTZ","properties":{"formattedCitation":"\\super 329\\nosupersub{}","plainCitation":"329","noteIndex":0},"citationItems":[{"id":"wiida5Bo/H9MVTZXl","uris":["http://zotero.org/users/local/91fNc9yk/items/NB5DCBDX"],"itemData":{"id":585,"type":"article-journal","container-title":"British Journal of Cancer","DOI":"10.1038/sj.bjc.6603533","ISSN":"0007-0920, 1532-1827","issue":"2","journalAbbreviation":"Br J Cancer","language":"en","page":"314-320","source":"DOI.org (Crossref)","title":"Expression of Twist increases the risk for recurrence and for poor survival in epithelial ovarian carcinoma patients","volume":"96","author":[{"family":"Hosono","given":"S"},{"family":"Kajiyama","given":"H"},{"family":"Terauchi","given":"M"},{"family":"Shibata","given":"K"},{"family":"Ino","given":"K"},{"family":"Nawa","given":"A"},{"family":"Kikkawa","given":"F"}],"issued":{"date-parts":[["2007",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329</w:t>
      </w:r>
      <w:r w:rsidRPr="002A7128">
        <w:rPr>
          <w:rFonts w:ascii="Calibri" w:hAnsi="Calibri" w:cs="Calibri"/>
        </w:rPr>
        <w:fldChar w:fldCharType="end"/>
      </w:r>
      <w:r w:rsidRPr="002A7128">
        <w:rPr>
          <w:rFonts w:ascii="Calibri" w:hAnsi="Calibri" w:cs="Calibri"/>
        </w:rPr>
        <w:t xml:space="preserve"> and snail</w:t>
      </w:r>
      <w:r w:rsidRPr="002A7128">
        <w:rPr>
          <w:rFonts w:ascii="Calibri" w:hAnsi="Calibri" w:cs="Calibri"/>
        </w:rPr>
        <w:fldChar w:fldCharType="begin"/>
      </w:r>
      <w:r w:rsidR="00317E7D" w:rsidRPr="002A7128">
        <w:rPr>
          <w:rFonts w:ascii="Calibri" w:hAnsi="Calibri" w:cs="Calibri"/>
        </w:rPr>
        <w:instrText xml:space="preserve"> ADDIN ZOTERO_ITEM CSL_CITATION {"citationID":"wo8rHXhc","properties":{"formattedCitation":"\\super 330,334\\nosupersub{}","plainCitation":"330,334","noteIndex":0},"citationItems":[{"id":"wiida5Bo/Vp8G53Lw","uris":["http://zotero.org/users/local/91fNc9yk/items/TYE84A96"],"itemData":{"id":584,"type":"article-journal","container-title":"International Journal of Cancer","DOI":"10.1002/ijc.24901","ISSN":"00207136, 10970215","journalAbbreviation":"Int. J. Cancer","language":"en","page":"n/a-n/a","source":"DOI.org (Crossref)","title":"Snail is critical for tumor growth and metastasis of ovarian carcinoma","author":[{"family":"Jin","given":"Hongyan"},{"family":"Yu","given":"Yinhua"},{"family":"Zhang","given":"Tao"},{"family":"Zhou","given":"Xianrong"},{"family":"Zhou","given":"Jiayi"},{"family":"Jia","given":"Luoqi"},{"family":"Wu","given":"Yadi"},{"family":"Zhou","given":"Binhua P."},{"family":"Feng","given":"Youji"}],"issued":{"date-parts":[["2009"]]}}},{"id":"wiida5Bo/ZJYkz7UM","uris":["http://zotero.org/users/local/91fNc9yk/items/T7LIM6ZA"],"itemData":{"id":542,"type":"article-journal","container-title":"Gynecologic Oncology","DOI":"10.1016/j.ygyno.2004.12.043","ISSN":"00908258","issue":"1","journalAbbreviation":"Gynecologic Oncology","language":"en","page":"155-165","source":"DOI.org (Crossref)","title":"Snail and Slug are major determinants of ovarian cancer invasiveness at the transcription level","volume":"97","author":[{"family":"Kurrey","given":"N.K."},{"family":"K","given":"Amit"},{"family":"Bapat","given":"S.A."}],"issued":{"date-parts":[["2005",4]]}}}],"schema":"https://github.com/citation-style-language/schema/raw/master/csl-citation.json"}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330,334</w:t>
      </w:r>
      <w:r w:rsidRPr="002A7128">
        <w:rPr>
          <w:rFonts w:ascii="Calibri" w:hAnsi="Calibri" w:cs="Calibri"/>
        </w:rPr>
        <w:fldChar w:fldCharType="end"/>
      </w:r>
      <w:r w:rsidRPr="002A7128">
        <w:rPr>
          <w:rFonts w:ascii="Calibri" w:hAnsi="Calibri" w:cs="Calibri"/>
        </w:rPr>
        <w:t xml:space="preserve"> in addition to E-cadherin, Vimentin and Slug. </w:t>
      </w:r>
    </w:p>
    <w:p w14:paraId="3CFFE61F" w14:textId="08D8C0A8" w:rsidR="00317E7D" w:rsidRPr="002A7128" w:rsidRDefault="000711C0" w:rsidP="00C62AA6">
      <w:pPr>
        <w:spacing w:line="480" w:lineRule="auto"/>
        <w:jc w:val="both"/>
        <w:rPr>
          <w:rFonts w:ascii="Calibri" w:hAnsi="Calibri" w:cs="Calibri"/>
        </w:rPr>
      </w:pPr>
      <w:r w:rsidRPr="002A7128">
        <w:rPr>
          <w:rFonts w:ascii="Calibri" w:hAnsi="Calibri" w:cs="Calibri"/>
        </w:rPr>
        <w:t>In conclusion, the two distinct morphologies we observed here (loose aggregates and compact spheroids) are clinically relevant because both spheroid morphologies are present in samples isolated from the same patient</w:t>
      </w:r>
      <w:r w:rsidRPr="002A7128">
        <w:rPr>
          <w:rFonts w:ascii="Calibri" w:hAnsi="Calibri" w:cs="Calibri"/>
        </w:rPr>
        <w:fldChar w:fldCharType="begin"/>
      </w:r>
      <w:r w:rsidR="00317E7D" w:rsidRPr="002A7128">
        <w:rPr>
          <w:rFonts w:ascii="Calibri" w:hAnsi="Calibri" w:cs="Calibri"/>
        </w:rPr>
        <w:instrText xml:space="preserve"> ADDIN ZOTERO_ITEM CSL_CITATION {"citationID":"yhkHA6fz","properties":{"formattedCitation":"\\super 281\\nosupersub{}","plainCitation":"281","noteIndex":0},"citationItems":[{"id":"wiida5Bo/SR1B1r67","uris":["http://zotero.org/users/local/91fNc9yk/items/ITM2LL25"],"itemData":{"id":25,"type":"article-journal","abstract":"Serous, mucinous, endometrioid and clear cell human ovarian carcinoma cells were isolated as multicellular aggregates from patient effusions by filtration on nylon mesh of defined porosity and examined by light microscopy.  The cell clusters ranged from compact to loosely adherent groups of cells to spheroids with a central lumen surrounded by a cell monolayer.  There was considerable variation in cluster morphology between effusions from different patients as well as within effusion from the same patient.  Apparent budding of clusters was observed as well as different stages of cluster growth and development.  This was observed for all histologic types studied.  Electron microscopy of serous, mucinous and clear cell types showed that cells forming clusters were attached to each other by desmosomes, demonstrating that cluster formation did not result from a nonspecific stickiness of cells.  Irregular microvilli were present on the external periphery of the various carcinoma cells and a prominent glycocalyx was present on the surface of mucinous carcinoma cells.  Extensive interdigitation of cytoplasmic extensions and extended villi was present in mucinous and serous clusters which appeared to strengthen cluster cohesiveness.  Nuclei were irregular with prominent nucleoli frequently present.  The cell clusters usually remained intact and viable in culture but generally did not attach to glass or plastic substrata, whereas mesothelial cells and nonactivated histiocytes rapidly attached.  When carcinoma cell clusters did attach, they were resistant to detachment by trypsin-EDTA treatment, in contrast to the nonmalignant cells.[on SciFinder (R)]","container-title":"Pathobiology","DOI":"10.1159/000163419","title":"Isolation and Morphologic Characterization of Human Ovarian Carcinoma Cell Clusters Present in Effusions","author":[{"family":"Allen","given":"Howard J."},{"family":"Porter","given":"Carl"},{"family":"Gamarra","given":"Marie"},{"family":"Piver","given":"Steven"},{"family":"Johnson","given":"Edward A.Z."}],"issued":{"date-parts":[["2008"]]}}}],"schema":"https://github.com/citation-style-language/schema/raw/master/csl-citation.json"}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281</w:t>
      </w:r>
      <w:r w:rsidRPr="002A7128">
        <w:rPr>
          <w:rFonts w:ascii="Calibri" w:hAnsi="Calibri" w:cs="Calibri"/>
        </w:rPr>
        <w:fldChar w:fldCharType="end"/>
      </w:r>
      <w:r w:rsidRPr="002A7128">
        <w:rPr>
          <w:rFonts w:ascii="Calibri" w:hAnsi="Calibri" w:cs="Calibri"/>
        </w:rPr>
        <w:t>. Here we showed how these spheroid morphologies are associated with the expression levels of the EMT markers E-cadherin and Vimentin, and the transcription factor Slug. Spheroids displayed size-independent resistance against Taxol, which can be explained by increased mesenchymal like gene expression in ovarian cancer spheroids</w:t>
      </w:r>
      <w:r w:rsidRPr="002A7128">
        <w:rPr>
          <w:rFonts w:ascii="Calibri" w:hAnsi="Calibri" w:cs="Calibri"/>
        </w:rPr>
        <w:fldChar w:fldCharType="begin"/>
      </w:r>
      <w:r w:rsidR="00317E7D" w:rsidRPr="002A7128">
        <w:rPr>
          <w:rFonts w:ascii="Calibri" w:hAnsi="Calibri" w:cs="Calibri"/>
        </w:rPr>
        <w:instrText xml:space="preserve"> ADDIN ZOTERO_ITEM CSL_CITATION {"citationID":"LhKWu3BB","properties":{"formattedCitation":"\\super 336\\nosupersub{}","plainCitation":"336","noteIndex":0},"citationItems":[{"id":"wiida5Bo/nurBJotX","uris":["http://zotero.org/users/local/91fNc9yk/items/VF6D3H3U"],"itemData":{"id":611,"type":"article-journal","container-title":"Cancer Research","DOI":"10.1158/0008-5472.CAN-17-3993","ISSN":"0008-5472, 1538-7445","issue":"15","journalAbbreviation":"Cancer Res","language":"en","page":"4370-4385","source":"DOI.org (Crossref)","title":"Licofelone Enhances the Efficacy of Paclitaxel in Ovarian Cancer by Reversing Drug Resistance and Tumor Stem-like Properties","volume":"78","author":[{"family":"Hirst","given":"Jeff"},{"family":"Pathak","given":"Harsh B."},{"family":"Hyter","given":"Stephen"},{"family":"Pessetto","given":"Ziyan Y."},{"family":"Ly","given":"Thuc"},{"family":"Graw","given":"Stefan"},{"family":"Koestler","given":"Devin C."},{"family":"Krieg","given":"Adam J."},{"family":"Roby","given":"Katherine F."},{"family":"Godwin","given":"Andrew K."}],"issued":{"date-parts":[["2018",8,1]]}}}],"schema":"https://github.com/citation-style-language/schema/raw/master/csl-citation.json"}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336</w:t>
      </w:r>
      <w:r w:rsidRPr="002A7128">
        <w:rPr>
          <w:rFonts w:ascii="Calibri" w:hAnsi="Calibri" w:cs="Calibri"/>
        </w:rPr>
        <w:fldChar w:fldCharType="end"/>
      </w:r>
      <w:r w:rsidRPr="002A7128">
        <w:rPr>
          <w:rFonts w:ascii="Calibri" w:hAnsi="Calibri" w:cs="Calibri"/>
        </w:rPr>
        <w:t>. Spheroids also displayed size-independent resistance against Cisplatin, and Cisplatin was observed to have similar cytotoxicity for both monolayers and spheroids - a phenomenon observed before</w:t>
      </w:r>
      <w:r w:rsidRPr="002A7128">
        <w:rPr>
          <w:rFonts w:ascii="Calibri" w:hAnsi="Calibri" w:cs="Calibri"/>
        </w:rPr>
        <w:fldChar w:fldCharType="begin"/>
      </w:r>
      <w:r w:rsidR="00317E7D" w:rsidRPr="002A7128">
        <w:rPr>
          <w:rFonts w:ascii="Calibri" w:hAnsi="Calibri" w:cs="Calibri"/>
        </w:rPr>
        <w:instrText xml:space="preserve"> ADDIN ZOTERO_ITEM CSL_CITATION {"citationID":"A1Kvfkna","properties":{"formattedCitation":"\\super 337\\uc0\\u8211{}339\\nosupersub{}","plainCitation":"337–339","noteIndex":0},"citationItems":[{"id":"wiida5Bo/Cln6AChn","uris":["http://zotero.org/users/local/91fNc9yk/items/DZ5U7FF9"],"itemData":{"id":613,"type":"article-journal","container-title":"PLoS ONE","DOI":"10.1371/journal.pone.0059219","ISSN":"1932-6203","issue":"3","journalAbbreviation":"PLoS ONE","language":"en","page":"e59219","source":"DOI.org (Crossref)","title":"Bioengineered 3D Human Kidney Tissue, a Platform for the Determination of Nephrotoxicity","volume":"8","author":[{"family":"DesRochers","given":"Teresa M."},{"family":"Suter","given":"Laura"},{"family":"Roth","given":"Adrian"},{"family":"Kaplan","given":"David L."}],"editor":[{"family":"Egles","given":"Christophe"}],"issued":{"date-parts":[["2013",3,14]]}}},{"id":"wiida5Bo/sIMVrzwe","uris":["http://zotero.org/users/local/91fNc9yk/items/FEYE7TSV"],"itemData":{"id":615,"type":"article-journal","container-title":"PLOS ONE","DOI":"10.1371/journal.pone.0151089","ISSN":"1932-6203","issue":"3","journalAbbreviation":"PLoS ONE","language":"en","page":"e0151089","source":"DOI.org (Crossref)","title":"Cisplatin Resistant Spheroids Model Clinically Relevant Survival Mechanisms in Ovarian Tumors","volume":"11","author":[{"family":"Chowanadisai","given":"Winyoo"},{"family":"Messerli","given":"Shanta M."},{"family":"Miller","given":"Daniel H."},{"family":"Medina","given":"Jamie E."},{"family":"Hamilton","given":"Joshua W."},{"family":"Messerli","given":"Mark A."},{"family":"Brodsky","given":"Alexander S."}],"editor":[{"family":"Orsulic","given":"Sandra"}],"issued":{"date-parts":[["2016",3,17]]}}},{"id":"wiida5Bo/khGdLNwq","uris":["http://zotero.org/users/local/91fNc9yk/items/RBUHMSXR"],"itemData":{"id":617,"type":"article-journal","container-title":"Proceedings of the National Academy of Sciences","DOI":"10.1073/pnas.89.7.3070","ISSN":"0027-8424, 1091-6490","issue":"7","journalAbbreviation":"Proceedings of the National Academy of Sciences","language":"en","page":"3070-3074","source":"DOI.org (Crossref)","title":"High resistance to cisplatin in human ovarian cancer cell lines is associated with marked increase of glutathione synthesis.","volume":"89","author":[{"family":"Godwin","given":"A. K."},{"family":"Meister","given":"A."},{"family":"O'Dwyer","given":"P. J."},{"family":"Huang","given":"C. S."},{"family":"Hamilton","given":"T. C."},{"family":"Anderson","given":"M. E."}],"issued":{"date-parts":[["1992",4,1]]}}}],"schema":"https://github.com/citation-style-language/schema/raw/master/csl-citation.json"}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337–339</w:t>
      </w:r>
      <w:r w:rsidRPr="002A7128">
        <w:rPr>
          <w:rFonts w:ascii="Calibri" w:hAnsi="Calibri" w:cs="Calibri"/>
        </w:rPr>
        <w:fldChar w:fldCharType="end"/>
      </w:r>
      <w:r w:rsidRPr="002A7128">
        <w:rPr>
          <w:rFonts w:ascii="Calibri" w:hAnsi="Calibri" w:cs="Calibri"/>
        </w:rPr>
        <w:t>. These results therefore significantly enhance our understanding of the relationship between spheroid size/morphology and drug resistance. In addition, we also showed how the expression levels of these markers correlate with the migration potential of the EOC spheroids. Previous studies have provided conflicting descriptions of the impacts of the changes in the expression of EMT-related molecules in EOC progression and dissemination</w:t>
      </w:r>
      <w:r w:rsidRPr="002A7128">
        <w:rPr>
          <w:rFonts w:ascii="Calibri" w:hAnsi="Calibri" w:cs="Calibri"/>
        </w:rPr>
        <w:fldChar w:fldCharType="begin"/>
      </w:r>
      <w:r w:rsidR="00A64B61" w:rsidRPr="002A7128">
        <w:rPr>
          <w:rFonts w:ascii="Calibri" w:hAnsi="Calibri" w:cs="Calibri"/>
        </w:rPr>
        <w:instrText xml:space="preserve"> ADDIN ZOTERO_ITEM CSL_CITATION {"citationID":"uw0jeFxN","properties":{"formattedCitation":"\\super 293,294\\nosupersub{}","plainCitation":"293,294","noteIndex":0},"citationItems":[{"id":103,"uris":["http://zotero.org/users/5797461/items/37H29239"],"itemData":{"id":103,"type":"article-journal","abstract":"The mesodermally derived normal ovarian surface epithelium (OSE) displays both epithelial and mesenchymal characteristics and exhibits remarkable phenotypic plasticity during post-ovulatory repair. The majority of epithelial ovarian carcinomas (EOC) are derived from the OSE and represent the most lethal of all gynecological malignancies, as most patients (approximately 70%) present at diagnosis with disseminated intra-abdominal metastasis. The predominant pattern of EOC metastasis involves pelvic dissemination rather than lymphatic or hematologic spread, distinguishing EOC from other solid tumors. Acquisition of the metastatic phenotype involves a complex series of interrelated cellular events leading to dissociation (shedding) and dispersal of malignant cells. A key event in this process is disruption of cell-cell contacts via modulation of intercellular junctional components. In contrast to most carcinomas that downregulate E-cadherin expression during tumor progression, a unique feature of primary well-differentiated ovarian cancers is a gain of epithelial features, characterized by an increase in expression of E-cadherin. Subsequent reacquisition of mesenchymal features is observed in more advanced tumors with concomitant loss of E-cadherin expression and/or function during progression to metastasis. The functional consequences of this remarkable phenotypic plasticity are not fully understood, but may play a role in modulation of cell survival in suspension (ascites), chemoresistance, and intraperitoneal anchoring of metastatic lesions.","container-title":"Clinical &amp; Experimental Metastasis","DOI":"10.1007/s10585-008-9171-5","ISSN":"0262-0898","issue":"6","journalAbbreviation":"Clin. Exp. Metastasis","language":"eng","note":"PMID: 18398687\nPMCID: PMC2836537","page":"643-655","source":"PubMed","title":"Phenotypic plasticity of neoplastic ovarian epithelium: unique cadherin profiles in tumor progression","title-short":"Phenotypic plasticity of neoplastic ovarian epithelium","volume":"25","author":[{"family":"Hudson","given":"Laurie G."},{"family":"Zeineldin","given":"Reema"},{"family":"Stack","given":"M. Sharon"}],"issued":{"date-parts":[["2008"]]},"citation-key":"hudson_phenotypic_2008"}},{"id":100,"uris":["http://zotero.org/users/5797461/items/TJ267BZP"],"itemData":{"id":100,"type":"article-journal","abstract":"Cancer that arises from the ovarian surface epithelium (OSE) accounts for approximately 90% of human ovarian cancer, and is the fourth leading cause of cancer-related deaths among women in developed countries. The pathophysiology of epithelial ovarian cancer is still unclear because of the poor understanding of the complex nature of its development and the unusual mechanism(s) of disease progression. Recent studies have reported epithelial-mesenchymal transition (EMT) in cultured OSE and ovarian cancer cell lines in response to various stimuli, but our understanding of the importance of these observations for normal ovarian physiology and cancer progression is not well established. This review highlights the current literature on EMT-associated events in normal OSE and ovarian cancer cell lines, and discusses its implication for normal ovarian function as well as acquisition of neoplastic phenotypes. The pathological changes in OSE in response to EMT during neoplastic transformation and the contribution of hormones, growth factors, and cytokines that initiate and drive EMT to sustain normal ovarian function, as well as cancer development and progression are also discussed. Finally, emphasis is placed on the clinical implications of EMT and potential therapeutic opportunities that may arise from these observations have been proposed.","container-title":"Journal of Cellular Physiology","DOI":"10.1002/jcp.21240","ISSN":"1097-4652","issue":"3","journalAbbreviation":"J. Cell. Physiol.","language":"eng","note":"PMID: 17708542","page":"581-588","source":"PubMed","title":"Epithelial-mesenchymal interconversions in normal ovarian surface epithelium and ovarian carcinomas: an exception to the norm","title-short":"Epithelial-mesenchymal interconversions in normal ovarian surface epithelium and ovarian carcinomas","volume":"213","author":[{"family":"Ahmed","given":"Nuzhat"},{"family":"Thompson","given":"Erik W."},{"family":"Quinn","given":"Michael A."}],"issued":{"date-parts":[["2007",12]]},"citation-key":"ahmed_epithelial-mesenchymal_2007"}}],"schema":"https://github.com/citation-style-language/schema/raw/master/csl-citation.json"}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293,294</w:t>
      </w:r>
      <w:r w:rsidRPr="002A7128">
        <w:rPr>
          <w:rFonts w:ascii="Calibri" w:hAnsi="Calibri" w:cs="Calibri"/>
        </w:rPr>
        <w:fldChar w:fldCharType="end"/>
      </w:r>
      <w:r w:rsidRPr="002A7128">
        <w:rPr>
          <w:rFonts w:ascii="Calibri" w:hAnsi="Calibri" w:cs="Calibri"/>
        </w:rPr>
        <w:t xml:space="preserve">, and further analyses are required to elucidate the specific roles of EMT markers in orchestrating the observed invasive phenotypes; for example, a mesothelial clearance assay with several knock-out EOC cell lines for specific EMT markers would provide a more detailed understanding of this process. We note that </w:t>
      </w:r>
      <w:r w:rsidRPr="002A7128">
        <w:rPr>
          <w:rFonts w:ascii="Calibri" w:hAnsi="Calibri" w:cs="Calibri"/>
          <w:i/>
          <w:iCs/>
        </w:rPr>
        <w:t>in vivo</w:t>
      </w:r>
      <w:r w:rsidRPr="002A7128">
        <w:rPr>
          <w:rFonts w:ascii="Calibri" w:hAnsi="Calibri" w:cs="Calibri"/>
        </w:rPr>
        <w:t xml:space="preserve"> experiments might result in different drug response and protein levels because of the complex structure of xenografted samples. Nonetheless, our results provide </w:t>
      </w:r>
      <w:r w:rsidRPr="002A7128">
        <w:rPr>
          <w:rFonts w:ascii="Calibri" w:hAnsi="Calibri" w:cs="Calibri"/>
        </w:rPr>
        <w:lastRenderedPageBreak/>
        <w:t xml:space="preserve">an insight into the effects spheroid size variation on chemotherapeutics, and spheroid morphology on migratory profiles for </w:t>
      </w:r>
      <w:r w:rsidRPr="002A7128">
        <w:rPr>
          <w:rFonts w:ascii="Calibri" w:hAnsi="Calibri" w:cs="Calibri"/>
          <w:i/>
          <w:iCs/>
        </w:rPr>
        <w:t>in vitro</w:t>
      </w:r>
      <w:r w:rsidRPr="002A7128">
        <w:rPr>
          <w:rFonts w:ascii="Calibri" w:hAnsi="Calibri" w:cs="Calibri"/>
        </w:rPr>
        <w:t xml:space="preserve"> studies.</w:t>
      </w:r>
    </w:p>
    <w:p w14:paraId="116CDFB0" w14:textId="2218610B" w:rsidR="000D5DE9" w:rsidRPr="002A7128" w:rsidRDefault="00284BA0">
      <w:pPr>
        <w:pStyle w:val="Heading2"/>
        <w:numPr>
          <w:ilvl w:val="1"/>
          <w:numId w:val="9"/>
        </w:numPr>
        <w:spacing w:line="480" w:lineRule="auto"/>
        <w:rPr>
          <w:rFonts w:ascii="Calibri" w:hAnsi="Calibri" w:cs="Calibri"/>
        </w:rPr>
      </w:pPr>
      <w:bookmarkStart w:id="184" w:name="_Toc120794213"/>
      <w:r>
        <w:rPr>
          <w:rFonts w:ascii="Calibri" w:hAnsi="Calibri" w:cs="Calibri"/>
        </w:rPr>
        <w:t>[II]</w:t>
      </w:r>
      <w:r w:rsidR="000D5DE9" w:rsidRPr="002A7128">
        <w:rPr>
          <w:rFonts w:ascii="Calibri" w:hAnsi="Calibri" w:cs="Calibri"/>
        </w:rPr>
        <w:t xml:space="preserve"> aggregation-induced </w:t>
      </w:r>
      <w:r>
        <w:rPr>
          <w:rFonts w:ascii="Calibri" w:hAnsi="Calibri" w:cs="Calibri"/>
        </w:rPr>
        <w:t>ICD</w:t>
      </w:r>
      <w:r w:rsidR="000D5DE9" w:rsidRPr="002A7128">
        <w:rPr>
          <w:rFonts w:ascii="Calibri" w:hAnsi="Calibri" w:cs="Calibri"/>
        </w:rPr>
        <w:t xml:space="preserve"> in breast cancer spheroid model</w:t>
      </w:r>
      <w:bookmarkEnd w:id="184"/>
    </w:p>
    <w:p w14:paraId="0CA5C107" w14:textId="77777777" w:rsidR="00C62AA6" w:rsidRPr="00C62AA6" w:rsidRDefault="00C62AA6" w:rsidP="00C62AA6">
      <w:pPr>
        <w:spacing w:line="480" w:lineRule="auto"/>
        <w:rPr>
          <w:rFonts w:ascii="Calibri" w:hAnsi="Calibri" w:cs="Calibri"/>
          <w:color w:val="000000" w:themeColor="text1"/>
          <w:u w:val="single"/>
        </w:rPr>
      </w:pPr>
      <w:r w:rsidRPr="00C62AA6">
        <w:rPr>
          <w:rFonts w:ascii="Calibri" w:hAnsi="Calibri" w:cs="Calibri"/>
          <w:color w:val="000000" w:themeColor="text1"/>
          <w:u w:val="single"/>
        </w:rPr>
        <w:t xml:space="preserve">This section is adapted from the following publication which is in preparation: </w:t>
      </w:r>
    </w:p>
    <w:p w14:paraId="429A5D80" w14:textId="3763C065" w:rsidR="000D5DE9" w:rsidRPr="00C62AA6" w:rsidRDefault="00C62AA6" w:rsidP="00C62AA6">
      <w:pPr>
        <w:keepNext/>
        <w:spacing w:line="480" w:lineRule="auto"/>
        <w:rPr>
          <w:rFonts w:ascii="Calibri" w:hAnsi="Calibri" w:cs="Calibri"/>
          <w:color w:val="000000" w:themeColor="text1"/>
        </w:rPr>
      </w:pPr>
      <w:proofErr w:type="spellStart"/>
      <w:r w:rsidRPr="00C62AA6">
        <w:rPr>
          <w:rFonts w:ascii="Calibri" w:hAnsi="Calibri" w:cs="Calibri"/>
          <w:color w:val="000000" w:themeColor="text1"/>
        </w:rPr>
        <w:t>Gokhan</w:t>
      </w:r>
      <w:proofErr w:type="spellEnd"/>
      <w:r w:rsidRPr="00C62AA6">
        <w:rPr>
          <w:rFonts w:ascii="Calibri" w:hAnsi="Calibri" w:cs="Calibri"/>
          <w:color w:val="000000" w:themeColor="text1"/>
        </w:rPr>
        <w:t xml:space="preserve"> </w:t>
      </w:r>
      <w:proofErr w:type="spellStart"/>
      <w:r w:rsidRPr="00C62AA6">
        <w:rPr>
          <w:rFonts w:ascii="Calibri" w:hAnsi="Calibri" w:cs="Calibri"/>
          <w:color w:val="000000" w:themeColor="text1"/>
        </w:rPr>
        <w:t>Gunay</w:t>
      </w:r>
      <w:proofErr w:type="spellEnd"/>
      <w:r w:rsidRPr="00C62AA6">
        <w:rPr>
          <w:rFonts w:ascii="Calibri" w:hAnsi="Calibri" w:cs="Calibri"/>
          <w:color w:val="000000" w:themeColor="text1"/>
        </w:rPr>
        <w:t xml:space="preserve">, </w:t>
      </w:r>
      <w:proofErr w:type="spellStart"/>
      <w:r w:rsidRPr="00C62AA6">
        <w:rPr>
          <w:rFonts w:ascii="Calibri" w:hAnsi="Calibri" w:cs="Calibri"/>
          <w:color w:val="000000" w:themeColor="text1"/>
        </w:rPr>
        <w:t>Seren</w:t>
      </w:r>
      <w:proofErr w:type="spellEnd"/>
      <w:r w:rsidRPr="00C62AA6">
        <w:rPr>
          <w:rFonts w:ascii="Calibri" w:hAnsi="Calibri" w:cs="Calibri"/>
          <w:color w:val="000000" w:themeColor="text1"/>
        </w:rPr>
        <w:t xml:space="preserve"> </w:t>
      </w:r>
      <w:proofErr w:type="spellStart"/>
      <w:r w:rsidRPr="00C62AA6">
        <w:rPr>
          <w:rFonts w:ascii="Calibri" w:hAnsi="Calibri" w:cs="Calibri"/>
          <w:color w:val="000000" w:themeColor="text1"/>
        </w:rPr>
        <w:t>Hamsici</w:t>
      </w:r>
      <w:proofErr w:type="spellEnd"/>
      <w:r w:rsidRPr="00C62AA6">
        <w:rPr>
          <w:rFonts w:ascii="Calibri" w:hAnsi="Calibri" w:cs="Calibri"/>
          <w:color w:val="000000" w:themeColor="text1"/>
        </w:rPr>
        <w:t xml:space="preserve">, Filipa Carvalho, Handan </w:t>
      </w:r>
      <w:proofErr w:type="spellStart"/>
      <w:r w:rsidRPr="00C62AA6">
        <w:rPr>
          <w:rFonts w:ascii="Calibri" w:hAnsi="Calibri" w:cs="Calibri"/>
          <w:color w:val="000000" w:themeColor="text1"/>
        </w:rPr>
        <w:t>Acar</w:t>
      </w:r>
      <w:proofErr w:type="spellEnd"/>
      <w:r w:rsidRPr="00C62AA6">
        <w:rPr>
          <w:rFonts w:ascii="Calibri" w:hAnsi="Calibri" w:cs="Calibri"/>
          <w:color w:val="000000" w:themeColor="text1"/>
        </w:rPr>
        <w:t xml:space="preserve">* Peptide aggregation-induced immunogenic cell death in </w:t>
      </w:r>
      <w:proofErr w:type="spellStart"/>
      <w:r w:rsidRPr="00C62AA6">
        <w:rPr>
          <w:rFonts w:ascii="Calibri" w:hAnsi="Calibri" w:cs="Calibri"/>
          <w:color w:val="000000" w:themeColor="text1"/>
        </w:rPr>
        <w:t>breats</w:t>
      </w:r>
      <w:proofErr w:type="spellEnd"/>
      <w:r w:rsidRPr="00C62AA6">
        <w:rPr>
          <w:rFonts w:ascii="Calibri" w:hAnsi="Calibri" w:cs="Calibri"/>
          <w:color w:val="000000" w:themeColor="text1"/>
        </w:rPr>
        <w:t xml:space="preserve"> cancer spheroid model (in preparation)</w:t>
      </w:r>
    </w:p>
    <w:p w14:paraId="5DAEFAED" w14:textId="0B9384C3" w:rsidR="000D5DE9" w:rsidRPr="002A7128" w:rsidRDefault="000D5DE9">
      <w:pPr>
        <w:pStyle w:val="Heading2"/>
        <w:numPr>
          <w:ilvl w:val="2"/>
          <w:numId w:val="9"/>
        </w:numPr>
        <w:spacing w:line="480" w:lineRule="auto"/>
        <w:rPr>
          <w:rFonts w:ascii="Calibri" w:hAnsi="Calibri" w:cs="Calibri"/>
        </w:rPr>
      </w:pPr>
      <w:bookmarkStart w:id="185" w:name="_Toc120794214"/>
      <w:r w:rsidRPr="002A7128">
        <w:rPr>
          <w:rFonts w:ascii="Calibri" w:hAnsi="Calibri" w:cs="Calibri"/>
        </w:rPr>
        <w:t>Introduction</w:t>
      </w:r>
      <w:bookmarkEnd w:id="185"/>
    </w:p>
    <w:p w14:paraId="1353005A" w14:textId="7E6397F6" w:rsidR="000D5DE9" w:rsidRPr="002A7128" w:rsidRDefault="000D5DE9" w:rsidP="00F675B4">
      <w:pPr>
        <w:spacing w:line="480" w:lineRule="auto"/>
        <w:jc w:val="both"/>
        <w:rPr>
          <w:rFonts w:ascii="Calibri" w:hAnsi="Calibri" w:cs="Calibri"/>
        </w:rPr>
      </w:pPr>
      <w:r w:rsidRPr="002A7128">
        <w:rPr>
          <w:rFonts w:ascii="Calibri" w:hAnsi="Calibri" w:cs="Calibri"/>
        </w:rPr>
        <w:t>Inducing cell death has been the primary goal of the treatment strategies against cancer for decades. However, emerging results show that the type of cell death dictates the progression of the tumor. For example, induction of apoptosis within the tumor microenvironment (TME) leads to suppression of the immune system, increased proliferation of cancer cells, and reduced inflammation, all of which increase the progression of cancer</w:t>
      </w:r>
      <w:r w:rsidRPr="002A7128">
        <w:rPr>
          <w:rFonts w:ascii="Calibri" w:hAnsi="Calibri" w:cs="Calibri"/>
        </w:rPr>
        <w:fldChar w:fldCharType="begin"/>
      </w:r>
      <w:r w:rsidR="00A64B61" w:rsidRPr="002A7128">
        <w:rPr>
          <w:rFonts w:ascii="Calibri" w:hAnsi="Calibri" w:cs="Calibri"/>
        </w:rPr>
        <w:instrText xml:space="preserve"> ADDIN ZOTERO_ITEM CSL_CITATION {"citationID":"BPbvPAIm","properties":{"formattedCitation":"\\super 340\\nosupersub{}","plainCitation":"340","noteIndex":0},"citationItems":[{"id":9789,"uris":["http://zotero.org/groups/2667333/items/LHNTKH8J"],"itemData":{"id":9789,"type":"article-journal","abstract":"The physiological fate of cells that die by apoptosis is their prompt and efficient removal by efferocytosis. During these processes, apoptotic cells release intracellular constituents that include purine nucleotides, lysophosphatidylcholine (LPC), and Sphingosine-1-phosphate (S1P) that induce migration and chemo-attraction of phagocytes as well as mitogens and extracellular membrane-bound vesicles that contribute to apoptosis-induced compensatory proliferation and alteration of the extracellular matrix and the vascular network. Additionally, during efferocytosis, phagocytic cells produce a number of anti-inflammatory and resolving factors, and, together with apoptotic cells, efferocytic events have a homeostatic function that regulates tissue repair. These homeostatic functions are dysregulated in cancers, where, aforementioned events, if not properly controlled, can lead to cancer progression and immune escape. Here, we summarize evidence that apoptosis and efferocytosis are exploited in cancer, as well as discuss current translation and clinical efforts to harness signals from dying cells into therapeutic strategies.","container-title":"Cells","DOI":"10.3390/cells9102207","ISSN":"2073-4409","issue":"10","journalAbbreviation":"Cells","language":"en","page":"2207","source":"DOI.org (Crossref)","title":"Cell Death in the Tumor Microenvironment: Implications for Cancer Immunotherapy","title-short":"Cell Death in the Tumor Microenvironment","URL":"https://www.mdpi.com/2073-4409/9/10/2207","volume":"9","author":[{"family":"Gadiyar","given":"Varsha"},{"family":"Lahey","given":"Kevin C."},{"family":"Calianese","given":"David"},{"family":"Devoe","given":"Connor"},{"family":"Mehta","given":"Dhriti"},{"family":"Bono","given":"Kristy"},{"family":"Desind","given":"Samuel"},{"family":"Davra","given":"Viralkumar"},{"family":"Birge","given":"Raymond B."}],"accessed":{"date-parts":[["2021",12,15]]},"issued":{"date-parts":[["2020",9,29]]},"citation-key":"gadiyar_cell_2020"}}],"schema":"https://github.com/citation-style-language/schema/raw/master/csl-citation.json"}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340</w:t>
      </w:r>
      <w:r w:rsidRPr="002A7128">
        <w:rPr>
          <w:rFonts w:ascii="Calibri" w:hAnsi="Calibri" w:cs="Calibri"/>
        </w:rPr>
        <w:fldChar w:fldCharType="end"/>
      </w:r>
      <w:r w:rsidRPr="002A7128">
        <w:rPr>
          <w:rFonts w:ascii="Calibri" w:hAnsi="Calibri" w:cs="Calibri"/>
        </w:rPr>
        <w:t>. Immunogenic cell death (ICD), on the other hand, results in secretion, release, or surface expression of damage-associated molecular patterns (DAMPs), natural adjuvants capable of engaging the immune system.</w:t>
      </w:r>
      <w:r w:rsidRPr="002A7128">
        <w:rPr>
          <w:rFonts w:ascii="Calibri" w:hAnsi="Calibri" w:cs="Calibri"/>
        </w:rPr>
        <w:fldChar w:fldCharType="begin"/>
      </w:r>
      <w:r w:rsidR="00317E7D" w:rsidRPr="002A7128">
        <w:rPr>
          <w:rFonts w:ascii="Calibri" w:hAnsi="Calibri" w:cs="Calibri"/>
        </w:rPr>
        <w:instrText xml:space="preserve"> ADDIN ZOTERO_ITEM CSL_CITATION {"citationID":"1srOzUOo","properties":{"formattedCitation":"\\super 17\\nosupersub{}","plainCitation":"17","noteIndex":0},"citationItems":[{"id":10001,"uris":["http://zotero.org/groups/2667333/items/KPHE3GGS"],"itemData":{"id":10001,"type":"article-journal","container-title":"Nature Reviews Cancer","DOI":"10.1038/nrc3380","ISSN":"1474-175X, 1474-1768","issue":"12","journalAbbreviation":"Nat Rev Cancer","language":"en","page":"860-875","source":"DOI.org (Crossref)","title":"Immunogenic cell death and DAMPs in cancer therapy","URL":"http://www.nature.com/articles/nrc3380","volume":"12","author":[{"family":"Krysko","given":"Dmitri V."},{"family":"Garg","given":"Abhishek D."},{"family":"Kaczmarek","given":"Agnieszka"},{"family":"Krysko","given":"Olga"},{"family":"Agostinis","given":"Patrizia"},{"family":"Vandenabeele","given":"Peter"}],"accessed":{"date-parts":[["2022",2,12]]},"issued":{"date-parts":[["2012",12]]},"citation-key":"krysko_immunogenic_2012"}}],"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17</w:t>
      </w:r>
      <w:r w:rsidRPr="002A7128">
        <w:rPr>
          <w:rFonts w:ascii="Calibri" w:hAnsi="Calibri" w:cs="Calibri"/>
        </w:rPr>
        <w:fldChar w:fldCharType="end"/>
      </w:r>
      <w:r w:rsidRPr="002A7128">
        <w:rPr>
          <w:rFonts w:ascii="Calibri" w:hAnsi="Calibri" w:cs="Calibri"/>
        </w:rPr>
        <w:t xml:space="preserve"> Moreover, ICD leads to the release of tumor-associated antigens and promotes the initiation of antigen-specific adaptive immunity.</w:t>
      </w:r>
      <w:r w:rsidRPr="002A7128">
        <w:rPr>
          <w:rFonts w:ascii="Calibri" w:hAnsi="Calibri" w:cs="Calibri"/>
        </w:rPr>
        <w:fldChar w:fldCharType="begin"/>
      </w:r>
      <w:r w:rsidR="00A64B61" w:rsidRPr="002A7128">
        <w:rPr>
          <w:rFonts w:ascii="Calibri" w:hAnsi="Calibri" w:cs="Calibri"/>
        </w:rPr>
        <w:instrText xml:space="preserve"> ADDIN ZOTERO_ITEM CSL_CITATION {"citationID":"qJyXsJWC","properties":{"formattedCitation":"\\super 341\\nosupersub{}","plainCitation":"341","noteIndex":0},"citationItems":[{"id":10500,"uris":["http://zotero.org/groups/2667333/items/9XM6ESVH"],"itemData":{"id":10500,"type":"article-journal","abstract":"Cancer treatment has rapidly entered the age of immunotherapy, and it is becoming clear that the effective therapy of established tumors necessitates rational multi-combination immunotherapy strategies. But even in the advent of immunotherapy, the clinical role of standard-of-care chemotherapy regimens still remains significant and may be complementary to emerging immunotherapeutic approaches. Depending on dose, schedule, and agent, chemotherapy can induce immunogenic cell death, resulting in the release of tumor antigens to stimulate an immune response, or immunogenic modulation, sensitizing surviving tumor cells to immune cell killing. While these have been previously defined as distinct processes, in this review we examine the published mechanisms supporting both immunogenic cell death and immunogenic modulation and propose they be reclassified as similar effects termed “immunogenic cell stress.”\n            Treatment-induced immunogenic cell stress is an important result of cytotoxic chemotherapy and future research should consider immunogenic cell stress as a whole rather than just immunogenic cell death or immunogenic modulation. Cancer treatment strategies should be designed specifically to take advantage of these effects in combination immunotherapy, and novel chemotherapy regimens should be designed and investigated to potentially induce all aspects of immunogenic cell stress.","container-title":"Frontiers in Oncology","DOI":"10.3389/fonc.2021.728018","ISSN":"2234-943X","journalAbbreviation":"Front. Oncol.","page":"728018","source":"DOI.org (Crossref)","title":"From Immunogenic Cell Death to Immunogenic Modulation: Select Chemotherapy Regimens Induce a Spectrum of Immune-Enhancing Activities in the Tumor Microenvironment","title-short":"From Immunogenic Cell Death to Immunogenic Modulation","URL":"https://www.frontiersin.org/articles/10.3389/fonc.2021.728018/full","volume":"11","author":[{"family":"Fabian","given":"Kellsye P."},{"family":"Wolfson","given":"Benjamin"},{"family":"Hodge","given":"James W."}],"accessed":{"date-parts":[["2022",5,9]]},"issued":{"date-parts":[["2021",8,23]]},"citation-key":"fabian_immunogenic_2021"}}],"schema":"https://github.com/citation-style-language/schema/raw/master/csl-citation.json"}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341</w:t>
      </w:r>
      <w:r w:rsidRPr="002A7128">
        <w:rPr>
          <w:rFonts w:ascii="Calibri" w:hAnsi="Calibri" w:cs="Calibri"/>
        </w:rPr>
        <w:fldChar w:fldCharType="end"/>
      </w:r>
      <w:r w:rsidRPr="002A7128">
        <w:rPr>
          <w:rFonts w:ascii="Calibri" w:hAnsi="Calibri" w:cs="Calibri"/>
        </w:rPr>
        <w:t xml:space="preserve"> Different techniques induce ICD and DAMP release, such as; chemotherapeutics</w:t>
      </w:r>
      <w:r w:rsidRPr="002A7128">
        <w:rPr>
          <w:rFonts w:ascii="Calibri" w:hAnsi="Calibri" w:cs="Calibri"/>
        </w:rPr>
        <w:fldChar w:fldCharType="begin"/>
      </w:r>
      <w:r w:rsidR="00317E7D" w:rsidRPr="002A7128">
        <w:rPr>
          <w:rFonts w:ascii="Calibri" w:hAnsi="Calibri" w:cs="Calibri"/>
        </w:rPr>
        <w:instrText xml:space="preserve"> ADDIN ZOTERO_ITEM CSL_CITATION {"citationID":"a21q67prc1p","properties":{"formattedCitation":"\\super 75\\nosupersub{}","plainCitation":"75","noteIndex":0},"citationItems":[{"id":9239,"uris":["http://zotero.org/groups/2667333/items/IP75GGEY"],"itemData":{"id":9239,"type":"report","abstract":"Inhibition of immune checkpoints has shown promising results in the treatment of certain tumor types. However, the majority of cancers do not respond to immune checkpoint inhibition (ICI) treatment, indicating the need to identify additional modalities that enhance the response to immune checkpoint blockade. In this study, we identified a tumor-tailored approach using ex-vivo DNA damaging chemotherapy-treated tumor cells as a live injured cell adjuvant. Using an optimized ex vivo system for dendritic cellmediated T-cell IFN-γ induction in response to DNA-damaged tumor cells, we identified specific dose-dependent treatments with etoposide and mitoxantrone that markedly enhance IFN-g production by T-cells. Unexpectedly, the immune-enhancing effects of DNA damage failed to correlate with known markers of immunogenic cell death or with the extent of apoptosis or necroptosis. Furthermore, dead tumor cells alone were not sufficient to promote DC cross-presentation and induce IFN-g in T-cells. Instead, the enhanced immunogenicity resided in the fraction of injured cells that remained alive, and required signaling through the RIPK1, NF-kB and p38MAPK pathways. Direct in vivo translation of these findings was accomplished by intra-tumoral injection of ex vivo etoposide-treated tumor cells as an injured cell adjuvant, in combination with systemic anti-PD1/CTLA4 antibodies. This resulted in increased intra-tumoral CD103+ dendritic cells and circulating tumor antigen-specific CD8+ T-cells, leading to enhanced anti-tumor immune responses and improved survival. The effect was abrogated in BATF3-deficient mice indicating that BATF3+ DCs are required for appropriate T-cell stimulation by live but injured DNA-damaged tumor cells. Notably, injection of the free DNA-damaging drug directly into the tumor failed to elicit such an enhanced anti-tumor response as a consequence of simultaneous damage to dendritic cells and T-cells. Finally, the DNA damage induced injured cell adjuvant and systemic ICI combination, but not ICI alone, induced complete tumor regression in a subset of mice who were then able to reject tumor re-challenge, indicating induction of a long-lasting anti-tumor immunological memory by the injured cell adjuvant treatment in vivo.","genre":"preprint","language":"en","note":"DOI: 10.1101/2020.04.26.062216","publisher":"Cancer Biology","source":"DOI.org (Crossref)","title":"The Injury Response to DNA Damage Promotes Anti-Tumor Immunity","URL":"http://biorxiv.org/lookup/doi/10.1101/2020.04.26.062216","author":[{"family":"Sriram","given":"Ganapathy"},{"family":"Milling","given":"Lauren"},{"family":"Chen","given":"Jung-Kuei"},{"family":"Abraham","given":"Wuhbet"},{"family":"Handly","given":"Erika D."},{"family":"Irvine","given":"Darrell J."},{"family":"Yaffe","given":"Michael B."}],"accessed":{"date-parts":[["2021",10,18]]},"issued":{"date-parts":[["2020",4,27]]},"citation-key":"sriram_injury_2020"}}],"schema":"https://github.com/citation-style-language/schema/raw/master/csl-citation.json"}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75</w:t>
      </w:r>
      <w:r w:rsidRPr="002A7128">
        <w:rPr>
          <w:rFonts w:ascii="Calibri" w:hAnsi="Calibri" w:cs="Calibri"/>
        </w:rPr>
        <w:fldChar w:fldCharType="end"/>
      </w:r>
      <w:r w:rsidRPr="002A7128">
        <w:rPr>
          <w:rFonts w:ascii="Calibri" w:hAnsi="Calibri" w:cs="Calibri"/>
        </w:rPr>
        <w:t>, photothermal therapy</w:t>
      </w:r>
      <w:r w:rsidRPr="002A7128">
        <w:rPr>
          <w:rFonts w:ascii="Calibri" w:hAnsi="Calibri" w:cs="Calibri"/>
        </w:rPr>
        <w:fldChar w:fldCharType="begin"/>
      </w:r>
      <w:r w:rsidR="00317E7D" w:rsidRPr="002A7128">
        <w:rPr>
          <w:rFonts w:ascii="Calibri" w:hAnsi="Calibri" w:cs="Calibri"/>
        </w:rPr>
        <w:instrText xml:space="preserve"> ADDIN ZOTERO_ITEM CSL_CITATION {"citationID":"a20dlejcmb","properties":{"formattedCitation":"\\super 148\\nosupersub{}","plainCitation":"148","noteIndex":0},"citationItems":[{"id":6994,"uris":["http://zotero.org/groups/2667333/items/DL56E92J"],"itemData":{"id":6994,"type":"article-journal","abstract":"A photothermal and immune co-therapy strategy based on natural melanin nanoparticles was developed for treating primary and abscopal breast cancers.\n          , \n            A photothermal and immune co-therapy strategy based on natural melanin nanoparticles was developed for treating primary and abscopal breast cancers.","container-title":"Chemical Communications","DOI":"10.1039/C9CC08447A","ISSN":"1359-7345, 1364-548X","issue":"9","journalAbbreviation":"Chem. Commun.","language":"en","page":"1389-1392","source":"DOI.org (Crossref)","title":"Photothermal therapy-induced immunogenic cell death based on natural melanin nanoparticles against breast cancer","URL":"http://xlink.rsc.org/?DOI=C9CC08447A","volume":"56","author":[{"family":"Li","given":"Yanhua"},{"family":"Liu","given":"Xiaohan"},{"family":"Pan","given":"Wei"},{"family":"Li","given":"Na"},{"family":"Tang","given":"Bo"}],"accessed":{"date-parts":[["2021",8,6]]},"issued":{"date-parts":[["2020"]]},"citation-key":"li_photothermal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148</w:t>
      </w:r>
      <w:r w:rsidRPr="002A7128">
        <w:rPr>
          <w:rFonts w:ascii="Calibri" w:hAnsi="Calibri" w:cs="Calibri"/>
        </w:rPr>
        <w:fldChar w:fldCharType="end"/>
      </w:r>
      <w:r w:rsidRPr="002A7128">
        <w:rPr>
          <w:rFonts w:ascii="Calibri" w:hAnsi="Calibri" w:cs="Calibri"/>
        </w:rPr>
        <w:t>, radiation therapy</w:t>
      </w:r>
      <w:r w:rsidRPr="002A7128">
        <w:rPr>
          <w:rFonts w:ascii="Calibri" w:hAnsi="Calibri" w:cs="Calibri"/>
        </w:rPr>
        <w:fldChar w:fldCharType="begin"/>
      </w:r>
      <w:r w:rsidR="00A64B61" w:rsidRPr="002A7128">
        <w:rPr>
          <w:rFonts w:ascii="Calibri" w:hAnsi="Calibri" w:cs="Calibri"/>
        </w:rPr>
        <w:instrText xml:space="preserve"> ADDIN ZOTERO_ITEM CSL_CITATION {"citationID":"a21a5p5pvu3","properties":{"formattedCitation":"\\super 342\\nosupersub{}","plainCitation":"342","noteIndex":0},"citationItems":[{"id":6996,"uris":["http://zotero.org/groups/2667333/items/TM5RD7J8"],"itemData":{"id":6996,"type":"article-journal","container-title":"Seminars in Radiation Oncology","DOI":"10.1016/j.semradonc.2014.07.005","ISSN":"10534296","issue":"1","journalAbbreviation":"Seminars in Radiation Oncology","language":"en","page":"11-17","source":"DOI.org (Crossref)","title":"Radiotherapy and Immunogenic Cell Death","URL":"https://linkinghub.elsevier.com/retrieve/pii/S1053429614000824","volume":"25","author":[{"family":"Golden","given":"Encouse B."},{"family":"Apetoh","given":"Lionel"}],"accessed":{"date-parts":[["2021",8,6]]},"issued":{"date-parts":[["2015",1]]},"citation-key":"golden_radiotherapy_2015"}}],"schema":"https://github.com/citation-style-language/schema/raw/master/csl-citation.json"}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342</w:t>
      </w:r>
      <w:r w:rsidRPr="002A7128">
        <w:rPr>
          <w:rFonts w:ascii="Calibri" w:hAnsi="Calibri" w:cs="Calibri"/>
        </w:rPr>
        <w:fldChar w:fldCharType="end"/>
      </w:r>
      <w:r w:rsidRPr="002A7128">
        <w:rPr>
          <w:rFonts w:ascii="Calibri" w:hAnsi="Calibri" w:cs="Calibri"/>
        </w:rPr>
        <w:t>, and recently introduced by our group, the peptide-aggregation model.</w:t>
      </w:r>
      <w:r w:rsidRPr="002A7128">
        <w:rPr>
          <w:rFonts w:ascii="Calibri" w:hAnsi="Calibri" w:cs="Calibri"/>
        </w:rPr>
        <w:fldChar w:fldCharType="begin"/>
      </w:r>
      <w:r w:rsidR="00317E7D" w:rsidRPr="002A7128">
        <w:rPr>
          <w:rFonts w:ascii="Calibri" w:hAnsi="Calibri" w:cs="Calibri"/>
        </w:rPr>
        <w:instrText xml:space="preserve"> ADDIN ZOTERO_ITEM CSL_CITATION {"citationID":"aumlgllhk7","properties":{"formattedCitation":"\\super 343\\nosupersub{}","plainCitation":"343","noteIndex":0},"citationItems":[{"id":"wiida5Bo/dNoyVUEy","uris":["http://zotero.org/groups/2667333/items/GKGZM2KP"],"itemData":{"id":9786,"type":"article-journal","abstract":"Under the influence of stress and membrane damage, cells undergo immunogenic cell death (ICD), which involves the release of damage associated molecular patterns (DAMPs), natural adjuvants for enhancing an immune response. In the presence of an antigen, released DAMPs can determine the type and magnitude of the immune response, and therefore the longevity and efficacy of an antigen-specific immunity. In the last decade, the immune response effect of ICD has been shown, yet there is no tool that can induce controlled ICD with predictable results, regardless of the cell type. We designed a peptide-based tool, called [II], for controlled damage to cell membrane to induce ICD and DAMPs release. Herein we describe a series of experiments that determine that the mechanism of action of [II] includes a caspase-dependent ICD and subsequent release of immune stimulating DAMPs, on various cell types. Moreover, we tested the hypothesis that controlled DAMP release via [II] in vivo was associated with enhancement of antigen-specific adaptive immunity with influenza hemagglutinin (HA) subunit vaccine. HA and [II] showed significantly higher HA specific IgG1 and IgG2a antibodies, compared to HA-only immunized mice, while the peptide itself did not elicit antibodies. In this paper, we demonstrate the first peptide-aggregation induced immunogenic rupture (PAIIR) approach as vaccine adjuvants for increasing both humoral and cellular immunity. In consideration of its ability to enhance IgG2a responses that are associated with heterosubtypic influenza virus protection, PAIIR is a promising adjuvant to promote universal protection upon influenza HA vaccination.","container-title":"Advanced Science","DOI":"10.1101/2021.12.11.472230","language":"en","note":"Company: Cold Spring Harbor Laboratory\nDOI: 10.1101/2021.12.11.472230\nDistributor: Cold Spring Harbor Laboratory\nLabel: Cold Spring Harbor Laboratory\nsection: New Results\ntype: article\nCitation Key: gunay_peptide_2022","source":"BioRxiv","title":"Peptide Aggregation Induced Immunogenic Rupture (PAIIR)","URL":"https://www.biorxiv.org/content/10.1101/2021.12.11.472230v1","volume":"472230","author":[{"family":"Gunay","given":"Gokhan"},{"family":"Hamsici","given":"Seren"},{"family":"Lang","given":"Mark L."},{"family":"Lang","given":"Gillian A."},{"family":"Kovats","given":"Susan"},{"family":"Acar","given":"Handan"}],"accessed":{"date-parts":[["2021",12,14]]},"issued":{"date-parts":[["2022"]]},"citation-key":"gunay_peptide_2022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343</w:t>
      </w:r>
      <w:r w:rsidRPr="002A7128">
        <w:rPr>
          <w:rFonts w:ascii="Calibri" w:hAnsi="Calibri" w:cs="Calibri"/>
        </w:rPr>
        <w:fldChar w:fldCharType="end"/>
      </w:r>
      <w:r w:rsidRPr="002A7128">
        <w:rPr>
          <w:rFonts w:ascii="Calibri" w:hAnsi="Calibri" w:cs="Calibri"/>
        </w:rPr>
        <w:t xml:space="preserve"> The concept of ICD and DAMP release is predominantly studied in monolayer cultures. However, monolayer culture does not represent the complexities of in vivo tumors, and animal models are expensive and, for long term, ultimately delay the test of new therapeutics that might be effective.</w:t>
      </w:r>
      <w:r w:rsidRPr="002A7128">
        <w:rPr>
          <w:rFonts w:ascii="Calibri" w:hAnsi="Calibri" w:cs="Calibri"/>
        </w:rPr>
        <w:fldChar w:fldCharType="begin"/>
      </w:r>
      <w:r w:rsidR="00A64B61" w:rsidRPr="002A7128">
        <w:rPr>
          <w:rFonts w:ascii="Calibri" w:hAnsi="Calibri" w:cs="Calibri"/>
        </w:rPr>
        <w:instrText xml:space="preserve"> ADDIN ZOTERO_ITEM CSL_CITATION {"citationID":"a2csac4ah4a","properties":{"formattedCitation":"\\super 344\\nosupersub{}","plainCitation":"344","noteIndex":0},"citationItems":[{"id":10550,"uris":["http://zotero.org/groups/2667333/items/2PCF65M9"],"itemData":{"id":10550,"type":"article-journal","container-title":"JACC: Basic to Translational Science","DOI":"10.1016/j.jacbts.2019.10.008","ISSN":"2452302X","issue":"7","journalAbbreviation":"JACC: Basic to Translational Science","language":"en","page":"845-854","source":"DOI.org (Crossref)","title":"Limitations of Animal Studies for Predicting Toxicity in Clinical Trials","URL":"https://linkinghub.elsevier.com/retrieve/pii/S2452302X1930316X","volume":"4","author":[{"family":"Van Norman","given":"Gail A."}],"accessed":{"date-parts":[["2022",5,16]]},"issued":{"date-parts":[["2019",11]]},"citation-key":"van_norman_limitations_2019"}}],"schema":"https://github.com/citation-style-language/schema/raw/master/csl-citation.json"}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344</w:t>
      </w:r>
      <w:r w:rsidRPr="002A7128">
        <w:rPr>
          <w:rFonts w:ascii="Calibri" w:hAnsi="Calibri" w:cs="Calibri"/>
        </w:rPr>
        <w:fldChar w:fldCharType="end"/>
      </w:r>
      <w:r w:rsidRPr="002A7128">
        <w:rPr>
          <w:rFonts w:ascii="Calibri" w:hAnsi="Calibri" w:cs="Calibri"/>
        </w:rPr>
        <w:t xml:space="preserve"> Utilizing tumor spheroids </w:t>
      </w:r>
      <w:r w:rsidRPr="002A7128">
        <w:rPr>
          <w:rFonts w:ascii="Calibri" w:hAnsi="Calibri" w:cs="Calibri"/>
        </w:rPr>
        <w:lastRenderedPageBreak/>
        <w:t xml:space="preserve">offers a bridge between in vitro and in vivo models to provide a physiologically relevant, cost-effective, and high throughput model.  </w:t>
      </w:r>
    </w:p>
    <w:p w14:paraId="4ACAAF2E" w14:textId="4DC9BBA4" w:rsidR="000D5DE9" w:rsidRPr="002A7128" w:rsidRDefault="000D5DE9" w:rsidP="00F675B4">
      <w:pPr>
        <w:spacing w:line="480" w:lineRule="auto"/>
        <w:jc w:val="both"/>
        <w:rPr>
          <w:rFonts w:ascii="Calibri" w:hAnsi="Calibri" w:cs="Calibri"/>
        </w:rPr>
      </w:pPr>
      <w:r w:rsidRPr="002A7128">
        <w:rPr>
          <w:rFonts w:ascii="Calibri" w:hAnsi="Calibri" w:cs="Calibri"/>
        </w:rPr>
        <w:t>Spheroid models offer physiological relevance to in vivo solid tumors in cell to cell interaction, cell to extracellular matrix interaction, drug resistance, and zone formation due to reduced nutrient and oxygen diffusion.</w:t>
      </w:r>
      <w:r w:rsidRPr="002A7128">
        <w:rPr>
          <w:rFonts w:ascii="Calibri" w:hAnsi="Calibri" w:cs="Calibri"/>
        </w:rPr>
        <w:fldChar w:fldCharType="begin"/>
      </w:r>
      <w:r w:rsidR="00A64B61" w:rsidRPr="002A7128">
        <w:rPr>
          <w:rFonts w:ascii="Calibri" w:hAnsi="Calibri" w:cs="Calibri"/>
        </w:rPr>
        <w:instrText xml:space="preserve"> ADDIN ZOTERO_ITEM CSL_CITATION {"citationID":"jtSu0WU1","properties":{"formattedCitation":"\\super 345\\nosupersub{}","plainCitation":"345","noteIndex":0},"citationItems":[{"id":10005,"uris":["http://zotero.org/groups/2667333/items/WMU7QRCD"],"itemData":{"id":10005,"type":"article-journal","container-title":"Journal of Controlled Release","DOI":"10.1016/j.jconrel.2012.04.045","ISSN":"01683659","issue":"2","journalAbbreviation":"Journal of Controlled Release","language":"en","page":"192-204","source":"DOI.org (Crossref)","title":"Opportunities and challenges for use of tumor spheroids as models to test drug delivery and efficacy","URL":"https://linkinghub.elsevier.com/retrieve/pii/S016836591200404X","volume":"164","author":[{"family":"Mehta","given":"Geeta"},{"family":"Hsiao","given":"Amy Y."},{"family":"Ingram","given":"Marylou"},{"family":"Luker","given":"Gary D."},{"family":"Takayama","given":"Shuichi"}],"accessed":{"date-parts":[["2022",2,13]]},"issued":{"date-parts":[["2012",12]]},"citation-key":"mehta_opportunities_2012"}}],"schema":"https://github.com/citation-style-language/schema/raw/master/csl-citation.json"}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345</w:t>
      </w:r>
      <w:r w:rsidRPr="002A7128">
        <w:rPr>
          <w:rFonts w:ascii="Calibri" w:hAnsi="Calibri" w:cs="Calibri"/>
        </w:rPr>
        <w:fldChar w:fldCharType="end"/>
      </w:r>
      <w:r w:rsidRPr="002A7128">
        <w:rPr>
          <w:rFonts w:ascii="Calibri" w:hAnsi="Calibri" w:cs="Calibri"/>
        </w:rPr>
        <w:t xml:space="preserve"> Spheroid models exhibit different gene expression profiles compared to their monolayer counterparts.</w:t>
      </w:r>
      <w:r w:rsidRPr="002A7128">
        <w:rPr>
          <w:rFonts w:ascii="Calibri" w:hAnsi="Calibri" w:cs="Calibri"/>
        </w:rPr>
        <w:fldChar w:fldCharType="begin"/>
      </w:r>
      <w:r w:rsidR="00A64B61" w:rsidRPr="002A7128">
        <w:rPr>
          <w:rFonts w:ascii="Calibri" w:hAnsi="Calibri" w:cs="Calibri"/>
        </w:rPr>
        <w:instrText xml:space="preserve"> ADDIN ZOTERO_ITEM CSL_CITATION {"citationID":"a2ebcj4trvs","properties":{"formattedCitation":"\\super 346\\nosupersub{}","plainCitation":"346","noteIndex":0},"citationItems":[{"id":10530,"uris":["http://zotero.org/groups/2667333/items/XJ6BJL4G"],"itemData":{"id":10530,"type":"article-journal","abstract":"Cell culture has become an indispensable tool to help uncover fundamental biophysical and biomolecular mechanisms by which cells assemble into tissues and organs, how these tissues function, and how that function becomes disrupted in disease. Cell culture is now widely used in biomedical research, tissue engineering, regenerative medicine, and industrial practices. Although flat, two-dimensional (2D) cell culture has predominated, recent research has shifted toward culture using three-dimensional (3D) structures, and more realistic biochemical and biomechanical microenvironments. Nevertheless, in 3D cell culture, many challenges remain, including the tissue-tissue interface, the mechanical microenvironment, and the spatiotemporal distributions of oxygen, nutrients, and metabolic wastes. Here, we review 2D and 3D cell culture methods, discuss advantages and limitations of these techniques in modeling physiologically and pathologically relevant processes, and suggest directions for future research.","container-title":"Physiology","DOI":"10.1152/physiol.00036.2016","ISSN":"1548-9213, 1548-9221","issue":"4","journalAbbreviation":"Physiology","language":"en","page":"266-277","source":"DOI.org (Crossref)","title":"Modeling Physiological Events in 2D vs. 3D Cell Culture","URL":"https://www.physiology.org/doi/10.1152/physiol.00036.2016","volume":"32","author":[{"family":"Duval","given":"Kayla"},{"family":"Grover","given":"Hannah"},{"family":"Han","given":"Li-Hsin"},{"family":"Mou","given":"Yongchao"},{"family":"Pegoraro","given":"Adrian F."},{"family":"Fredberg","given":"Jeffery"},{"family":"Chen","given":"Zi"}],"accessed":{"date-parts":[["2022",5,12]]},"issued":{"date-parts":[["2017",7]]},"citation-key":"duval_modeling_2017"}}],"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346</w:t>
      </w:r>
      <w:r w:rsidRPr="002A7128">
        <w:rPr>
          <w:rFonts w:ascii="Calibri" w:hAnsi="Calibri" w:cs="Calibri"/>
        </w:rPr>
        <w:fldChar w:fldCharType="end"/>
      </w:r>
      <w:r w:rsidRPr="002A7128">
        <w:rPr>
          <w:rFonts w:ascii="Calibri" w:hAnsi="Calibri" w:cs="Calibri"/>
        </w:rPr>
        <w:t xml:space="preserve"> These differences ultimately affect the biological outcomes, one of which is cell death. For example, a recent study showed the apoptotic resistance of breast cancer spheroids against paclitaxel and doxorubicin treatment and found changes in the expression of caspases resulting in an “anti-apoptotic” state.</w:t>
      </w:r>
      <w:r w:rsidRPr="002A7128">
        <w:rPr>
          <w:rFonts w:ascii="Calibri" w:hAnsi="Calibri" w:cs="Calibri"/>
        </w:rPr>
        <w:fldChar w:fldCharType="begin"/>
      </w:r>
      <w:r w:rsidR="00A64B61" w:rsidRPr="002A7128">
        <w:rPr>
          <w:rFonts w:ascii="Calibri" w:hAnsi="Calibri" w:cs="Calibri"/>
        </w:rPr>
        <w:instrText xml:space="preserve"> ADDIN ZOTERO_ITEM CSL_CITATION {"citationID":"ac9uhm212f","properties":{"formattedCitation":"\\super 347\\nosupersub{}","plainCitation":"347","noteIndex":0},"citationItems":[{"id":10532,"uris":["http://zotero.org/groups/2667333/items/IFCPLIFF"],"itemData":{"id":10532,"type":"article-journal","container-title":"Oncology Reports","DOI":"10.3892/or.2015.3767","ISSN":"1021-335X, 1791-2431","issue":"4","language":"en","page":"1837-1843","source":"DOI.org (Crossref)","title":"Comparison of 2D- and 3D-culture models as drug-testing platforms in breast cancer","URL":"https://www.spandidos-publications.com/10.3892/or.2015.3767","volume":"33","author":[{"family":"Imamura","given":"Yoshinori"},{"family":"Mukohara","given":"Toru"},{"family":"Shimono","given":"Yohei"},{"family":"Funakoshi","given":"Yohei"},{"family":"Chayahara","given":"Naoko"},{"family":"Toyoda","given":"Masanori"},{"family":"Kiyota","given":"Naomi"},{"family":"Takao","given":"Shintaro"},{"family":"Kono","given":"Seishi"},{"family":"Nakatsura","given":"Tetsuya"},{"family":"Minami","given":"Hironobu"}],"accessed":{"date-parts":[["2022",5,12]]},"issued":{"date-parts":[["2015",4]]},"citation-key":"imamura_comparison_2015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347</w:t>
      </w:r>
      <w:r w:rsidRPr="002A7128">
        <w:rPr>
          <w:rFonts w:ascii="Calibri" w:hAnsi="Calibri" w:cs="Calibri"/>
        </w:rPr>
        <w:fldChar w:fldCharType="end"/>
      </w:r>
      <w:r w:rsidRPr="002A7128">
        <w:rPr>
          <w:rFonts w:ascii="Calibri" w:hAnsi="Calibri" w:cs="Calibri"/>
        </w:rPr>
        <w:t xml:space="preserve"> Increased autophagy in breast cancer spheroids reduced the activity of Trastuzumab, making spheroid resistant.</w:t>
      </w:r>
      <w:r w:rsidRPr="002A7128">
        <w:rPr>
          <w:rFonts w:ascii="Calibri" w:hAnsi="Calibri" w:cs="Calibri"/>
        </w:rPr>
        <w:fldChar w:fldCharType="begin"/>
      </w:r>
      <w:r w:rsidR="00A64B61" w:rsidRPr="002A7128">
        <w:rPr>
          <w:rFonts w:ascii="Calibri" w:hAnsi="Calibri" w:cs="Calibri"/>
        </w:rPr>
        <w:instrText xml:space="preserve"> ADDIN ZOTERO_ITEM CSL_CITATION {"citationID":"amf8pm1fpl","properties":{"formattedCitation":"\\super 348\\nosupersub{}","plainCitation":"348","noteIndex":0},"citationItems":[{"id":10536,"uris":["http://zotero.org/groups/2667333/items/TP9L786B"],"itemData":{"id":10536,"type":"article-journal","container-title":"PLOS ONE","DOI":"10.1371/journal.pone.0137920","ISSN":"1932-6203","issue":"9","journalAbbreviation":"PLoS ONE","language":"en","page":"e0137920","source":"DOI.org (Crossref)","title":"Autophagy Protects from Trastuzumab-Induced Cytotoxicity in HER2 Overexpressing Breast Tumor Spheroids","URL":"https://dx.plos.org/10.1371/journal.pone.0137920","volume":"10","author":[{"family":"Rodríguez","given":"Cristina E."},{"family":"Reidel","given":"Sara I."},{"family":"Bal de Kier Joffé","given":"Elisa D."},{"family":"Jasnis","given":"Maria A."},{"family":"Fiszman","given":"Gabriel L."}],"editor":[{"family":"Sapino","given":"Anna"}],"accessed":{"date-parts":[["2022",5,12]]},"issued":{"date-parts":[["2015",9,11]]},"citation-key":"rodriguez_autophagy_2015"}}],"schema":"https://github.com/citation-style-language/schema/raw/master/csl-citation.json"}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348</w:t>
      </w:r>
      <w:r w:rsidRPr="002A7128">
        <w:rPr>
          <w:rFonts w:ascii="Calibri" w:hAnsi="Calibri" w:cs="Calibri"/>
        </w:rPr>
        <w:fldChar w:fldCharType="end"/>
      </w:r>
      <w:r w:rsidRPr="002A7128">
        <w:rPr>
          <w:rFonts w:ascii="Calibri" w:hAnsi="Calibri" w:cs="Calibri"/>
        </w:rPr>
        <w:t xml:space="preserve"> Another study showed that spheroids were resistant to ferroptosis (a form of regulated necrosis) induction compared to monolayer counterparts.</w:t>
      </w:r>
      <w:r w:rsidRPr="002A7128">
        <w:rPr>
          <w:rFonts w:ascii="Calibri" w:hAnsi="Calibri" w:cs="Calibri"/>
        </w:rPr>
        <w:fldChar w:fldCharType="begin"/>
      </w:r>
      <w:r w:rsidR="00A64B61" w:rsidRPr="002A7128">
        <w:rPr>
          <w:rFonts w:ascii="Calibri" w:hAnsi="Calibri" w:cs="Calibri"/>
        </w:rPr>
        <w:instrText xml:space="preserve"> ADDIN ZOTERO_ITEM CSL_CITATION {"citationID":"auooaaaln1","properties":{"formattedCitation":"\\super 349\\nosupersub{}","plainCitation":"349","noteIndex":0},"citationItems":[{"id":10534,"uris":["http://zotero.org/groups/2667333/items/HYXF34ES"],"itemData":{"id":10534,"type":"article-journal","abstract":"The failure of drug efficacy in clinical trials remains a big issue in cancer research. This is largely due to the limitations of two-dimensional (2D) cell cultures, the most used tool in drug screening. Nowadays, three-dimensional (3D) cultures, including spheroids, are acknowledged to be a better model of the in vivo environment, but detailed cell death assays for 3D cultures (including those for ferroptosis) are scarce. In this work, we show that a new cell death analysis method, named 3D Cell Death Assay (3DELTA), can efficiently determine different cell death types including ferroptosis and quantitatively assess cell death in tumour spheroids. Our method uses Sytox dyes as a cell death marker and Triton X-100, which efficiently permeabilizes all cells in spheroids, was used to establish 100% cell death. After optimization of Sytox concentration, Triton X-100 concentration and timing, we showed that the 3DELTA method was able to detect signals from all cells without the need to disaggregate spheroids. Moreover, in this work we demonstrated that 2D experiments cannot be extrapolated to 3D cultures as 3D cultures are less sensitive to cell death induction. In conclusion, 3DELTA is a more cost-effective way to identify and measure cell death type in 3D cultures, including spheroids.","container-title":"Cells","DOI":"10.3390/cells9030703","ISSN":"2073-4409","issue":"3","journalAbbreviation":"Cells","language":"en","page":"703","source":"DOI.org (Crossref)","title":"A 3D Cell Death Assay to Quantitatively Determine Ferroptosis in Spheroids","URL":"https://www.mdpi.com/2073-4409/9/3/703","volume":"9","author":[{"family":"Demuynck","given":"Robin"},{"family":"Efimova","given":"Iuliia"},{"family":"Lin","given":"Abraham"},{"family":"Declercq","given":"Heidi"},{"family":"Krysko","given":"Dmitri V."}],"accessed":{"date-parts":[["2022",5,12]]},"issued":{"date-parts":[["2020",3,13]]},"citation-key":"demuynck_3d_2020"}}],"schema":"https://github.com/citation-style-language/schema/raw/master/csl-citation.json"}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349</w:t>
      </w:r>
      <w:r w:rsidRPr="002A7128">
        <w:rPr>
          <w:rFonts w:ascii="Calibri" w:hAnsi="Calibri" w:cs="Calibri"/>
        </w:rPr>
        <w:fldChar w:fldCharType="end"/>
      </w:r>
      <w:r w:rsidRPr="002A7128">
        <w:rPr>
          <w:rFonts w:ascii="Calibri" w:hAnsi="Calibri" w:cs="Calibri"/>
        </w:rPr>
        <w:t xml:space="preserve"> These efforts highlight the importance of having physiologically relevant models to study and pre-select new therapeutics for treatments. </w:t>
      </w:r>
    </w:p>
    <w:p w14:paraId="4E81CCC1" w14:textId="7C1CFE9D" w:rsidR="000D5DE9" w:rsidRPr="002A7128" w:rsidRDefault="000D5DE9" w:rsidP="00F675B4">
      <w:pPr>
        <w:spacing w:line="480" w:lineRule="auto"/>
        <w:jc w:val="both"/>
        <w:rPr>
          <w:rFonts w:ascii="Calibri" w:hAnsi="Calibri" w:cs="Calibri"/>
        </w:rPr>
      </w:pPr>
      <w:r w:rsidRPr="002A7128">
        <w:rPr>
          <w:rFonts w:ascii="Calibri" w:hAnsi="Calibri" w:cs="Calibri"/>
        </w:rPr>
        <w:t xml:space="preserve">Aggregation of proteins/peptides such as </w:t>
      </w:r>
      <w:r w:rsidR="00453128">
        <w:rPr>
          <w:rFonts w:ascii="Calibri" w:hAnsi="Calibri" w:cs="Calibri"/>
        </w:rPr>
        <w:t>A</w:t>
      </w:r>
      <w:r w:rsidR="00453128" w:rsidRPr="00453128">
        <w:rPr>
          <w:rFonts w:ascii="Symbol" w:hAnsi="Symbol" w:cs="Calibri"/>
        </w:rPr>
        <w:t>b</w:t>
      </w:r>
      <w:r w:rsidRPr="002A7128">
        <w:rPr>
          <w:rFonts w:ascii="Calibri" w:hAnsi="Calibri" w:cs="Calibri"/>
        </w:rPr>
        <w:t xml:space="preserve"> is a common hallmark of neurodegenerative conditions such as Alzheimer’s, Huntington's, and Parkinson's diseases. Amyloid aggregation was shown to induce inflammation, which recently was linked to DAMPs. Damaged/dying cells due to aggregation activate local immune cells like astrocytes and microglia through the release of DAMPs.</w:t>
      </w:r>
      <w:r w:rsidRPr="002A7128">
        <w:rPr>
          <w:rFonts w:ascii="Calibri" w:hAnsi="Calibri" w:cs="Calibri"/>
        </w:rPr>
        <w:fldChar w:fldCharType="begin"/>
      </w:r>
      <w:r w:rsidR="00A64B61" w:rsidRPr="002A7128">
        <w:rPr>
          <w:rFonts w:ascii="Calibri" w:hAnsi="Calibri" w:cs="Calibri"/>
        </w:rPr>
        <w:instrText xml:space="preserve"> ADDIN ZOTERO_ITEM CSL_CITATION {"citationID":"8Xdk04mJ","properties":{"formattedCitation":"\\super 117\\nosupersub{}","plainCitation":"117","noteIndex":0},"citationItems":[{"id":10477,"uris":["http://zotero.org/groups/2667333/items/8YLH8426"],"itemData":{"id":10477,"type":"article-journal","abstract":"Abstract\n            \n              Both mitochondrial dysfunction and neuroinflammation are implicated in neurodegeneration and neurodegenerative diseases. Accumulating evidence shows multiple links between mitochondrial dysfunction and neuroinflammation. Mitochondrial-derived damage-associated molecular patterns (DAMPs) are recognized by immune receptors of microglia and aggravate neuroinflammation. On the other hand, inflammatory factors released by activated glial cells trigger an intracellular cascade, which regulates mitochondrial metabolism and function. The crosstalk between mitochondrial dysfunction and neuroinflammatory activation is a complex and dynamic process. There is strong evidence that mitochondrial dysfunction precedes neuroinflammation during the progression of diseases. Thus, an in-depth understanding of the specific molecular mechanisms associated with mitochondrial dysfunction and the progression of neuroinflammation in neurodegenerative diseases may contribute to the identification of new targets for the treatment of diseases. In this review, we describe in detail the DAMPs that induce or aggravate neuroinflammation in neurodegenerative diseases including mtDNA, mitochondrial unfolded protein response (mtUPR), mitochondrial reactive oxygen species (mtROS), adenosine triphosphate (ATP), transcription factor A mitochondria (TFAM), cardiolipin, cytochrome\n              c\n              , mitochondrial Ca\n              2+\n              and iron.","container-title":"Acta Pharmacologica Sinica","DOI":"10.1038/s41401-022-00879-6","ISSN":"1671-4083, 1745-7254","journalAbbreviation":"Acta Pharmacol Sin","language":"en","source":"DOI.org (Crossref)","title":"Mitochondrial-derived damage-associated molecular patterns amplify neuroinflammation in neurodegenerative diseases","URL":"https://www.nature.com/articles/s41401-022-00879-6","author":[{"family":"Lin","given":"Miao-miao"},{"family":"Liu","given":"Na"},{"family":"Qin","given":"Zheng-hong"},{"family":"Wang","given":"Yan"}],"accessed":{"date-parts":[["2022",5,3]]},"issued":{"date-parts":[["2022",3,1]]},"citation-key":"lin_mitochondrial-derived_2022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117</w:t>
      </w:r>
      <w:r w:rsidRPr="002A7128">
        <w:rPr>
          <w:rFonts w:ascii="Calibri" w:hAnsi="Calibri" w:cs="Calibri"/>
        </w:rPr>
        <w:fldChar w:fldCharType="end"/>
      </w:r>
      <w:r w:rsidRPr="002A7128">
        <w:rPr>
          <w:rFonts w:ascii="Calibri" w:hAnsi="Calibri" w:cs="Calibri"/>
        </w:rPr>
        <w:t xml:space="preserve"> Inspired by the amyloid aggregation, we recently established a platform called CoOP</w:t>
      </w:r>
      <w:r w:rsidRPr="002A7128">
        <w:rPr>
          <w:rFonts w:ascii="Calibri" w:hAnsi="Calibri" w:cs="Calibri"/>
        </w:rPr>
        <w:fldChar w:fldCharType="begin"/>
      </w:r>
      <w:r w:rsidR="00317E7D" w:rsidRPr="002A7128">
        <w:rPr>
          <w:rFonts w:ascii="Calibri" w:hAnsi="Calibri" w:cs="Calibri"/>
        </w:rPr>
        <w:instrText xml:space="preserve"> ADDIN ZOTERO_ITEM CSL_CITATION {"citationID":"a1vdtgh10b8","properties":{"formattedCitation":"\\super 145\\nosupersub{}","plainCitation":"145","noteIndex":0},"citationItems":[{"id":9925,"uris":["http://zotero.org/groups/2667333/items/CDKDX376"],"itemData":{"id":9925,"type":"article-journal","abstract":"Co-assembly of oppositely charged peptides (CoOP) links intermolecular interactions and material properties.","archive_location":"world","container-title":"Science Advances","DOI":"10.1126/sciadv.abj0305","language":"EN","license":"Copyright © 2022 The Authors, some rights reserved; exclusive licensee American Association for the Advancement of Science. No claim to original U.S. Government Works. Distributed under a Creative Commons Attribution NonCommercial License 4.0 (CC BY-NC).","note":"publisher: American Association for the Advancement of Science\ntex.ids= doi:10.1126/sciadv.abj0305","source":"www.science.org","title":"Peptide framework for screening the effects of amino acids on assembly","URL":"https://www.science.org/doi/abs/10.1126/sciadv.abj0305","author":[{"family":"Hamsici","given":"Seren"},{"family":"White","given":"Andrew D."},{"family":"Acar","given":"Handan"}],"accessed":{"date-parts":[["2022",1,19]]},"issued":{"date-parts":[["2022",1]]},"citation-key":"hamsici_peptide_2022"}}],"schema":"https://github.com/citation-style-language/schema/raw/master/csl-citation.json"}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145</w:t>
      </w:r>
      <w:r w:rsidRPr="002A7128">
        <w:rPr>
          <w:rFonts w:ascii="Calibri" w:hAnsi="Calibri" w:cs="Calibri"/>
        </w:rPr>
        <w:fldChar w:fldCharType="end"/>
      </w:r>
      <w:r w:rsidRPr="002A7128">
        <w:rPr>
          <w:rFonts w:ascii="Calibri" w:hAnsi="Calibri" w:cs="Calibri"/>
        </w:rPr>
        <w:t xml:space="preserve"> to induce ICD and DAMP release. We showed that a peptide pair called [II] (PAIIR) induces ICD and DAMP release in multiple cell lines and elevates the antibody (humoral) response in an influenza vaccination model</w:t>
      </w:r>
      <w:r w:rsidRPr="002A7128">
        <w:rPr>
          <w:rFonts w:ascii="Calibri" w:hAnsi="Calibri" w:cs="Calibri"/>
        </w:rPr>
        <w:fldChar w:fldCharType="begin"/>
      </w:r>
      <w:r w:rsidR="00317E7D" w:rsidRPr="002A7128">
        <w:rPr>
          <w:rFonts w:ascii="Calibri" w:hAnsi="Calibri" w:cs="Calibri"/>
        </w:rPr>
        <w:instrText xml:space="preserve"> ADDIN ZOTERO_ITEM CSL_CITATION {"citationID":"a1nvqfj7agd","properties":{"formattedCitation":"\\super 343\\nosupersub{}","plainCitation":"343","noteIndex":0},"citationItems":[{"id":"wiida5Bo/dNoyVUEy","uris":["http://zotero.org/groups/2667333/items/GKGZM2KP"],"itemData":{"id":9786,"type":"article-journal","abstract":"Under the influence of stress and membrane damage, cells undergo immunogenic cell death (ICD), which involves the release of damage associated molecular patterns (DAMPs), natural adjuvants for enhancing an immune response. In the presence of an antigen, released DAMPs can determine the type and magnitude of the immune response, and therefore the longevity and efficacy of an antigen-specific immunity. In the last decade, the immune response effect of ICD has been shown, yet there is no tool that can induce controlled ICD with predictable results, regardless of the cell type. We designed a peptide-based tool, called [II], for controlled damage to cell membrane to induce ICD and DAMPs release. Herein we describe a series of experiments that determine that the mechanism of action of [II] includes a caspase-dependent ICD and subsequent release of immune stimulating DAMPs, on various cell types. Moreover, we tested the hypothesis that controlled DAMP release via [II] in vivo was associated with enhancement of antigen-specific adaptive immunity with influenza hemagglutinin (HA) subunit vaccine. HA and [II] showed significantly higher HA specific IgG1 and IgG2a antibodies, compared to HA-only immunized mice, while the peptide itself did not elicit antibodies. In this paper, we demonstrate the first peptide-aggregation induced immunogenic rupture (PAIIR) approach as vaccine adjuvants for increasing both humoral and cellular immunity. In consideration of its ability to enhance IgG2a responses that are associated with heterosubtypic influenza virus protection, PAIIR is a promising adjuvant to promote universal protection upon influenza HA vaccination.","container-title":"Advanced Science","DOI":"10.1101/2021.12.11.472230","language":"en","note":"Company: Cold Spring Harbor Laboratory\nDOI: 10.1101/2021.12.11.472230\nDistributor: Cold Spring Harbor Laboratory\nLabel: Cold Spring Harbor Laboratory\nsection: New Results\ntype: article\nCitation Key: gunay_peptide_2022","source":"BioRxiv","title":"Peptide Aggregation Induced Immunogenic Rupture (PAIIR)","URL":"https://www.biorxiv.org/content/10.1101/2021.12.11.472230v1","volume":"472230","author":[{"family":"Gunay","given":"Gokhan"},{"family":"Hamsici","given":"Seren"},{"family":"Lang","given":"Mark L."},{"family":"Lang","given":"Gillian A."},{"family":"Kovats","given":"Susan"},{"family":"Acar","given":"Handan"}],"accessed":{"date-parts":[["2021",12,14]]},"issued":{"date-parts":[["2022"]]},"citation-key":"gunay_peptide_2022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343</w:t>
      </w:r>
      <w:r w:rsidRPr="002A7128">
        <w:rPr>
          <w:rFonts w:ascii="Calibri" w:hAnsi="Calibri" w:cs="Calibri"/>
        </w:rPr>
        <w:fldChar w:fldCharType="end"/>
      </w:r>
      <w:r w:rsidRPr="002A7128">
        <w:rPr>
          <w:rFonts w:ascii="Calibri" w:hAnsi="Calibri" w:cs="Calibri"/>
        </w:rPr>
        <w:t xml:space="preserve">. Then we showed that [II] aggregation occurs on the cell </w:t>
      </w:r>
      <w:r w:rsidRPr="002A7128">
        <w:rPr>
          <w:rFonts w:ascii="Calibri" w:hAnsi="Calibri" w:cs="Calibri"/>
        </w:rPr>
        <w:lastRenderedPageBreak/>
        <w:t>membrane and involves the phosphorylation of eIF2</w:t>
      </w:r>
      <w:r w:rsidRPr="00CD1007">
        <w:rPr>
          <w:rFonts w:ascii="Symbol" w:hAnsi="Symbol" w:cs="Calibri"/>
        </w:rPr>
        <w:t>a</w:t>
      </w:r>
      <w:r w:rsidRPr="002A7128">
        <w:rPr>
          <w:rFonts w:ascii="Calibri" w:hAnsi="Calibri" w:cs="Calibri"/>
        </w:rPr>
        <w:t xml:space="preserve"> and surface localization of </w:t>
      </w:r>
      <w:r w:rsidR="00AD6EF4">
        <w:rPr>
          <w:rFonts w:ascii="Calibri" w:hAnsi="Calibri" w:cs="Calibri"/>
        </w:rPr>
        <w:t>CRT</w:t>
      </w:r>
      <w:r w:rsidRPr="002A7128">
        <w:rPr>
          <w:rFonts w:ascii="Calibri" w:hAnsi="Calibri" w:cs="Calibri"/>
        </w:rPr>
        <w:t>, hallmarks of ICD.</w:t>
      </w:r>
      <w:r w:rsidRPr="002A7128">
        <w:rPr>
          <w:rFonts w:ascii="Calibri" w:hAnsi="Calibri" w:cs="Calibri"/>
        </w:rPr>
        <w:fldChar w:fldCharType="begin"/>
      </w:r>
      <w:r w:rsidR="00317E7D" w:rsidRPr="002A7128">
        <w:rPr>
          <w:rFonts w:ascii="Calibri" w:hAnsi="Calibri" w:cs="Calibri"/>
        </w:rPr>
        <w:instrText xml:space="preserve"> ADDIN ZOTERO_ITEM CSL_CITATION {"citationID":"a9f0q30qnm","properties":{"formattedCitation":"\\super 54\\nosupersub{}","plainCitation":"54","noteIndex":0},"citationItems":[{"id":10265,"uris":["http://zotero.org/groups/2667333/items/GSRJJ3GT"],"itemData":{"id":10265,"type":"article-journal","container-title":"Cell Death &amp; Differentiation","DOI":"10.1038/s41418-017-0044-9","ISSN":"1350-9047, 1476-5403","issue":"8","journalAbbreviation":"Cell Death Differ","language":"en","page":"1375-1393","source":"DOI.org (Crossref)","title":"eIF2α phosphorylation is pathognomonic for immunogenic cell death","URL":"http://www.nature.com/articles/s41418-017-0044-9","volume":"25","author":[{"family":"Bezu","given":"Lucillia"},{"family":"Sauvat","given":"Allan"},{"family":"Humeau","given":"Juliette"},{"family":"Gomes-da-Silva","given":"Lígia C."},{"family":"Iribarren","given":"Kristina"},{"family":"Forveille","given":"Sabrina"},{"family":"Garcia","given":"Pauline"},{"family":"Zhao","given":"Liwei"},{"family":"Liu","given":"Peng"},{"family":"Zitvogel","given":"Laurence"},{"family":"Senovilla","given":"Laura"},{"family":"Kepp","given":"Oliver"},{"family":"Kroemer","given":"Guido"}],"accessed":{"date-parts":[["2022",4,18]]},"issued":{"date-parts":[["2018",8]]},"citation-key":"bezu_eif2_2018"}}],"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54</w:t>
      </w:r>
      <w:r w:rsidRPr="002A7128">
        <w:rPr>
          <w:rFonts w:ascii="Calibri" w:hAnsi="Calibri" w:cs="Calibri"/>
        </w:rPr>
        <w:fldChar w:fldCharType="end"/>
      </w:r>
      <w:r w:rsidRPr="002A7128">
        <w:rPr>
          <w:rFonts w:ascii="Calibri" w:hAnsi="Calibri" w:cs="Calibri"/>
        </w:rPr>
        <w:t xml:space="preserve"> Furthermore, we showed that the aggregation state of [II] peptide could be controlled using albumin, resulting in ICD upon the aggregated state while remaining non-cytotoxic in fibrillar form. Consequently, control over the aggregation state equals control over ICD and DAMP release and provides an advantage over modulating the cell death within the same peptide concentration.  </w:t>
      </w:r>
    </w:p>
    <w:p w14:paraId="736A56BA" w14:textId="36CC0F5B" w:rsidR="000711C0" w:rsidRPr="002A7128" w:rsidRDefault="000D5DE9" w:rsidP="001752A2">
      <w:pPr>
        <w:spacing w:line="480" w:lineRule="auto"/>
        <w:jc w:val="both"/>
        <w:rPr>
          <w:rFonts w:ascii="Calibri" w:hAnsi="Calibri" w:cs="Calibri"/>
        </w:rPr>
      </w:pPr>
      <w:r w:rsidRPr="002A7128">
        <w:rPr>
          <w:rFonts w:ascii="Calibri" w:hAnsi="Calibri" w:cs="Calibri"/>
        </w:rPr>
        <w:t xml:space="preserve">Here, we used a breast cancer spheroid model to study ICD and DAMP release. We showed that [II] aggregation induces ICD and DAMP release in the spheroid model. The release of DAMPs was superior to mitoxantrone (ICD inducer) and cisplatin (non-ICD inducer) in terms of type and amount. Furthermore, released DAMPs upon [II] aggregation activated dendritic cells (DCs) into a pro-inflammatory phenotype. Overall, this study uses spheroid models to study ICD and DAMP release and highlights the superiority of the peptide aggregation model against commonly utilized chemotherapeutics. </w:t>
      </w:r>
    </w:p>
    <w:p w14:paraId="787580CB" w14:textId="73E11FB6" w:rsidR="000D5DE9" w:rsidRPr="002A7128" w:rsidRDefault="000D5DE9">
      <w:pPr>
        <w:pStyle w:val="Heading2"/>
        <w:numPr>
          <w:ilvl w:val="2"/>
          <w:numId w:val="9"/>
        </w:numPr>
        <w:spacing w:line="480" w:lineRule="auto"/>
        <w:rPr>
          <w:rFonts w:ascii="Calibri" w:hAnsi="Calibri" w:cs="Calibri"/>
        </w:rPr>
      </w:pPr>
      <w:bookmarkStart w:id="186" w:name="_Toc120794215"/>
      <w:r w:rsidRPr="002A7128">
        <w:rPr>
          <w:rFonts w:ascii="Calibri" w:hAnsi="Calibri" w:cs="Calibri"/>
        </w:rPr>
        <w:t>Results and Discussion</w:t>
      </w:r>
      <w:bookmarkEnd w:id="186"/>
    </w:p>
    <w:p w14:paraId="3C849764" w14:textId="4A2708E9" w:rsidR="000D5DE9" w:rsidRPr="002A7128" w:rsidRDefault="000D5DE9">
      <w:pPr>
        <w:pStyle w:val="Heading2"/>
        <w:numPr>
          <w:ilvl w:val="3"/>
          <w:numId w:val="9"/>
        </w:numPr>
        <w:spacing w:line="480" w:lineRule="auto"/>
        <w:rPr>
          <w:rFonts w:ascii="Calibri" w:hAnsi="Calibri" w:cs="Calibri"/>
        </w:rPr>
      </w:pPr>
      <w:bookmarkStart w:id="187" w:name="_Toc120794216"/>
      <w:r w:rsidRPr="002A7128">
        <w:rPr>
          <w:rFonts w:ascii="Calibri" w:hAnsi="Calibri" w:cs="Calibri"/>
        </w:rPr>
        <w:t>Spheroid formation of EMT6 cells</w:t>
      </w:r>
      <w:bookmarkEnd w:id="187"/>
    </w:p>
    <w:p w14:paraId="2F7441E6" w14:textId="62B27F40" w:rsidR="000D5DE9" w:rsidRPr="002A7128" w:rsidRDefault="000D5DE9" w:rsidP="00F675B4">
      <w:pPr>
        <w:spacing w:line="480" w:lineRule="auto"/>
        <w:jc w:val="both"/>
        <w:rPr>
          <w:rFonts w:ascii="Calibri" w:hAnsi="Calibri" w:cs="Calibri"/>
        </w:rPr>
      </w:pPr>
      <w:r w:rsidRPr="002A7128">
        <w:rPr>
          <w:rFonts w:ascii="Calibri" w:hAnsi="Calibri" w:cs="Calibri"/>
        </w:rPr>
        <w:t>EMT6 is a breast cancer cell line, and it is shown to be an immunogenic cell line.</w:t>
      </w:r>
      <w:r w:rsidRPr="002A7128">
        <w:rPr>
          <w:rFonts w:ascii="Calibri" w:hAnsi="Calibri" w:cs="Calibri"/>
        </w:rPr>
        <w:fldChar w:fldCharType="begin"/>
      </w:r>
      <w:r w:rsidR="00A64B61" w:rsidRPr="002A7128">
        <w:rPr>
          <w:rFonts w:ascii="Calibri" w:hAnsi="Calibri" w:cs="Calibri"/>
        </w:rPr>
        <w:instrText xml:space="preserve"> ADDIN ZOTERO_ITEM CSL_CITATION {"citationID":"a1f0mvri8b5","properties":{"formattedCitation":"\\super 350\\nosupersub{}","plainCitation":"350","noteIndex":0},"citationItems":[{"id":10546,"uris":["http://zotero.org/groups/2667333/items/6BE7ZEAS"],"itemData":{"id":10546,"type":"article-journal","container-title":"PLOS ONE","DOI":"10.1371/journal.pone.0206223","ISSN":"1932-6203","issue":"11","journalAbbreviation":"PLoS ONE","language":"en","page":"e0206223","source":"DOI.org (Crossref)","title":"Tumor-immune profiling of murine syngeneic tumor models as a framework to guide mechanistic studies and predict therapy response in distinct tumor microenvironments","URL":"https://dx.plos.org/10.1371/journal.pone.0206223","volume":"13","author":[{"family":"Yu","given":"Jong W."},{"family":"Bhattacharya","given":"Sabyasachi"},{"family":"Yanamandra","given":"Niranjan"},{"family":"Kilian","given":"David"},{"family":"Shi","given":"Hong"},{"family":"Yadavilli","given":"Sapna"},{"family":"Katlinskaya","given":"Yuliya"},{"family":"Kaczynski","given":"Heather"},{"family":"Conner","given":"Michael"},{"family":"Benson","given":"William"},{"family":"Hahn","given":"Ashleigh"},{"family":"Seestaller-Wehr","given":"Laura"},{"family":"Bi","given":"Meixia"},{"family":"Vitali","given":"Nicholas J."},{"family":"Tsvetkov","given":"Lyuben"},{"family":"Halsey","given":"Wendy"},{"family":"Hughes","given":"Ashley"},{"family":"Traini","given":"Christopher"},{"family":"Zhou","given":"Hui"},{"family":"Jing","given":"Junping"},{"family":"Lee","given":"Tae"},{"family":"Figueroa","given":"David J."},{"family":"Brett","given":"Sara"},{"family":"Hopson","given":"Christopher B."},{"family":"Smothers","given":"James F."},{"family":"Hoos","given":"Axel"},{"family":"Srinivasan","given":"Roopa"}],"editor":[{"family":"Mattei","given":"Fabrizio"}],"accessed":{"date-parts":[["2022",5,16]]},"issued":{"date-parts":[["2018",11,2]]},"citation-key":"yu_tumor-immune_2018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350</w:t>
      </w:r>
      <w:r w:rsidRPr="002A7128">
        <w:rPr>
          <w:rFonts w:ascii="Calibri" w:hAnsi="Calibri" w:cs="Calibri"/>
        </w:rPr>
        <w:fldChar w:fldCharType="end"/>
      </w:r>
      <w:r w:rsidRPr="002A7128">
        <w:rPr>
          <w:rFonts w:ascii="Calibri" w:hAnsi="Calibri" w:cs="Calibri"/>
        </w:rPr>
        <w:t xml:space="preserve"> We used the EMT6 breast cancer cell line to form spheroids. Multiple techniques exist to form spheroids, such as ultra-low attachment, hanging drop, magnetic levitation, and spinner flasks.</w:t>
      </w:r>
      <w:r w:rsidRPr="002A7128">
        <w:rPr>
          <w:rFonts w:ascii="Calibri" w:hAnsi="Calibri" w:cs="Calibri"/>
        </w:rPr>
        <w:fldChar w:fldCharType="begin"/>
      </w:r>
      <w:r w:rsidR="00A64B61" w:rsidRPr="002A7128">
        <w:rPr>
          <w:rFonts w:ascii="Calibri" w:hAnsi="Calibri" w:cs="Calibri"/>
        </w:rPr>
        <w:instrText xml:space="preserve"> ADDIN ZOTERO_ITEM CSL_CITATION {"citationID":"bAod0GEz","properties":{"formattedCitation":"\\super 351\\nosupersub{}","plainCitation":"351","noteIndex":0},"citationItems":[{"id":6318,"uris":["http://zotero.org/groups/2667333/items/5QIKI7X6"],"itemData":{"id":6318,"type":"article-journal","abstract":"The lack of in vitro models that represent the native tumor microenvironment is a significant challenge for cancer research. Two-dimensional (2D) monolayer culture has long been the standard for in vitro cell-based studies. However, differences between 2D culture and the in vivo environment have led to poor translation of cancer research from in vitro to in vivo models, slowing the progress of the field. Recent advances in three-dimensional (3D) culture have improved the ability of in vitro culture to replicate in vivo conditions. Although 3D cultures still cannot achieve the complexity of the in vivo environment, they can still better replicate the cell&amp;ndash;cell and cell&amp;ndash;matrix interactions of solid tumors. Multicellular tumor spheroids (MCTS) are three-dimensional (3D) clusters of cells with tumor-like features such as oxygen gradients and drug resistance, and represent an important translational tool for cancer research. Accordingly, natural and synthetic polymers, including collagen, hyaluronic acid, Matrigel&amp;reg;, polyethylene glycol (PEG), alginate and chitosan, have been used to form and study MCTS for improved clinical translatability. This review evaluates the current state of biomaterial-based MCTS formation, including advantages and disadvantages of the different biomaterials and their recent applications to the field of cancer research, with a focus on the past five years.","container-title":"Polymers","DOI":"10.3390/polym12112506","issue":"11","language":"en","license":"http://creativecommons.org/licenses/by/3.0/","note":"number: 11\npublisher: Multidisciplinary Digital Publishing Institute","page":"2506","source":"www.mdpi.com","title":"Natural and Synthetic Biomaterials for Engineering Multicellular Tumor Spheroids","URL":"https://www.mdpi.com/2073-4360/12/11/2506","volume":"12","author":[{"family":"Kamatar","given":"Advika"},{"family":"Gunay","given":"Gokhan"},{"family":"Acar","given":"Handan"}],"accessed":{"date-parts":[["2021",5,3]]},"issued":{"date-parts":[["2020",11]]},"citation-key":"kamatar_natural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351</w:t>
      </w:r>
      <w:r w:rsidRPr="002A7128">
        <w:rPr>
          <w:rFonts w:ascii="Calibri" w:hAnsi="Calibri" w:cs="Calibri"/>
        </w:rPr>
        <w:fldChar w:fldCharType="end"/>
      </w:r>
      <w:r w:rsidRPr="002A7128">
        <w:rPr>
          <w:rFonts w:ascii="Calibri" w:hAnsi="Calibri" w:cs="Calibri"/>
        </w:rPr>
        <w:t xml:space="preserve"> We previously showed the formation of different-sized spheroids by using the ultra-low attachment technique.</w:t>
      </w:r>
      <w:r w:rsidRPr="002A7128">
        <w:rPr>
          <w:rFonts w:ascii="Calibri" w:hAnsi="Calibri" w:cs="Calibri"/>
        </w:rPr>
        <w:fldChar w:fldCharType="begin"/>
      </w:r>
      <w:r w:rsidR="00A64B61" w:rsidRPr="002A7128">
        <w:rPr>
          <w:rFonts w:ascii="Calibri" w:hAnsi="Calibri" w:cs="Calibri"/>
        </w:rPr>
        <w:instrText xml:space="preserve"> ADDIN ZOTERO_ITEM CSL_CITATION {"citationID":"a17d6vbrp9c","properties":{"formattedCitation":"\\super 352\\nosupersub{}","plainCitation":"352","noteIndex":0},"citationItems":[{"id":2663,"uris":["http://zotero.org/groups/2667333/items/DXS8M9NR"],"itemData":{"id":2663,"type":"article-journal","abstract":"Background\nHigh fatality in ovarian cancer is attributed to metastasis, propagated by the release of multi-cellular aggregates/spheroids into the peritoneal cavity and their subsequent mesothelial invasion of peritoneal organs. Spheroids are therefore a common and clinically relevant in vitro model for ovarian cancer research. Spheroids in patients vary significantly in size and shape and display enhanced resistance to anti-cancer drugs compared to monolayers. However, there is no consensus on how spheroid size and shape affect drug resistance. Moreover, existing data regarding the influence of epithelial-to-mesenchymal transition (EMT) profile on spheroid shape and migration is inconclusive.\nMethods\nWe formed spheroids with OVCAR-3 and OVCAR-8 cells, chosen for their established genetic similarity to the patient tumor samples. We monitored their morphology using confocal microscope with dipping objective and fluorescent microscope. We characterized important EMT biomarkers; E-cadherin, Vimentin and Slug through western blotting in monolayers and spheroids. We treated these spheroids with Taxol and Cisplatin and investigated their migratory profile based on their morphology.\nResults\nWe report two distinct multicellular structures: loose aggregates (OVCAR-3) and compact spheroids (OVCAR-8). We attribute these different morphologies to the expression of the EMT biomarkers, and their changes upon spheroid formation. Importantly, we did not observe a difference in resistance to the anti-cancer drugs as a function of spheroid size and shape. However, migration capacity of compact spheroid (OVCAR-8) was 15-fold higher compared to that of loose aggregates (OVCAR-3).\nConclusions\nThese results highlight the importance of spheroid size and shape on anti-cancer drug resistance and migration profiles. The results of this study can, therefore, help to elucidate general rules for ovarian cancer studies based on 3D samples.","container-title":"Gynecologic Oncology","DOI":"10.1016/j.ygyno.2020.09.002","ISSN":"0090-8258","issue":"2","journalAbbreviation":"Gynecologic Oncology","language":"en","page":"563-572","source":"ScienceDirect","title":"The effects of size and shape of the ovarian cancer spheroids on the drug resistance and migration","URL":"http://www.sciencedirect.com/science/article/pii/S0090825820338579","volume":"159","author":[{"family":"Gunay","given":"Gokhan"},{"family":"Kirit","given":"Hande A."},{"family":"Kamatar","given":"Advika"},{"family":"Baghdasaryan","given":"Ofelya"},{"family":"Hamsici","given":"Seren"},{"family":"Acar","given":"Handan"}],"accessed":{"date-parts":[["2020",10,19]]},"issued":{"date-parts":[["2020",11,1]]},"citation-key":"gunay_effects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352</w:t>
      </w:r>
      <w:r w:rsidRPr="002A7128">
        <w:rPr>
          <w:rFonts w:ascii="Calibri" w:hAnsi="Calibri" w:cs="Calibri"/>
        </w:rPr>
        <w:fldChar w:fldCharType="end"/>
      </w:r>
      <w:r w:rsidRPr="002A7128">
        <w:rPr>
          <w:rFonts w:ascii="Calibri" w:hAnsi="Calibri" w:cs="Calibri"/>
        </w:rPr>
        <w:t xml:space="preserve"> Here, we used the same technique to form spheroids. The formation of hypoxic core (necrotic core) is associated with drug resistance</w:t>
      </w:r>
      <w:r w:rsidRPr="002A7128">
        <w:rPr>
          <w:rFonts w:ascii="Calibri" w:hAnsi="Calibri" w:cs="Calibri"/>
        </w:rPr>
        <w:fldChar w:fldCharType="begin"/>
      </w:r>
      <w:r w:rsidR="00A64B61" w:rsidRPr="002A7128">
        <w:rPr>
          <w:rFonts w:ascii="Calibri" w:hAnsi="Calibri" w:cs="Calibri"/>
        </w:rPr>
        <w:instrText xml:space="preserve"> ADDIN ZOTERO_ITEM CSL_CITATION {"citationID":"ald54f2sti","properties":{"formattedCitation":"\\super 353\\nosupersub{}","plainCitation":"353","noteIndex":0},"citationItems":[{"id":10548,"uris":["http://zotero.org/groups/2667333/items/WA8GMAJ6"],"itemData":{"id":10548,"type":"article-journal","abstract":"Abstract\n            \n              Aim\n              Clinical resistance is a complex phenomenon in major human cancers involving multifactorial mechanisms, and hypoxia is one of the key components that affect the cellular expression program and lead to therapy resistance. The present study aimed to summarize the role of hypoxia in cancer therapy by regulating the tumor microenvironment (TME) and to highlight the potential of hypoxia-targeted therapy.\n            \n            \n              Methods\n              Relevant published studies were retrieved from PubMed, Web of Science, and Embase using keywords such as hypoxia, cancer therapy, resistance, TME, cancer, apoptosis, DNA damage, autophagy, p53, and other similar terms.\n            \n            \n              Results\n              Recent studies have shown that hypoxia is associated with poor prognosis in patients by regulating the TME. It confers resistance to conventional therapies through a number of signaling pathways in apoptosis, autophagy, DNA damage, mitochondrial activity, p53, and drug efflux.\n            \n            \n              Conclusion\n              Hypoxia targeting might be relevant to overcome hypoxia-associated resistance in cancer treatment.","container-title":"Molecular Cancer","DOI":"10.1186/s12943-019-1089-9","ISSN":"1476-4598","issue":"1","journalAbbreviation":"Mol Cancer","language":"en","page":"157","source":"DOI.org (Crossref)","title":"Role of hypoxia in cancer therapy by regulating the tumor microenvironment","URL":"https://molecular-cancer.biomedcentral.com/articles/10.1186/s12943-019-1089-9","volume":"18","author":[{"family":"Jing","given":"Xinming"},{"family":"Yang","given":"Fengming"},{"family":"Shao","given":"Chuchu"},{"family":"Wei","given":"Ke"},{"family":"Xie","given":"Mengyan"},{"family":"Shen","given":"Hua"},{"family":"Shu","given":"Yongqian"}],"accessed":{"date-parts":[["2022",5,16]]},"issued":{"date-parts":[["2019",12]]},"citation-key":"jing_role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353</w:t>
      </w:r>
      <w:r w:rsidRPr="002A7128">
        <w:rPr>
          <w:rFonts w:ascii="Calibri" w:hAnsi="Calibri" w:cs="Calibri"/>
        </w:rPr>
        <w:fldChar w:fldCharType="end"/>
      </w:r>
      <w:r w:rsidRPr="002A7128">
        <w:rPr>
          <w:rFonts w:ascii="Calibri" w:hAnsi="Calibri" w:cs="Calibri"/>
        </w:rPr>
        <w:t xml:space="preserve">, consequently, one of our criteria was to form large spheroids (&gt;500 </w:t>
      </w:r>
      <w:r w:rsidRPr="00CD1007">
        <w:rPr>
          <w:rFonts w:ascii="Symbol" w:hAnsi="Symbol" w:cs="Calibri"/>
        </w:rPr>
        <w:t>m</w:t>
      </w:r>
      <w:r w:rsidRPr="002A7128">
        <w:rPr>
          <w:rFonts w:ascii="Calibri" w:hAnsi="Calibri" w:cs="Calibri"/>
        </w:rPr>
        <w:t xml:space="preserve">m in diameter), as spheroids larger than 500 </w:t>
      </w:r>
      <w:r w:rsidRPr="00CD1007">
        <w:rPr>
          <w:rFonts w:ascii="Symbol" w:hAnsi="Symbol" w:cs="Calibri"/>
        </w:rPr>
        <w:t>m</w:t>
      </w:r>
      <w:r w:rsidRPr="002A7128">
        <w:rPr>
          <w:rFonts w:ascii="Calibri" w:hAnsi="Calibri" w:cs="Calibri"/>
        </w:rPr>
        <w:t xml:space="preserve">m in diameter </w:t>
      </w:r>
      <w:r w:rsidRPr="002A7128">
        <w:rPr>
          <w:rFonts w:ascii="Calibri" w:hAnsi="Calibri" w:cs="Calibri"/>
        </w:rPr>
        <w:lastRenderedPageBreak/>
        <w:t>exhibit gradient formation and eventually lead to zone formation.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{"citationID":"a3astmt0su","properties":{"formattedCitation":"\\super 354,355\\nosupersub{}","plainCitation":"354,355","noteIndex":0},"citationItems":[{"id":1442,"uris":["http://zotero.org/groups/2667333/items/APPC29RZ"],"itemData":{"id":1442,"type":"article-journal","abstract":"The present article highlights the rationale, potential and flexibility of tumor spheroid mono- and cocultures for implementation into state of the art anti-cancer therapy test platforms. Unlike classical monolayer-based models, spheroids strikingly mirror the 3D cellular context and therapeutically relevant pathophysiological gradients of in vivo tumors. Some concepts for standardization and automation of spheroid culturing, monitoring and analysis are discussed, and the challenges to define the most convenient analytical endpoints for therapy testing are outlined. The potential of spheroids to contribute to either the elimination of poor drug candidates at the pre-animal and pre-clinical state or the identification of promising drugs that would fail in classical 2D cell assays is emphasised. Microtechnologies, in the form of micropatterning and microfluidics, are also discussed and offer the exciting prospect of standardized spheroid mass production to tackle high-throughput screening applications within the context of traditional laboratory settings. The extension towards more sophisticated spheroid coculture models which more closely reflect heterologous tumor tissues composed of tumor and various stromal cell types is also covered. Examples are given with particular emphasis on tumor-immune cell cocultures and their usefulness for testing novel immunotherapeutic treatment strategies. Finally, tumor cell heterogeneity and the extraordinary possibilities of putative cancer stem/tumor-initiating cell populations that can be maintained and expanded in sphere-forming assays are introduced. The relevance of the cancer stem cell hypothesis for cancer cure is highlighted, with the respective sphere cultures being envisioned as an integral tool for next generation drug development offensives.","collection-title":"Organotypic Tissue Culture for Substance Testing","container-title":"Journal of Biotechnology","DOI":"10.1016/j.jbiotec.2010.01.012","ISSN":"0168-1656","issue":"1","journalAbbreviation":"Journal of Biotechnology","language":"en","page":"3-15","source":"ScienceDirect","title":"Multicellular tumor spheroids: An underestimated tool is catching up again","title-short":"Multicellular tumor spheroids","URL":"http://www.sciencedirect.com/science/article/pii/S0168165610000398","volume":"148","author":[{"family":"Hirschhaeuser","given":"Franziska"},{"family":"Menne","given":"Heike"},{"family":"Dittfeld","given":"Claudia"},{"family":"West","given":"Jonathan"},{"family":"Mueller-Klieser","given":"Wolfgang"},{"family":"Kunz-Schughart","given":"Leoni A."}],"accessed":{"date-parts":[["2020",9,14]]},"issued":{"date-parts":[["2010",7,1]]},"citation-key":"hirschhaeuser_multicellular_2010"}},{"id":6721,"uris":["http://zotero.org/groups/2667333/items/TY7AATTK"],"itemData":{"id":6721,"type":"article-journal","abstract":"The three-dimensional (3D) tumor spheroid model is a critical tool for high-throughput ovarian cancer research and anticancer drug development in vitro. However, the 3D structure prevents high-resolution imaging of the inner side of the spheroids. We aim to visualize and characterize 3D morphological and physiological information of the contact multicellular ovarian tumor spheroids growing over time. We intend to further evaluate the distinctive evolutions of the tumor spheroid and necrotic tissue volumes in different cell numbers and determine the most appropriate mathematical model for fitting the growth of tumor spheroids and necrotic tissues. A label-free and noninvasive swept-source optical coherence tomography (SS-OCT) imaging platform was applied to obtain two-dimensional (2D) and 3D morphologies of ovarian tumor spheroids over 18 days. Ovarian tumor spheroids of two different initial cell numbers (5,000- and 50,000- cells) were cultured and imaged (each day) over the time of growth in 18 days. Four mathematical models (Exponential-Linear, Gompertz, logistic, and Boltzmann) were employed to describe the growth kinetics of the tumor spheroids volume and necrotic tissues. Ovarian tumor spheroids have different growth curves with different initial cell numbers and their growths contain different stages with various growth rates over 18 days. The volumes of 50,000-cells spheroids and the corresponding necrotic tissues are larger than that of the 5,000-cells spheroids. The formation of necrotic tissue in 5,000-cells numbers is slower than that in the 50,000-cells ones. Moreover, the Boltzmann model exhibits the best fitting performance for the growth of tumor spheroids and necrotic tissues. Optical coherence tomography (OCT) can serve as a promising imaging modality to visualize and characterize morphological and physiological features of multicellular ovarian tumor spheroids. The Boltzmann model integrating with 3D OCT data of ovarian tumor spheroids provides great potential for high-throughput cancer research in vitro and aiding in drug development.","container-title":"Biomedical Optics Express","DOI":"10.1364/BOE.425512","ISSN":"2156-7085","issue":"6","journalAbbreviation":"Biomed. Opt. Express, BOE","language":"EN","license":"&amp;#169; 2021 Optical Society of America","note":"publisher: Optical Society of America\ntex.ids= yan_characterization_2021-2","page":"3352-3371","source":"www.osapublishing.org","title":"Characterization and quantification of necrotic tissues and morphology in multicellular ovarian cancer tumor spheroids using optical coherence tomography","URL":"https://www.osapublishing.org/boe/abstract.cfm?uri=boe-12-6-3352","volume":"12","author":[{"family":"Yan","given":"Feng"},{"family":"Gunay","given":"Gokhan"},{"family":"Valerio","given":"Trisha I."},{"family":"Wang","given":"Chen"},{"family":"Wilson","given":"Jayla A."},{"family":"Haddad","given":"Majood S."},{"family":"Watson","given":"Maegan"},{"family":"Connell","given":"Michael O."},{"family":"Davidson","given":"Noah"},{"family":"Fung","given":"Kar-Ming"},{"family":"Acar","given":"Handan"},{"family":"Tang","given":"Qinggong"}],"accessed":{"date-parts":[["2021",6,10]]},"issued":{"date-parts":[["2021",6,1]]},"citation-key":"yan_characterization_2021-1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354,355</w:t>
      </w:r>
      <w:r w:rsidRPr="002A7128">
        <w:rPr>
          <w:rFonts w:ascii="Calibri" w:hAnsi="Calibri" w:cs="Calibri"/>
        </w:rPr>
        <w:fldChar w:fldCharType="end"/>
      </w:r>
      <w:r w:rsidRPr="002A7128">
        <w:rPr>
          <w:rFonts w:ascii="Calibri" w:hAnsi="Calibri" w:cs="Calibri"/>
        </w:rPr>
        <w:t xml:space="preserve"> Here, we formed and characterized the growth of spheroids and used them on day 7, where their sizes were around 800 mm in diameter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_Ref105241396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34</w:t>
      </w:r>
      <w:r w:rsidRPr="002A7128">
        <w:rPr>
          <w:rFonts w:ascii="Calibri" w:hAnsi="Calibri" w:cs="Calibri"/>
          <w:b/>
          <w:bCs/>
        </w:rPr>
        <w:fldChar w:fldCharType="end"/>
      </w:r>
      <w:r w:rsidRPr="002A7128">
        <w:rPr>
          <w:rFonts w:ascii="Calibri" w:hAnsi="Calibri" w:cs="Calibri"/>
          <w:b/>
          <w:bCs/>
        </w:rPr>
        <w:t>A and B)</w:t>
      </w:r>
      <w:r w:rsidRPr="002A7128">
        <w:rPr>
          <w:rFonts w:ascii="Calibri" w:hAnsi="Calibri" w:cs="Calibri"/>
        </w:rPr>
        <w:t xml:space="preserve">. Spheroid surface area increased over time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_Ref105241396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34</w:t>
      </w:r>
      <w:r w:rsidRPr="002A7128">
        <w:rPr>
          <w:rFonts w:ascii="Calibri" w:hAnsi="Calibri" w:cs="Calibri"/>
          <w:b/>
          <w:bCs/>
        </w:rPr>
        <w:fldChar w:fldCharType="end"/>
      </w:r>
      <w:r w:rsidRPr="002A7128">
        <w:rPr>
          <w:rFonts w:ascii="Calibri" w:hAnsi="Calibri" w:cs="Calibri"/>
          <w:b/>
          <w:bCs/>
        </w:rPr>
        <w:t>C)</w:t>
      </w:r>
      <w:r w:rsidRPr="002A7128">
        <w:rPr>
          <w:rFonts w:ascii="Calibri" w:hAnsi="Calibri" w:cs="Calibri"/>
        </w:rPr>
        <w:t xml:space="preserve">, and spheroid displayed high circularity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_Ref105241396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34</w:t>
      </w:r>
      <w:r w:rsidRPr="002A7128">
        <w:rPr>
          <w:rFonts w:ascii="Calibri" w:hAnsi="Calibri" w:cs="Calibri"/>
          <w:b/>
          <w:bCs/>
        </w:rPr>
        <w:fldChar w:fldCharType="end"/>
      </w:r>
      <w:r w:rsidRPr="002A7128">
        <w:rPr>
          <w:rFonts w:ascii="Calibri" w:hAnsi="Calibri" w:cs="Calibri"/>
          <w:b/>
          <w:bCs/>
        </w:rPr>
        <w:t>D)</w:t>
      </w:r>
      <w:r w:rsidRPr="002A7128">
        <w:rPr>
          <w:rFonts w:ascii="Calibri" w:hAnsi="Calibri" w:cs="Calibri"/>
        </w:rPr>
        <w:t xml:space="preserve"> and solidity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_Ref105241396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34</w:t>
      </w:r>
      <w:r w:rsidRPr="002A7128">
        <w:rPr>
          <w:rFonts w:ascii="Calibri" w:hAnsi="Calibri" w:cs="Calibri"/>
          <w:b/>
          <w:bCs/>
        </w:rPr>
        <w:fldChar w:fldCharType="end"/>
      </w:r>
      <w:r w:rsidRPr="002A7128">
        <w:rPr>
          <w:rFonts w:ascii="Calibri" w:hAnsi="Calibri" w:cs="Calibri"/>
          <w:b/>
          <w:bCs/>
        </w:rPr>
        <w:t>E)</w:t>
      </w:r>
      <w:r w:rsidRPr="002A7128">
        <w:rPr>
          <w:rFonts w:ascii="Calibri" w:hAnsi="Calibri" w:cs="Calibri"/>
        </w:rPr>
        <w:t xml:space="preserve"> throughout the culture period. </w:t>
      </w:r>
    </w:p>
    <w:p w14:paraId="59DC2F8B" w14:textId="77777777" w:rsidR="000D5DE9" w:rsidRPr="002A7128" w:rsidRDefault="000D5DE9" w:rsidP="00F675B4">
      <w:pPr>
        <w:keepNext/>
        <w:spacing w:line="480" w:lineRule="auto"/>
        <w:jc w:val="both"/>
        <w:rPr>
          <w:rFonts w:ascii="Calibri" w:hAnsi="Calibri" w:cs="Calibri"/>
        </w:rPr>
      </w:pPr>
      <w:r w:rsidRPr="002A7128">
        <w:rPr>
          <w:rFonts w:ascii="Calibri" w:hAnsi="Calibri" w:cs="Calibri"/>
          <w:noProof/>
        </w:rPr>
        <w:drawing>
          <wp:inline distT="0" distB="0" distL="0" distR="0" wp14:anchorId="0BEDEBC5" wp14:editId="2D5BFD3E">
            <wp:extent cx="5523470" cy="4102159"/>
            <wp:effectExtent l="0" t="0" r="1270" b="0"/>
            <wp:docPr id="26" name="Picture 2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530963" cy="4107724"/>
                    </a:xfrm>
                    <a:prstGeom prst="rect">
                      <a:avLst/>
                    </a:prstGeom>
                  </pic:spPr>
                </pic:pic>
              </a:graphicData>
            </a:graphic>
          </wp:inline>
        </w:drawing>
      </w:r>
    </w:p>
    <w:p w14:paraId="1A10EB40" w14:textId="6B215A73" w:rsidR="000D5DE9" w:rsidRPr="002A7128" w:rsidRDefault="000D5DE9" w:rsidP="00F675B4">
      <w:pPr>
        <w:pStyle w:val="Caption"/>
        <w:spacing w:line="480" w:lineRule="auto"/>
        <w:jc w:val="both"/>
        <w:rPr>
          <w:rFonts w:ascii="Calibri" w:hAnsi="Calibri" w:cs="Calibri"/>
          <w:i w:val="0"/>
          <w:iCs w:val="0"/>
          <w:color w:val="000000" w:themeColor="text1"/>
          <w:sz w:val="24"/>
          <w:szCs w:val="24"/>
        </w:rPr>
      </w:pPr>
      <w:bookmarkStart w:id="188" w:name="_Ref105241396"/>
      <w:bookmarkStart w:id="189" w:name="_Toc120789452"/>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34</w:t>
      </w:r>
      <w:r w:rsidRPr="002A7128">
        <w:rPr>
          <w:rFonts w:ascii="Calibri" w:hAnsi="Calibri" w:cs="Calibri"/>
          <w:b/>
          <w:bCs/>
          <w:i w:val="0"/>
          <w:iCs w:val="0"/>
          <w:color w:val="000000" w:themeColor="text1"/>
          <w:sz w:val="24"/>
          <w:szCs w:val="24"/>
        </w:rPr>
        <w:fldChar w:fldCharType="end"/>
      </w:r>
      <w:bookmarkEnd w:id="188"/>
      <w:r w:rsidRPr="002A7128">
        <w:rPr>
          <w:rFonts w:ascii="Calibri" w:hAnsi="Calibri" w:cs="Calibri"/>
          <w:i w:val="0"/>
          <w:iCs w:val="0"/>
          <w:color w:val="000000" w:themeColor="text1"/>
          <w:sz w:val="24"/>
          <w:szCs w:val="24"/>
        </w:rPr>
        <w:t xml:space="preserve"> </w:t>
      </w:r>
      <w:r w:rsidRPr="002A7128">
        <w:rPr>
          <w:rFonts w:ascii="Calibri" w:hAnsi="Calibri" w:cs="Calibri"/>
          <w:b/>
          <w:bCs/>
          <w:i w:val="0"/>
          <w:iCs w:val="0"/>
          <w:color w:val="000000" w:themeColor="text1"/>
          <w:sz w:val="24"/>
          <w:szCs w:val="24"/>
        </w:rPr>
        <w:t>EMT6 spheroid formation and characterization.</w:t>
      </w:r>
      <w:r w:rsidRPr="002A7128">
        <w:rPr>
          <w:rFonts w:ascii="Calibri" w:hAnsi="Calibri" w:cs="Calibri"/>
          <w:i w:val="0"/>
          <w:iCs w:val="0"/>
          <w:color w:val="000000" w:themeColor="text1"/>
          <w:sz w:val="24"/>
          <w:szCs w:val="24"/>
        </w:rPr>
        <w:t xml:space="preserve"> A. Schematic explanation of ultra-low attachment spheroid formation. B. Representative brightfield images of EMT6 spheroids for 7 days. C. Spheroid area, D. Circularity, and E. Solidity of spheroids for 7 days. The scale bar is 500 </w:t>
      </w:r>
      <w:r w:rsidRPr="00CD1007">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m.</w:t>
      </w:r>
      <w:bookmarkEnd w:id="189"/>
    </w:p>
    <w:p w14:paraId="445E052A" w14:textId="5C0E9C33" w:rsidR="00284BA0" w:rsidRPr="002A7128" w:rsidRDefault="00284BA0" w:rsidP="00284BA0">
      <w:pPr>
        <w:pStyle w:val="Heading2"/>
        <w:numPr>
          <w:ilvl w:val="3"/>
          <w:numId w:val="9"/>
        </w:numPr>
        <w:spacing w:line="480" w:lineRule="auto"/>
        <w:rPr>
          <w:rFonts w:ascii="Calibri" w:hAnsi="Calibri" w:cs="Calibri"/>
        </w:rPr>
      </w:pPr>
      <w:bookmarkStart w:id="190" w:name="_Toc120794217"/>
      <w:r w:rsidRPr="002A7128">
        <w:rPr>
          <w:rFonts w:ascii="Calibri" w:hAnsi="Calibri" w:cs="Calibri"/>
        </w:rPr>
        <w:lastRenderedPageBreak/>
        <w:t>[II] peptide aggregation induces cell membrane damage in spheroid</w:t>
      </w:r>
      <w:r>
        <w:rPr>
          <w:rFonts w:ascii="Calibri" w:hAnsi="Calibri" w:cs="Calibri"/>
        </w:rPr>
        <w:t>s</w:t>
      </w:r>
      <w:bookmarkEnd w:id="190"/>
    </w:p>
    <w:p w14:paraId="000E332F" w14:textId="6C579CC4" w:rsidR="000D5DE9" w:rsidRPr="002A7128" w:rsidRDefault="000D5DE9" w:rsidP="00F675B4">
      <w:pPr>
        <w:spacing w:line="480" w:lineRule="auto"/>
        <w:jc w:val="both"/>
        <w:rPr>
          <w:rFonts w:ascii="Calibri" w:hAnsi="Calibri" w:cs="Calibri"/>
        </w:rPr>
      </w:pPr>
      <w:r w:rsidRPr="002A7128">
        <w:rPr>
          <w:rFonts w:ascii="Calibri" w:hAnsi="Calibri" w:cs="Calibri"/>
        </w:rPr>
        <w:t xml:space="preserve">ICD and DAMP release are studied in monolayer cultures, while 3D tumor spheroid models remain largely unexplored. Given that spheroid models offer a better representation of in vivo tumor models in terms of drug resistance, we analyzed the induction of ICD and DAMP release in the EMT6 spheroid model. We previously showed that the aggregation status of [II] peptide could be controlled with albumin. The presence of albumin within the solution prevented early assembly and fibrillization of oppositely charged peptides. This allows time for peptides to aggregate on cell membranes (Cite </w:t>
      </w:r>
      <w:proofErr w:type="spellStart"/>
      <w:r w:rsidRPr="002A7128">
        <w:rPr>
          <w:rFonts w:ascii="Calibri" w:hAnsi="Calibri" w:cs="Calibri"/>
        </w:rPr>
        <w:t>AichE</w:t>
      </w:r>
      <w:proofErr w:type="spellEnd"/>
      <w:r w:rsidRPr="002A7128">
        <w:rPr>
          <w:rFonts w:ascii="Calibri" w:hAnsi="Calibri" w:cs="Calibri"/>
        </w:rPr>
        <w:t xml:space="preserve"> paper). To analyze the cell death within the spheroids, we treated EMT6 spheroids on day 7 with varying [II] peptide concentrations, prepared in weight %: 1%-0.5%-0.25%-0.125%-0.0625% albumin at 24h. 1 mM and 0.75 mM [II] peptide was not significantly cytotoxic </w:t>
      </w:r>
      <w:r w:rsidRPr="002A7128">
        <w:rPr>
          <w:rFonts w:ascii="Calibri" w:hAnsi="Calibri" w:cs="Calibri"/>
          <w:b/>
          <w:bCs/>
        </w:rPr>
        <w:t>(</w:t>
      </w:r>
      <w:r w:rsidR="005C01F8" w:rsidRPr="002A7128">
        <w:rPr>
          <w:rFonts w:ascii="Calibri" w:hAnsi="Calibri" w:cs="Calibri"/>
          <w:b/>
          <w:bCs/>
        </w:rPr>
        <w:fldChar w:fldCharType="begin"/>
      </w:r>
      <w:r w:rsidR="005C01F8" w:rsidRPr="002A7128">
        <w:rPr>
          <w:rFonts w:ascii="Calibri" w:hAnsi="Calibri" w:cs="Calibri"/>
          <w:b/>
          <w:bCs/>
        </w:rPr>
        <w:instrText xml:space="preserve"> REF _Ref105241674 \h  \* MERGEFORMAT </w:instrText>
      </w:r>
      <w:r w:rsidR="005C01F8" w:rsidRPr="002A7128">
        <w:rPr>
          <w:rFonts w:ascii="Calibri" w:hAnsi="Calibri" w:cs="Calibri"/>
          <w:b/>
          <w:bCs/>
        </w:rPr>
      </w:r>
      <w:r w:rsidR="005C01F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35</w:t>
      </w:r>
      <w:r w:rsidR="005C01F8" w:rsidRPr="002A7128">
        <w:rPr>
          <w:rFonts w:ascii="Calibri" w:hAnsi="Calibri" w:cs="Calibri"/>
          <w:b/>
          <w:bCs/>
        </w:rPr>
        <w:fldChar w:fldCharType="end"/>
      </w:r>
      <w:r w:rsidR="005C01F8" w:rsidRPr="002A7128">
        <w:rPr>
          <w:rFonts w:ascii="Calibri" w:hAnsi="Calibri" w:cs="Calibri"/>
          <w:b/>
          <w:bCs/>
        </w:rPr>
        <w:t>A and B</w:t>
      </w:r>
      <w:r w:rsidRPr="002A7128">
        <w:rPr>
          <w:rFonts w:ascii="Calibri" w:hAnsi="Calibri" w:cs="Calibri"/>
          <w:b/>
          <w:bCs/>
        </w:rPr>
        <w:t>)</w:t>
      </w:r>
      <w:r w:rsidRPr="002A7128">
        <w:rPr>
          <w:rFonts w:ascii="Calibri" w:hAnsi="Calibri" w:cs="Calibri"/>
        </w:rPr>
        <w:t xml:space="preserve">. </w:t>
      </w:r>
    </w:p>
    <w:p w14:paraId="6E066B57" w14:textId="08DD9CB4" w:rsidR="000D5DE9" w:rsidRPr="002A7128" w:rsidRDefault="000D5DE9" w:rsidP="002A45FA">
      <w:pPr>
        <w:spacing w:line="480" w:lineRule="auto"/>
        <w:jc w:val="both"/>
        <w:rPr>
          <w:rFonts w:ascii="Calibri" w:hAnsi="Calibri" w:cs="Calibri"/>
        </w:rPr>
      </w:pPr>
      <w:r w:rsidRPr="002A7128">
        <w:rPr>
          <w:rFonts w:ascii="Calibri" w:hAnsi="Calibri" w:cs="Calibri"/>
        </w:rPr>
        <w:t xml:space="preserve">This is due to a higher peptide to albumin ratio leading to faster organization into fibrillar structures (non-cytotoxic) analyzed through thioflavin T assay in 1% albumin. </w:t>
      </w:r>
      <w:proofErr w:type="spellStart"/>
      <w:r w:rsidRPr="002A7128">
        <w:rPr>
          <w:rFonts w:ascii="Calibri" w:hAnsi="Calibri" w:cs="Calibri"/>
        </w:rPr>
        <w:t>ThT</w:t>
      </w:r>
      <w:proofErr w:type="spellEnd"/>
      <w:r w:rsidRPr="002A7128">
        <w:rPr>
          <w:rFonts w:ascii="Calibri" w:hAnsi="Calibri" w:cs="Calibri"/>
        </w:rPr>
        <w:t xml:space="preserve"> assay is commonly utilized to detect b-sheet structures during amyloid fibrillization.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{"citationID":"a2lc93g9clk","properties":{"formattedCitation":"\\super 356\\nosupersub{}","plainCitation":"356","noteIndex":0},"citationItems":[{"id":10582,"uris":["http://zotero.org/groups/2667333/items/NJ34XNJY"],"itemData":{"id":10582,"type":"article-journal","container-title":"Biochimica et Biophysica Acta (BBA) - Proteins and Proteomics","DOI":"10.1016/j.bbapap.2010.04.001","ISSN":"15709639","issue":"7","journalAbbreviation":"Biochimica et Biophysica Acta (BBA) - Proteins and Proteomics","language":"en","page":"1405-1412","source":"DOI.org (Crossref)","title":"Molecular mechanism of Thioflavin-T binding to amyloid fibrils","URL":"https://linkinghub.elsevier.com/retrieve/pii/S1570963910000993","volume":"1804","author":[{"family":"Biancalana","given":"Matthew"},{"family":"Koide","given":"Shohei"}],"accessed":{"date-parts":[["2022",5,19]]},"issued":{"date-parts":[["2010",7]]},"citation-key":"biancalana_molecular_2010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356</w:t>
      </w:r>
      <w:r w:rsidRPr="002A7128">
        <w:rPr>
          <w:rFonts w:ascii="Calibri" w:hAnsi="Calibri" w:cs="Calibri"/>
        </w:rPr>
        <w:fldChar w:fldCharType="end"/>
      </w:r>
      <w:r w:rsidRPr="002A7128">
        <w:rPr>
          <w:rFonts w:ascii="Calibri" w:hAnsi="Calibri" w:cs="Calibri"/>
        </w:rPr>
        <w:t xml:space="preserve"> An increase in intensity equals higher b-sheet structures indicating higher fibrillization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{"citationID":"a1ikbpse7vb","properties":{"formattedCitation":"\\super 356\\nosupersub{}","plainCitation":"356","noteIndex":0},"citationItems":[{"id":10582,"uris":["http://zotero.org/groups/2667333/items/NJ34XNJY"],"itemData":{"id":10582,"type":"article-journal","container-title":"Biochimica et Biophysica Acta (BBA) - Proteins and Proteomics","DOI":"10.1016/j.bbapap.2010.04.001","ISSN":"15709639","issue":"7","journalAbbreviation":"Biochimica et Biophysica Acta (BBA) - Proteins and Proteomics","language":"en","page":"1405-1412","source":"DOI.org (Crossref)","title":"Molecular mechanism of Thioflavin-T binding to amyloid fibrils","URL":"https://linkinghub.elsevier.com/retrieve/pii/S1570963910000993","volume":"1804","author":[{"family":"Biancalana","given":"Matthew"},{"family":"Koide","given":"Shohei"}],"accessed":{"date-parts":[["2022",5,19]]},"issued":{"date-parts":[["2010",7]]},"citation-key":"biancalana_molecular_2010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356</w:t>
      </w:r>
      <w:r w:rsidRPr="002A7128">
        <w:rPr>
          <w:rFonts w:ascii="Calibri" w:hAnsi="Calibri" w:cs="Calibri"/>
        </w:rPr>
        <w:fldChar w:fldCharType="end"/>
      </w:r>
      <w:r w:rsidRPr="002A7128">
        <w:rPr>
          <w:rFonts w:ascii="Calibri" w:hAnsi="Calibri" w:cs="Calibri"/>
        </w:rPr>
        <w:t xml:space="preserve">. We previously showed that [II] aggregation, not fibrillization, induces ICD. Highest cytotoxicity was achieved with 0.5 mM, 0.75 </w:t>
      </w:r>
      <w:proofErr w:type="gramStart"/>
      <w:r w:rsidRPr="002A7128">
        <w:rPr>
          <w:rFonts w:ascii="Calibri" w:hAnsi="Calibri" w:cs="Calibri"/>
        </w:rPr>
        <w:t>mM</w:t>
      </w:r>
      <w:proofErr w:type="gramEnd"/>
      <w:r w:rsidRPr="002A7128">
        <w:rPr>
          <w:rFonts w:ascii="Calibri" w:hAnsi="Calibri" w:cs="Calibri"/>
        </w:rPr>
        <w:t xml:space="preserve"> and 1 mM peptide in 1%, therefore, we analyzed the </w:t>
      </w:r>
      <w:proofErr w:type="spellStart"/>
      <w:r w:rsidRPr="002A7128">
        <w:rPr>
          <w:rFonts w:ascii="Calibri" w:hAnsi="Calibri" w:cs="Calibri"/>
        </w:rPr>
        <w:t>ThT</w:t>
      </w:r>
      <w:proofErr w:type="spellEnd"/>
      <w:r w:rsidRPr="002A7128">
        <w:rPr>
          <w:rFonts w:ascii="Calibri" w:hAnsi="Calibri" w:cs="Calibri"/>
        </w:rPr>
        <w:t xml:space="preserve"> intensities of these [II] peptide concentrations prepared in 1% albumin. </w:t>
      </w:r>
      <w:proofErr w:type="spellStart"/>
      <w:r w:rsidRPr="002A7128">
        <w:rPr>
          <w:rFonts w:ascii="Calibri" w:hAnsi="Calibri" w:cs="Calibri"/>
        </w:rPr>
        <w:t>ThT</w:t>
      </w:r>
      <w:proofErr w:type="spellEnd"/>
      <w:r w:rsidRPr="002A7128">
        <w:rPr>
          <w:rFonts w:ascii="Calibri" w:hAnsi="Calibri" w:cs="Calibri"/>
        </w:rPr>
        <w:t xml:space="preserve"> intensity and cell death profile were inversely correlated. Higher intensity values were detected as the peptide concentration increased </w:t>
      </w:r>
      <w:r w:rsidRPr="002A7128">
        <w:rPr>
          <w:rFonts w:ascii="Calibri" w:hAnsi="Calibri" w:cs="Calibri"/>
          <w:b/>
          <w:bCs/>
        </w:rPr>
        <w:t>(</w:t>
      </w:r>
      <w:r w:rsidR="005C01F8" w:rsidRPr="002A7128">
        <w:rPr>
          <w:rFonts w:ascii="Calibri" w:hAnsi="Calibri" w:cs="Calibri"/>
          <w:b/>
          <w:bCs/>
        </w:rPr>
        <w:fldChar w:fldCharType="begin"/>
      </w:r>
      <w:r w:rsidR="005C01F8" w:rsidRPr="002A7128">
        <w:rPr>
          <w:rFonts w:ascii="Calibri" w:hAnsi="Calibri" w:cs="Calibri"/>
          <w:b/>
          <w:bCs/>
        </w:rPr>
        <w:instrText xml:space="preserve"> REF _Ref105241674 \h  \* MERGEFORMAT </w:instrText>
      </w:r>
      <w:r w:rsidR="005C01F8" w:rsidRPr="002A7128">
        <w:rPr>
          <w:rFonts w:ascii="Calibri" w:hAnsi="Calibri" w:cs="Calibri"/>
          <w:b/>
          <w:bCs/>
        </w:rPr>
      </w:r>
      <w:r w:rsidR="005C01F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35</w:t>
      </w:r>
      <w:r w:rsidR="005C01F8" w:rsidRPr="002A7128">
        <w:rPr>
          <w:rFonts w:ascii="Calibri" w:hAnsi="Calibri" w:cs="Calibri"/>
          <w:b/>
          <w:bCs/>
        </w:rPr>
        <w:fldChar w:fldCharType="end"/>
      </w:r>
      <w:r w:rsidR="005C01F8" w:rsidRPr="002A7128">
        <w:rPr>
          <w:rFonts w:ascii="Calibri" w:hAnsi="Calibri" w:cs="Calibri"/>
          <w:b/>
          <w:bCs/>
        </w:rPr>
        <w:t>G</w:t>
      </w:r>
      <w:r w:rsidRPr="002A7128">
        <w:rPr>
          <w:rFonts w:ascii="Calibri" w:hAnsi="Calibri" w:cs="Calibri"/>
          <w:b/>
          <w:bCs/>
        </w:rPr>
        <w:t>)</w:t>
      </w:r>
      <w:r w:rsidRPr="002A7128">
        <w:rPr>
          <w:rFonts w:ascii="Calibri" w:hAnsi="Calibri" w:cs="Calibri"/>
        </w:rPr>
        <w:t xml:space="preserve">, indicating higher levels of fibrillization (non-cytotoxic). Therefore, within a given concentration of albumin (e.g., 1%), increasing peptide concentration would result in a </w:t>
      </w:r>
      <w:r w:rsidRPr="002A7128">
        <w:rPr>
          <w:rFonts w:ascii="Calibri" w:hAnsi="Calibri" w:cs="Calibri"/>
        </w:rPr>
        <w:lastRenderedPageBreak/>
        <w:t xml:space="preserve">higher fibrillization state (non-cytotoxic), while lowering peptide concentration would result in aggregation-induced ICD </w:t>
      </w:r>
      <w:r w:rsidRPr="002A7128">
        <w:rPr>
          <w:rFonts w:ascii="Calibri" w:hAnsi="Calibri" w:cs="Calibri"/>
          <w:b/>
          <w:bCs/>
        </w:rPr>
        <w:t>(</w:t>
      </w:r>
      <w:r w:rsidR="005C01F8" w:rsidRPr="002A7128">
        <w:rPr>
          <w:rFonts w:ascii="Calibri" w:hAnsi="Calibri" w:cs="Calibri"/>
          <w:b/>
          <w:bCs/>
        </w:rPr>
        <w:fldChar w:fldCharType="begin"/>
      </w:r>
      <w:r w:rsidR="005C01F8" w:rsidRPr="002A7128">
        <w:rPr>
          <w:rFonts w:ascii="Calibri" w:hAnsi="Calibri" w:cs="Calibri"/>
          <w:b/>
          <w:bCs/>
        </w:rPr>
        <w:instrText xml:space="preserve"> REF _Ref105241674 \h  \* MERGEFORMAT </w:instrText>
      </w:r>
      <w:r w:rsidR="005C01F8" w:rsidRPr="002A7128">
        <w:rPr>
          <w:rFonts w:ascii="Calibri" w:hAnsi="Calibri" w:cs="Calibri"/>
          <w:b/>
          <w:bCs/>
        </w:rPr>
      </w:r>
      <w:r w:rsidR="005C01F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35</w:t>
      </w:r>
      <w:r w:rsidR="005C01F8" w:rsidRPr="002A7128">
        <w:rPr>
          <w:rFonts w:ascii="Calibri" w:hAnsi="Calibri" w:cs="Calibri"/>
          <w:b/>
          <w:bCs/>
        </w:rPr>
        <w:fldChar w:fldCharType="end"/>
      </w:r>
      <w:r w:rsidR="005C01F8" w:rsidRPr="002A7128">
        <w:rPr>
          <w:rFonts w:ascii="Calibri" w:hAnsi="Calibri" w:cs="Calibri"/>
          <w:b/>
          <w:bCs/>
        </w:rPr>
        <w:t>H</w:t>
      </w:r>
      <w:r w:rsidRPr="002A7128">
        <w:rPr>
          <w:rFonts w:ascii="Calibri" w:hAnsi="Calibri" w:cs="Calibri"/>
          <w:b/>
          <w:bCs/>
        </w:rPr>
        <w:t>)</w:t>
      </w:r>
      <w:r w:rsidRPr="002A7128">
        <w:rPr>
          <w:rFonts w:ascii="Calibri" w:hAnsi="Calibri" w:cs="Calibri"/>
        </w:rPr>
        <w:t xml:space="preserve">. </w:t>
      </w:r>
    </w:p>
    <w:p w14:paraId="4C8B46DC" w14:textId="77777777" w:rsidR="005C01F8" w:rsidRPr="002A7128" w:rsidRDefault="000D5DE9"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491C74A2" wp14:editId="3801459A">
            <wp:extent cx="5538741" cy="8109465"/>
            <wp:effectExtent l="0" t="0" r="0" b="6350"/>
            <wp:docPr id="27" name="Picture 2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543202" cy="8115996"/>
                    </a:xfrm>
                    <a:prstGeom prst="rect">
                      <a:avLst/>
                    </a:prstGeom>
                  </pic:spPr>
                </pic:pic>
              </a:graphicData>
            </a:graphic>
          </wp:inline>
        </w:drawing>
      </w:r>
    </w:p>
    <w:p w14:paraId="22CD009D" w14:textId="05F8B77C" w:rsidR="000D5DE9" w:rsidRPr="002A7128" w:rsidRDefault="005C01F8" w:rsidP="002A45FA">
      <w:pPr>
        <w:pStyle w:val="Caption"/>
        <w:spacing w:line="480" w:lineRule="auto"/>
        <w:jc w:val="both"/>
        <w:rPr>
          <w:rFonts w:ascii="Calibri" w:hAnsi="Calibri" w:cs="Calibri"/>
          <w:i w:val="0"/>
          <w:iCs w:val="0"/>
          <w:color w:val="000000" w:themeColor="text1"/>
          <w:sz w:val="24"/>
          <w:szCs w:val="24"/>
        </w:rPr>
      </w:pPr>
      <w:bookmarkStart w:id="191" w:name="_Ref105241674"/>
      <w:bookmarkStart w:id="192" w:name="_Toc120789453"/>
      <w:r w:rsidRPr="002A7128">
        <w:rPr>
          <w:rFonts w:ascii="Calibri" w:hAnsi="Calibri" w:cs="Calibri"/>
          <w:b/>
          <w:bCs/>
          <w:i w:val="0"/>
          <w:iCs w:val="0"/>
          <w:color w:val="000000" w:themeColor="text1"/>
          <w:sz w:val="24"/>
          <w:szCs w:val="24"/>
        </w:rPr>
        <w:lastRenderedPageBreak/>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35</w:t>
      </w:r>
      <w:r w:rsidRPr="002A7128">
        <w:rPr>
          <w:rFonts w:ascii="Calibri" w:hAnsi="Calibri" w:cs="Calibri"/>
          <w:b/>
          <w:bCs/>
          <w:i w:val="0"/>
          <w:iCs w:val="0"/>
          <w:color w:val="000000" w:themeColor="text1"/>
          <w:sz w:val="24"/>
          <w:szCs w:val="24"/>
        </w:rPr>
        <w:fldChar w:fldCharType="end"/>
      </w:r>
      <w:bookmarkEnd w:id="191"/>
      <w:r w:rsidRPr="002A7128">
        <w:rPr>
          <w:rFonts w:ascii="Calibri" w:hAnsi="Calibri" w:cs="Calibri"/>
          <w:b/>
          <w:bCs/>
          <w:i w:val="0"/>
          <w:iCs w:val="0"/>
          <w:color w:val="000000" w:themeColor="text1"/>
          <w:sz w:val="24"/>
          <w:szCs w:val="24"/>
        </w:rPr>
        <w:t xml:space="preserve"> [II] aggregation induces controllable membrane damage in the EMT6 spheroid model.</w:t>
      </w:r>
      <w:r w:rsidRPr="002A7128">
        <w:rPr>
          <w:rFonts w:ascii="Calibri" w:hAnsi="Calibri" w:cs="Calibri"/>
          <w:i w:val="0"/>
          <w:iCs w:val="0"/>
          <w:color w:val="000000" w:themeColor="text1"/>
          <w:sz w:val="24"/>
          <w:szCs w:val="24"/>
        </w:rPr>
        <w:t xml:space="preserve"> Relative viability measurements of A. 1 mM, B. 0.75 mM, and C. 0.5 mM [II] peptide prepared in different albumin concentrations at 24h. LDH release measurements of D. 1 mM, E. 0.75 mM, and F. 0.5 mM [II] peptide prepared in different albumin concentrations at 24h. G. </w:t>
      </w:r>
      <w:proofErr w:type="spellStart"/>
      <w:r w:rsidRPr="002A7128">
        <w:rPr>
          <w:rFonts w:ascii="Calibri" w:hAnsi="Calibri" w:cs="Calibri"/>
          <w:i w:val="0"/>
          <w:iCs w:val="0"/>
          <w:color w:val="000000" w:themeColor="text1"/>
          <w:sz w:val="24"/>
          <w:szCs w:val="24"/>
        </w:rPr>
        <w:t>ThT</w:t>
      </w:r>
      <w:proofErr w:type="spellEnd"/>
      <w:r w:rsidRPr="002A7128">
        <w:rPr>
          <w:rFonts w:ascii="Calibri" w:hAnsi="Calibri" w:cs="Calibri"/>
          <w:i w:val="0"/>
          <w:iCs w:val="0"/>
          <w:color w:val="000000" w:themeColor="text1"/>
          <w:sz w:val="24"/>
          <w:szCs w:val="24"/>
        </w:rPr>
        <w:t xml:space="preserve"> measurement of 1 mM, 0.75 mM, and 0.5 mM [II] peptide prepared in 1% albumin. H. Schematic showing the transition from aggregated state to fibrillar structure with increasing peptide concentration. I. Comparison of LDH release of 1 mM, 0.75 mM, and 0.5 mM [II] peptide prepared in 1% albumin. J. Representative </w:t>
      </w:r>
      <w:proofErr w:type="spellStart"/>
      <w:r w:rsidRPr="002A7128">
        <w:rPr>
          <w:rFonts w:ascii="Calibri" w:hAnsi="Calibri" w:cs="Calibri"/>
          <w:i w:val="0"/>
          <w:iCs w:val="0"/>
          <w:color w:val="000000" w:themeColor="text1"/>
          <w:sz w:val="24"/>
          <w:szCs w:val="24"/>
        </w:rPr>
        <w:t>calcein</w:t>
      </w:r>
      <w:proofErr w:type="spellEnd"/>
      <w:r w:rsidRPr="002A7128">
        <w:rPr>
          <w:rFonts w:ascii="Calibri" w:hAnsi="Calibri" w:cs="Calibri"/>
          <w:i w:val="0"/>
          <w:iCs w:val="0"/>
          <w:color w:val="000000" w:themeColor="text1"/>
          <w:sz w:val="24"/>
          <w:szCs w:val="24"/>
        </w:rPr>
        <w:t xml:space="preserve"> (green) and propidium iodide (red) images of spheroids treated with 1 mM, 0.75 mM, and 0.5 mM [II] peptide prepared in 1% albumin. Statistical analysis was done with a one-way ANOVA test; data are mean ± SD, **p&lt;0.01. The scale bar is 500 </w:t>
      </w:r>
      <w:r w:rsidRPr="00CD1007">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m.</w:t>
      </w:r>
      <w:bookmarkEnd w:id="192"/>
    </w:p>
    <w:p w14:paraId="0FAFA438" w14:textId="16274714" w:rsidR="000D5DE9" w:rsidRPr="002A7128" w:rsidRDefault="000D5DE9" w:rsidP="00F675B4">
      <w:pPr>
        <w:spacing w:line="480" w:lineRule="auto"/>
        <w:jc w:val="both"/>
        <w:rPr>
          <w:rFonts w:ascii="Calibri" w:hAnsi="Calibri" w:cs="Calibri"/>
        </w:rPr>
      </w:pPr>
      <w:r w:rsidRPr="002A7128">
        <w:rPr>
          <w:rFonts w:ascii="Calibri" w:hAnsi="Calibri" w:cs="Calibri"/>
        </w:rPr>
        <w:t xml:space="preserve">Among the groups studied, 0.5 mM [II] peptide in 1% albumin induced significant (**p&lt;0.01) cell death within the spheroids </w:t>
      </w:r>
      <w:r w:rsidRPr="002A7128">
        <w:rPr>
          <w:rFonts w:ascii="Calibri" w:hAnsi="Calibri" w:cs="Calibri"/>
          <w:b/>
          <w:bCs/>
        </w:rPr>
        <w:t>(</w:t>
      </w:r>
      <w:r w:rsidR="005C01F8" w:rsidRPr="002A7128">
        <w:rPr>
          <w:rFonts w:ascii="Calibri" w:hAnsi="Calibri" w:cs="Calibri"/>
          <w:b/>
          <w:bCs/>
        </w:rPr>
        <w:fldChar w:fldCharType="begin"/>
      </w:r>
      <w:r w:rsidR="005C01F8" w:rsidRPr="002A7128">
        <w:rPr>
          <w:rFonts w:ascii="Calibri" w:hAnsi="Calibri" w:cs="Calibri"/>
          <w:b/>
          <w:bCs/>
        </w:rPr>
        <w:instrText xml:space="preserve"> REF _Ref105241674 \h  \* MERGEFORMAT </w:instrText>
      </w:r>
      <w:r w:rsidR="005C01F8" w:rsidRPr="002A7128">
        <w:rPr>
          <w:rFonts w:ascii="Calibri" w:hAnsi="Calibri" w:cs="Calibri"/>
          <w:b/>
          <w:bCs/>
        </w:rPr>
      </w:r>
      <w:r w:rsidR="005C01F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35</w:t>
      </w:r>
      <w:r w:rsidR="005C01F8" w:rsidRPr="002A7128">
        <w:rPr>
          <w:rFonts w:ascii="Calibri" w:hAnsi="Calibri" w:cs="Calibri"/>
          <w:b/>
          <w:bCs/>
        </w:rPr>
        <w:fldChar w:fldCharType="end"/>
      </w:r>
      <w:r w:rsidR="005C01F8" w:rsidRPr="002A7128">
        <w:rPr>
          <w:rFonts w:ascii="Calibri" w:hAnsi="Calibri" w:cs="Calibri"/>
          <w:b/>
          <w:bCs/>
        </w:rPr>
        <w:t>C</w:t>
      </w:r>
      <w:r w:rsidRPr="002A7128">
        <w:rPr>
          <w:rFonts w:ascii="Calibri" w:hAnsi="Calibri" w:cs="Calibri"/>
          <w:b/>
          <w:bCs/>
        </w:rPr>
        <w:t xml:space="preserve">) </w:t>
      </w:r>
      <w:r w:rsidRPr="002A7128">
        <w:rPr>
          <w:rFonts w:ascii="Calibri" w:hAnsi="Calibri" w:cs="Calibri"/>
        </w:rPr>
        <w:t>at 24h. Next, we checked the release of lactate dehydrogenase (LDH), a cytoplasmic enzyme released upon cell membrane damage</w:t>
      </w:r>
      <w:r w:rsidRPr="002A7128">
        <w:rPr>
          <w:rFonts w:ascii="Calibri" w:hAnsi="Calibri" w:cs="Calibri"/>
        </w:rPr>
        <w:fldChar w:fldCharType="begin"/>
      </w:r>
      <w:r w:rsidR="00A64B61" w:rsidRPr="002A7128">
        <w:rPr>
          <w:rFonts w:ascii="Calibri" w:hAnsi="Calibri" w:cs="Calibri"/>
        </w:rPr>
        <w:instrText xml:space="preserve"> ADDIN ZOTERO_ITEM CSL_CITATION {"citationID":"f6ClogQl","properties":{"formattedCitation":"\\super 187\\nosupersub{}","plainCitation":"187","noteIndex":0},"citationItems":[{"id":6955,"uris":["http://zotero.org/groups/2667333/items/G6FHFX5J"],"itemData":{"id":6955,"type":"article-journal","container-title":"Cold Spring Harbor Protocols","DOI":"10.1101/pdb.prot095497","ISSN":"1940-3402, 1559-6095","issue":"6","journalAbbreviation":"Cold Spring Harb Protoc","language":"en","page":"pdb.prot095497","source":"DOI.org (Crossref)","title":"Analysis of Cell Viability by the Lactate Dehydrogenase Assay","URL":"http://www.cshprotocols.org/lookup/doi/10.1101/pdb.prot095497","volume":"2018","author":[{"family":"Kumar","given":"Priti"},{"family":"Nagarajan","given":"Arvindhan"},{"family":"Uchil","given":"Pradeep D."}],"accessed":{"date-parts":[["2021",8,4]]},"issued":{"date-parts":[["2018",6]]},"citation-key":"kumar_analysis_2018"}}],"schema":"https://github.com/citation-style-language/schema/raw/master/csl-citation.json"}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187</w:t>
      </w:r>
      <w:r w:rsidRPr="002A7128">
        <w:rPr>
          <w:rFonts w:ascii="Calibri" w:hAnsi="Calibri" w:cs="Calibri"/>
        </w:rPr>
        <w:fldChar w:fldCharType="end"/>
      </w:r>
      <w:r w:rsidRPr="002A7128">
        <w:rPr>
          <w:rFonts w:ascii="Calibri" w:hAnsi="Calibri" w:cs="Calibri"/>
        </w:rPr>
        <w:t xml:space="preserve">, to ensure [II] induces cell membrane damage within the spheroids. All [II] concentrations induced the release of LDH, indicating the aggregation kinetics changes the amount of cell death, not the type of cell death. This result also shows the controllability of cell death within the spheroid by modulating the aggregation of the peptide. LDH release was highest with 0.5mM [II] prepared in 1% albumin </w:t>
      </w:r>
      <w:r w:rsidRPr="002A7128">
        <w:rPr>
          <w:rFonts w:ascii="Calibri" w:hAnsi="Calibri" w:cs="Calibri"/>
          <w:b/>
          <w:bCs/>
        </w:rPr>
        <w:t>(</w:t>
      </w:r>
      <w:r w:rsidR="005C01F8" w:rsidRPr="002A7128">
        <w:rPr>
          <w:rFonts w:ascii="Calibri" w:hAnsi="Calibri" w:cs="Calibri"/>
          <w:b/>
          <w:bCs/>
        </w:rPr>
        <w:fldChar w:fldCharType="begin"/>
      </w:r>
      <w:r w:rsidR="005C01F8" w:rsidRPr="002A7128">
        <w:rPr>
          <w:rFonts w:ascii="Calibri" w:hAnsi="Calibri" w:cs="Calibri"/>
          <w:b/>
          <w:bCs/>
        </w:rPr>
        <w:instrText xml:space="preserve"> REF _Ref105241674 \h  \* MERGEFORMAT </w:instrText>
      </w:r>
      <w:r w:rsidR="005C01F8" w:rsidRPr="002A7128">
        <w:rPr>
          <w:rFonts w:ascii="Calibri" w:hAnsi="Calibri" w:cs="Calibri"/>
          <w:b/>
          <w:bCs/>
        </w:rPr>
      </w:r>
      <w:r w:rsidR="005C01F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35</w:t>
      </w:r>
      <w:r w:rsidR="005C01F8" w:rsidRPr="002A7128">
        <w:rPr>
          <w:rFonts w:ascii="Calibri" w:hAnsi="Calibri" w:cs="Calibri"/>
          <w:b/>
          <w:bCs/>
        </w:rPr>
        <w:fldChar w:fldCharType="end"/>
      </w:r>
      <w:r w:rsidR="005C01F8" w:rsidRPr="002A7128">
        <w:rPr>
          <w:rFonts w:ascii="Calibri" w:hAnsi="Calibri" w:cs="Calibri"/>
          <w:b/>
          <w:bCs/>
        </w:rPr>
        <w:t>I</w:t>
      </w:r>
      <w:r w:rsidRPr="002A7128">
        <w:rPr>
          <w:rFonts w:ascii="Calibri" w:hAnsi="Calibri" w:cs="Calibri"/>
          <w:b/>
          <w:bCs/>
        </w:rPr>
        <w:t>)</w:t>
      </w:r>
      <w:r w:rsidRPr="002A7128">
        <w:rPr>
          <w:rFonts w:ascii="Calibri" w:hAnsi="Calibri" w:cs="Calibri"/>
        </w:rPr>
        <w:t>, in line with the viability experiments.</w:t>
      </w:r>
    </w:p>
    <w:p w14:paraId="79AD7D5F" w14:textId="0EAF3707" w:rsidR="000D5DE9" w:rsidRPr="002A7128" w:rsidRDefault="000D5DE9" w:rsidP="00C62AA6">
      <w:pPr>
        <w:spacing w:line="480" w:lineRule="auto"/>
        <w:jc w:val="both"/>
        <w:rPr>
          <w:rFonts w:ascii="Calibri" w:hAnsi="Calibri" w:cs="Calibri"/>
        </w:rPr>
      </w:pPr>
      <w:r w:rsidRPr="002A7128">
        <w:rPr>
          <w:rFonts w:ascii="Calibri" w:hAnsi="Calibri" w:cs="Calibri"/>
        </w:rPr>
        <w:t xml:space="preserve">We then compared the LDH release from spheroid treated with 1 mM, 0.75 mM, and 0.5 mM [II] peptide in 1% albumin. 0.5 mM [II] peptide-induced significantly (**p&lt;0.01) higher LDH release compared to other conditions </w:t>
      </w:r>
      <w:r w:rsidRPr="002A7128">
        <w:rPr>
          <w:rFonts w:ascii="Calibri" w:hAnsi="Calibri" w:cs="Calibri"/>
          <w:b/>
          <w:bCs/>
        </w:rPr>
        <w:t>(</w:t>
      </w:r>
      <w:r w:rsidR="005C01F8" w:rsidRPr="002A7128">
        <w:rPr>
          <w:rFonts w:ascii="Calibri" w:hAnsi="Calibri" w:cs="Calibri"/>
          <w:b/>
          <w:bCs/>
        </w:rPr>
        <w:fldChar w:fldCharType="begin"/>
      </w:r>
      <w:r w:rsidR="005C01F8" w:rsidRPr="002A7128">
        <w:rPr>
          <w:rFonts w:ascii="Calibri" w:hAnsi="Calibri" w:cs="Calibri"/>
          <w:b/>
          <w:bCs/>
        </w:rPr>
        <w:instrText xml:space="preserve"> REF _Ref105241674 \h  \* MERGEFORMAT </w:instrText>
      </w:r>
      <w:r w:rsidR="005C01F8" w:rsidRPr="002A7128">
        <w:rPr>
          <w:rFonts w:ascii="Calibri" w:hAnsi="Calibri" w:cs="Calibri"/>
          <w:b/>
          <w:bCs/>
        </w:rPr>
      </w:r>
      <w:r w:rsidR="005C01F8"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35</w:t>
      </w:r>
      <w:r w:rsidR="005C01F8" w:rsidRPr="002A7128">
        <w:rPr>
          <w:rFonts w:ascii="Calibri" w:hAnsi="Calibri" w:cs="Calibri"/>
          <w:b/>
          <w:bCs/>
        </w:rPr>
        <w:fldChar w:fldCharType="end"/>
      </w:r>
      <w:r w:rsidR="005C01F8" w:rsidRPr="002A7128">
        <w:rPr>
          <w:rFonts w:ascii="Calibri" w:hAnsi="Calibri" w:cs="Calibri"/>
          <w:b/>
          <w:bCs/>
        </w:rPr>
        <w:t>J</w:t>
      </w:r>
      <w:r w:rsidRPr="002A7128">
        <w:rPr>
          <w:rFonts w:ascii="Calibri" w:hAnsi="Calibri" w:cs="Calibri"/>
          <w:b/>
          <w:bCs/>
        </w:rPr>
        <w:t>)</w:t>
      </w:r>
      <w:r w:rsidRPr="002A7128">
        <w:rPr>
          <w:rFonts w:ascii="Calibri" w:hAnsi="Calibri" w:cs="Calibri"/>
        </w:rPr>
        <w:t xml:space="preserve">. Additionally, we imaged the [II] peptide-treated spheroids by staining the treated spheroids with </w:t>
      </w:r>
      <w:proofErr w:type="spellStart"/>
      <w:r w:rsidRPr="002A7128">
        <w:rPr>
          <w:rFonts w:ascii="Calibri" w:hAnsi="Calibri" w:cs="Calibri"/>
        </w:rPr>
        <w:t>calcein</w:t>
      </w:r>
      <w:proofErr w:type="spellEnd"/>
      <w:r w:rsidRPr="002A7128">
        <w:rPr>
          <w:rFonts w:ascii="Calibri" w:hAnsi="Calibri" w:cs="Calibri"/>
        </w:rPr>
        <w:t xml:space="preserve"> (live cells, green) and propidium iodide </w:t>
      </w:r>
      <w:r w:rsidRPr="002A7128">
        <w:rPr>
          <w:rFonts w:ascii="Calibri" w:hAnsi="Calibri" w:cs="Calibri"/>
        </w:rPr>
        <w:lastRenderedPageBreak/>
        <w:t>(membrane damaged cells, red). Spheroids treated with 0.5 mM [II] in 1% albumin had the highest propidium iodide uptake indicating membrane damage, similar to viability assay and LDH measurements. These results indicate that [II] induces membrane damage within the EMT6 spheroids, controllable through albumin.</w:t>
      </w:r>
    </w:p>
    <w:p w14:paraId="51345DA0" w14:textId="2D45BE58" w:rsidR="005C01F8" w:rsidRPr="002A7128" w:rsidRDefault="005C01F8">
      <w:pPr>
        <w:pStyle w:val="Heading2"/>
        <w:numPr>
          <w:ilvl w:val="3"/>
          <w:numId w:val="9"/>
        </w:numPr>
        <w:spacing w:line="480" w:lineRule="auto"/>
        <w:rPr>
          <w:rFonts w:ascii="Calibri" w:hAnsi="Calibri" w:cs="Calibri"/>
        </w:rPr>
      </w:pPr>
      <w:bookmarkStart w:id="193" w:name="_Toc120794218"/>
      <w:r w:rsidRPr="002A7128">
        <w:rPr>
          <w:rFonts w:ascii="Calibri" w:hAnsi="Calibri" w:cs="Calibri"/>
        </w:rPr>
        <w:t>EMT6 spheroids are resistant to chemotherapeutics</w:t>
      </w:r>
      <w:bookmarkEnd w:id="193"/>
    </w:p>
    <w:p w14:paraId="48B821A4" w14:textId="0C42C48E" w:rsidR="005C01F8" w:rsidRPr="002A7128" w:rsidRDefault="005C01F8" w:rsidP="00F675B4">
      <w:pPr>
        <w:spacing w:line="480" w:lineRule="auto"/>
        <w:jc w:val="both"/>
        <w:rPr>
          <w:rFonts w:ascii="Calibri" w:hAnsi="Calibri" w:cs="Calibri"/>
        </w:rPr>
      </w:pPr>
      <w:r w:rsidRPr="002A7128">
        <w:rPr>
          <w:rFonts w:ascii="Calibri" w:hAnsi="Calibri" w:cs="Calibri"/>
        </w:rPr>
        <w:t>Induction of ICD within the TME is critical for initiating antigen-specific adaptive immunity and protection. Chemotherapeutic drugs have been extensively studied for their capacity to achieve protective immunity through ICD and DAMP release.</w:t>
      </w:r>
      <w:r w:rsidRPr="002A7128">
        <w:rPr>
          <w:rFonts w:ascii="Calibri" w:hAnsi="Calibri" w:cs="Calibri"/>
        </w:rPr>
        <w:fldChar w:fldCharType="begin"/>
      </w:r>
      <w:r w:rsidR="00317E7D" w:rsidRPr="002A7128">
        <w:rPr>
          <w:rFonts w:ascii="Calibri" w:hAnsi="Calibri" w:cs="Calibri"/>
        </w:rPr>
        <w:instrText xml:space="preserve"> ADDIN ZOTERO_ITEM CSL_CITATION {"citationID":"a1eefftttuq","properties":{"formattedCitation":"\\super 32,46\\nosupersub{}","plainCitation":"32,46","noteIndex":0},"citationItems":[{"id":10378,"uris":["http://zotero.org/groups/2667333/items/6N2IEINE"],"itemData":{"id":10378,"type":"article-journal","container-title":"Nature Medicine","DOI":"10.1038/nm1523","ISSN":"1078-8956, 1546-170X","issue":"1","journalAbbreviation":"Nat Med","language":"en","page":"54-61","source":"DOI.org (Crossref)","title":"Calreticulin exposure dictates the immunogenicity of cancer cell death","URL":"http://www.nature.com/articles/nm1523","volume":"13","author":[{"family":"Obeid","given":"Michel"},{"family":"Tesniere","given":"Antoine"},{"family":"Ghiringhelli","given":"François"},{"family":"Fimia","given":"Gian Maria"},{"family":"Apetoh","given":"Lionel"},{"family":"Perfettini","given":"Jean-Luc"},{"family":"Castedo","given":"Maria"},{"family":"Mignot","given":"Grégoire"},{"family":"Panaretakis","given":"Theoharis"},{"family":"Casares","given":"Noelia"},{"family":"Métivier","given":"Didier"},{"family":"Larochette","given":"Nathanael"},{"family":"Endert","given":"Peter","non-dropping-particle":"van"},{"family":"Ciccosanti","given":"Fabiola"},{"family":"Piacentini","given":"Mauro"},{"family":"Zitvogel","given":"Laurence"},{"family":"Kroemer","given":"Guido"}],"accessed":{"date-parts":[["2022",4,26]]},"issued":{"date-parts":[["2007",1]]},"citation-key":"obeid_calreticulin_2007-1"}},{"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32,46</w:t>
      </w:r>
      <w:r w:rsidRPr="002A7128">
        <w:rPr>
          <w:rFonts w:ascii="Calibri" w:hAnsi="Calibri" w:cs="Calibri"/>
        </w:rPr>
        <w:fldChar w:fldCharType="end"/>
      </w:r>
      <w:r w:rsidRPr="002A7128">
        <w:rPr>
          <w:rFonts w:ascii="Calibri" w:hAnsi="Calibri" w:cs="Calibri"/>
        </w:rPr>
        <w:t xml:space="preserve"> Mitoxantrone and cisplatin are widely studied as an ICD inducer and non-ICD inducer</w:t>
      </w:r>
      <w:r w:rsidRPr="002A7128">
        <w:rPr>
          <w:rFonts w:ascii="Calibri" w:hAnsi="Calibri" w:cs="Calibri"/>
        </w:rPr>
        <w:fldChar w:fldCharType="begin"/>
      </w:r>
      <w:r w:rsidR="00A64B61" w:rsidRPr="002A7128">
        <w:rPr>
          <w:rFonts w:ascii="Calibri" w:hAnsi="Calibri" w:cs="Calibri"/>
        </w:rPr>
        <w:instrText xml:space="preserve"> ADDIN ZOTERO_ITEM CSL_CITATION {"citationID":"a1m97ddgd1q","properties":{"formattedCitation":"\\super 83\\nosupersub{}","plainCitation":"83","noteIndex":0},"citationItems":[{"id":9794,"uris":["http://zotero.org/groups/2667333/items/HQFHTPKB"],"itemData":{"id":9794,"type":"article-journal","container-title":"OncoImmunology","DOI":"10.4161/21624011.2014.955691","ISSN":"2162-402X","issue":"9","journalAbbreviation":"OncoImmunology","language":"en","page":"e955691","source":"DOI.org (Crossref)","title":"Consensus guidelines for the detection of immunogenic cell death","URL":"http://www.tandfonline.com/doi/full/10.4161/21624011.2014.955691","volume":"3","author":[{"family":"Kepp","given":"Oliver"},{"family":"Senovilla","given":"Laura"},{"family":"Vitale","given":"Ilio"},{"family":"Vacchelli","given":"Erika"},{"family":"Adjemian","given":"Sandy"},{"family":"Agostinis","given":"Patrizia"},{"family":"Apetoh","given":"Lionel"},{"family":"Aranda","given":"Fernando"},{"family":"Barnaba","given":"Vincenzo"},{"family":"Bloy","given":"Norma"},{"family":"Bracci","given":"Laura"},{"family":"Breckpot","given":"Karine"},{"family":"Brough","given":"David"},{"family":"Buqué","given":"Aitziber"},{"family":"Castro","given":"Maria G."},{"family":"Cirone","given":"Mara"},{"family":"Colombo","given":"Maria I."},{"family":"Cremer","given":"Isabelle"},{"family":"Demaria","given":"Sandra"},{"family":"Dini","given":"Luciana"},{"family":"Eliopoulos","given":"Aristides G."},{"family":"Faggioni","given":"Alberto"},{"family":"Formenti","given":"Silvia C."},{"family":"Fučíková","given":"Jitka"},{"family":"Gabriele","given":"Lucia"},{"family":"Gaipl","given":"Udo S."},{"family":"Galon","given":"Jérôme"},{"family":"Garg","given":"Abhishek"},{"family":"Ghiringhelli","given":"François"},{"family":"Giese","given":"Nathalia A."},{"family":"Guo","given":"Zong Sheng"},{"family":"Hemminki","given":"Akseli"},{"family":"Herrmann","given":"Martin"},{"family":"Hodge","given":"James W."},{"family":"Holdenrieder","given":"Stefan"},{"family":"Honeychurch","given":"Jamie"},{"family":"Hu","given":"Hong-Min"},{"family":"Huang","given":"Xing"},{"family":"Illidge","given":"Tim M."},{"family":"Kono","given":"Koji"},{"family":"Korbelik","given":"Mladen"},{"family":"Krysko","given":"Dmitri V."},{"family":"Loi","given":"Sherene"},{"family":"Lowenstein","given":"Pedro R."},{"family":"Lugli","given":"Enrico"},{"family":"Ma","given":"Yuting"},{"family":"Madeo","given":"Frank"},{"family":"Manfredi","given":"Angelo A."},{"family":"Martins","given":"Isabelle"},{"family":"Mavilio","given":"Domenico"},{"family":"Menger","given":"Laurie"},{"family":"Merendino","given":"Nicolò"},{"family":"Michaud","given":"Michael"},{"family":"Mignot","given":"Gregoire"},{"family":"Mossman","given":"Karen L."},{"family":"Multhoff","given":"Gabriele"},{"family":"Oehler","given":"Rudolf"},{"family":"Palombo","given":"Fabio"},{"family":"Panaretakis","given":"Theocharis"},{"family":"Pol","given":"Jonathan"},{"family":"Proietti","given":"Enrico"},{"family":"Ricci","given":"Jean-Ehrland"},{"family":"Riganti","given":"Chiara"},{"family":"Rovere-Querini","given":"Patrizia"},{"family":"Rubartelli","given":"Anna"},{"family":"Sistigu","given":"Antonella"},{"family":"Smyth","given":"Mark J."},{"family":"Sonnemann","given":"Juergen"},{"family":"Spisek","given":"Radek"},{"family":"Stagg","given":"John"},{"family":"Sukkurwala","given":"Abdul Qader"},{"family":"Tartour","given":"Eric"},{"family":"Thorburn","given":"Andrew"},{"family":"Thorne","given":"Stephen H."},{"family":"Vandenabeele","given":"Peter"},{"family":"Velotti","given":"Francesca"},{"family":"Workenhe","given":"Samuel T."},{"family":"Yang","given":"Haining"},{"family":"Zong","given":"Wei-Xing"},{"family":"Zitvogel","given":"Laurence"},{"family":"Kroemer","given":"Guido"},{"family":"Galluzzi","given":"Lorenzo"}],"accessed":{"date-parts":[["2021",12,15]]},"issued":{"date-parts":[["2014",9,2]]},"citation-key":"kepp_consensus_2014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83</w:t>
      </w:r>
      <w:r w:rsidRPr="002A7128">
        <w:rPr>
          <w:rFonts w:ascii="Calibri" w:hAnsi="Calibri" w:cs="Calibri"/>
        </w:rPr>
        <w:fldChar w:fldCharType="end"/>
      </w:r>
      <w:r w:rsidRPr="002A7128">
        <w:rPr>
          <w:rFonts w:ascii="Calibri" w:hAnsi="Calibri" w:cs="Calibri"/>
        </w:rPr>
        <w:t xml:space="preserve">, respectively. We aimed to compare the efficacy of [II] aggregation-induced ICD and DAMP release with well-studied controls for cell death. We identified 0.5 mM [II] peptide in 1% albumin induces around 50% cell death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_Ref105241674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35</w:t>
      </w:r>
      <w:r w:rsidRPr="002A7128">
        <w:rPr>
          <w:rFonts w:ascii="Calibri" w:hAnsi="Calibri" w:cs="Calibri"/>
          <w:b/>
          <w:bCs/>
        </w:rPr>
        <w:fldChar w:fldCharType="end"/>
      </w:r>
      <w:r w:rsidRPr="002A7128">
        <w:rPr>
          <w:rFonts w:ascii="Calibri" w:hAnsi="Calibri" w:cs="Calibri"/>
          <w:b/>
          <w:bCs/>
        </w:rPr>
        <w:t>C)</w:t>
      </w:r>
      <w:r w:rsidRPr="002A7128">
        <w:rPr>
          <w:rFonts w:ascii="Calibri" w:hAnsi="Calibri" w:cs="Calibri"/>
        </w:rPr>
        <w:t>. We wanted to compare the effects of [II] peptide with the chemotherapeutics at a similar spheroid death (%); therefore, we determined IC</w:t>
      </w:r>
      <w:r w:rsidRPr="002A7128">
        <w:rPr>
          <w:rFonts w:ascii="Calibri" w:hAnsi="Calibri" w:cs="Calibri"/>
          <w:vertAlign w:val="subscript"/>
        </w:rPr>
        <w:t>50</w:t>
      </w:r>
      <w:r w:rsidRPr="002A7128">
        <w:rPr>
          <w:rFonts w:ascii="Calibri" w:hAnsi="Calibri" w:cs="Calibri"/>
        </w:rPr>
        <w:t xml:space="preserve"> values of chemotherapeutics in the spheroid model. To show that spheroid models represent the drug resistance behavior of solid tumors, we treated both monolayer and spheroid cultures of EMT6 with different concentrations of mitoxantrone and cisplatin and determined IC</w:t>
      </w:r>
      <w:r w:rsidRPr="002A7128">
        <w:rPr>
          <w:rFonts w:ascii="Calibri" w:hAnsi="Calibri" w:cs="Calibri"/>
          <w:vertAlign w:val="subscript"/>
        </w:rPr>
        <w:t>50</w:t>
      </w:r>
      <w:r w:rsidRPr="002A7128">
        <w:rPr>
          <w:rFonts w:ascii="Calibri" w:hAnsi="Calibri" w:cs="Calibri"/>
        </w:rPr>
        <w:t xml:space="preserve"> values. Mitoxantrone had an IC</w:t>
      </w:r>
      <w:r w:rsidRPr="002A7128">
        <w:rPr>
          <w:rFonts w:ascii="Calibri" w:hAnsi="Calibri" w:cs="Calibri"/>
          <w:vertAlign w:val="subscript"/>
        </w:rPr>
        <w:t>50</w:t>
      </w:r>
      <w:r w:rsidRPr="002A7128">
        <w:rPr>
          <w:rFonts w:ascii="Calibri" w:hAnsi="Calibri" w:cs="Calibri"/>
        </w:rPr>
        <w:t xml:space="preserve"> value of 1.382 </w:t>
      </w:r>
      <w:r w:rsidRPr="00A86311">
        <w:rPr>
          <w:rFonts w:ascii="Symbol" w:hAnsi="Symbol" w:cs="Calibri"/>
        </w:rPr>
        <w:t>m</w:t>
      </w:r>
      <w:r w:rsidRPr="002A7128">
        <w:rPr>
          <w:rFonts w:ascii="Calibri" w:hAnsi="Calibri" w:cs="Calibri"/>
        </w:rPr>
        <w:t xml:space="preserve">M for monolayer culture and 47.31 </w:t>
      </w:r>
      <w:r w:rsidRPr="00A86311">
        <w:rPr>
          <w:rFonts w:ascii="Symbol" w:hAnsi="Symbol" w:cs="Calibri"/>
        </w:rPr>
        <w:t>m</w:t>
      </w:r>
      <w:r w:rsidRPr="002A7128">
        <w:rPr>
          <w:rFonts w:ascii="Calibri" w:hAnsi="Calibri" w:cs="Calibri"/>
        </w:rPr>
        <w:t xml:space="preserve">M for spheroid culture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_Ref105241915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36</w:t>
      </w:r>
      <w:r w:rsidRPr="002A7128">
        <w:rPr>
          <w:rFonts w:ascii="Calibri" w:hAnsi="Calibri" w:cs="Calibri"/>
          <w:b/>
          <w:bCs/>
        </w:rPr>
        <w:fldChar w:fldCharType="end"/>
      </w:r>
      <w:r w:rsidRPr="002A7128">
        <w:rPr>
          <w:rFonts w:ascii="Calibri" w:hAnsi="Calibri" w:cs="Calibri"/>
          <w:b/>
          <w:bCs/>
        </w:rPr>
        <w:t>A and B)</w:t>
      </w:r>
      <w:r w:rsidRPr="002A7128">
        <w:rPr>
          <w:rFonts w:ascii="Calibri" w:hAnsi="Calibri" w:cs="Calibri"/>
        </w:rPr>
        <w:t xml:space="preserve">. In comparison, cisplatin had 14.32 </w:t>
      </w:r>
      <w:r w:rsidRPr="00A86311">
        <w:rPr>
          <w:rFonts w:ascii="Symbol" w:hAnsi="Symbol" w:cs="Calibri"/>
        </w:rPr>
        <w:t>m</w:t>
      </w:r>
      <w:r w:rsidRPr="002A7128">
        <w:rPr>
          <w:rFonts w:ascii="Calibri" w:hAnsi="Calibri" w:cs="Calibri"/>
        </w:rPr>
        <w:t xml:space="preserve">M for monolayer culture and 28.49 </w:t>
      </w:r>
      <w:r w:rsidRPr="00A86311">
        <w:rPr>
          <w:rFonts w:ascii="Symbol" w:hAnsi="Symbol" w:cs="Calibri"/>
        </w:rPr>
        <w:t>m</w:t>
      </w:r>
      <w:r w:rsidRPr="002A7128">
        <w:rPr>
          <w:rFonts w:ascii="Calibri" w:hAnsi="Calibri" w:cs="Calibri"/>
        </w:rPr>
        <w:t xml:space="preserve">M for spheroid culture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_Ref105241915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36</w:t>
      </w:r>
      <w:r w:rsidRPr="002A7128">
        <w:rPr>
          <w:rFonts w:ascii="Calibri" w:hAnsi="Calibri" w:cs="Calibri"/>
          <w:b/>
          <w:bCs/>
        </w:rPr>
        <w:fldChar w:fldCharType="end"/>
      </w:r>
      <w:r w:rsidRPr="002A7128">
        <w:rPr>
          <w:rFonts w:ascii="Calibri" w:hAnsi="Calibri" w:cs="Calibri"/>
          <w:b/>
          <w:bCs/>
        </w:rPr>
        <w:t>A and B)</w:t>
      </w:r>
      <w:r w:rsidRPr="002A7128">
        <w:rPr>
          <w:rFonts w:ascii="Calibri" w:hAnsi="Calibri" w:cs="Calibri"/>
        </w:rPr>
        <w:t>. Resistance of spheroids to chemotherapeutics has been shown by us</w:t>
      </w:r>
      <w:r w:rsidRPr="002A7128">
        <w:rPr>
          <w:rFonts w:ascii="Calibri" w:hAnsi="Calibri" w:cs="Calibri"/>
        </w:rPr>
        <w:fldChar w:fldCharType="begin"/>
      </w:r>
      <w:r w:rsidR="00A64B61" w:rsidRPr="002A7128">
        <w:rPr>
          <w:rFonts w:ascii="Calibri" w:hAnsi="Calibri" w:cs="Calibri"/>
        </w:rPr>
        <w:instrText xml:space="preserve"> ADDIN ZOTERO_ITEM CSL_CITATION {"citationID":"a2i2u9v266g","properties":{"formattedCitation":"\\super 352,357\\nosupersub{}","plainCitation":"352,357","noteIndex":0},"citationItems":[{"id":2663,"uris":["http://zotero.org/groups/2667333/items/DXS8M9NR"],"itemData":{"id":2663,"type":"article-journal","abstract":"Background\nHigh fatality in ovarian cancer is attributed to metastasis, propagated by the release of multi-cellular aggregates/spheroids into the peritoneal cavity and their subsequent mesothelial invasion of peritoneal organs. Spheroids are therefore a common and clinically relevant in vitro model for ovarian cancer research. Spheroids in patients vary significantly in size and shape and display enhanced resistance to anti-cancer drugs compared to monolayers. However, there is no consensus on how spheroid size and shape affect drug resistance. Moreover, existing data regarding the influence of epithelial-to-mesenchymal transition (EMT) profile on spheroid shape and migration is inconclusive.\nMethods\nWe formed spheroids with OVCAR-3 and OVCAR-8 cells, chosen for their established genetic similarity to the patient tumor samples. We monitored their morphology using confocal microscope with dipping objective and fluorescent microscope. We characterized important EMT biomarkers; E-cadherin, Vimentin and Slug through western blotting in monolayers and spheroids. We treated these spheroids with Taxol and Cisplatin and investigated their migratory profile based on their morphology.\nResults\nWe report two distinct multicellular structures: loose aggregates (OVCAR-3) and compact spheroids (OVCAR-8). We attribute these different morphologies to the expression of the EMT biomarkers, and their changes upon spheroid formation. Importantly, we did not observe a difference in resistance to the anti-cancer drugs as a function of spheroid size and shape. However, migration capacity of compact spheroid (OVCAR-8) was 15-fold higher compared to that of loose aggregates (OVCAR-3).\nConclusions\nThese results highlight the importance of spheroid size and shape on anti-cancer drug resistance and migration profiles. The results of this study can, therefore, help to elucidate general rules for ovarian cancer studies based on 3D samples.","container-title":"Gynecologic Oncology","DOI":"10.1016/j.ygyno.2020.09.002","ISSN":"0090-8258","issue":"2","journalAbbreviation":"Gynecologic Oncology","language":"en","page":"563-572","source":"ScienceDirect","title":"The effects of size and shape of the ovarian cancer spheroids on the drug resistance and migration","URL":"http://www.sciencedirect.com/science/article/pii/S0090825820338579","volume":"159","author":[{"family":"Gunay","given":"Gokhan"},{"family":"Kirit","given":"Hande A."},{"family":"Kamatar","given":"Advika"},{"family":"Baghdasaryan","given":"Ofelya"},{"family":"Hamsici","given":"Seren"},{"family":"Acar","given":"Handan"}],"accessed":{"date-parts":[["2020",10,19]]},"issued":{"date-parts":[["2020",11,1]]},"citation-key":"gunay_effects_2020"}},{"id":5732,"uris":["http://zotero.org/groups/2667333/items/2Q3MQB5C"],"itemData":{"id":5732,"type":"article-journal","abstract":"The development of precision drugs for the selective treatment of ovarian cancer will require targeting proliferative factors selectively expressed in ovarian tumors or targeting unique physiological microenvironments specific for ovarian tumors. Here, we report that oxysterol-binding protein (OSBP)-related protein 4 (ORP4) is a potential druggable precision target in ovarian cancer cells. ORP4 has limited expression in normal tissues and was recently recognized to be a cancer-specific driver of cellular proliferation, including in patient-isolated leukemias. We demonstrate that ORP4 is strongly expressed in a panel of ovarian cancer cell lines. The antiproliferative natural product compound OSW-1 targets ORP4 and OSBP. Our results demonstrate that the OSW-1 compound has high antiproliferative potency in both monolayer and three-dimensional ovarian cancer spheroid models, especially compared to the standard-of-care agents cisplatin and paclitaxel. OSW-1 compound treatment induces a loss of ORP4 expression after 48 h, which is coincident with the cytotoxic effects of OSW-1. The absence of extracellular lipids markedly potentiated the cytotoxicity of OSW-1, which was reversed by addition of extracellular free cholesterol. OSBP, but not ORP4, is reported to transport cholesterol and other lipids between organelles. Our results indicate that the targeting of ORP4 is responsible for the antiproliferative activity of the OSW-1 compound, but that in the absence of exogenously supplied cholesterol, which might be similar to the in vivo ovarian cancer microenvironment, possible OSW-1 targeting of OSBP further potentiates the anticancer activity of the compound. Overall, ORP4 and potentially OSBP are revealed as potential druggable targets for the development of novel treatments for ovarian cancer.","container-title":"ACS Pharmacology &amp; Translational Science","DOI":"10.1021/acsptsci.0c00207","journalAbbreviation":"ACS Pharmacol. Transl. Sci.","note":"publisher: American Chemical Society","source":"ACS Publications","title":"Small Molecule Targeting of Oxysterol-Binding Protein (OSBP)-Related Protein 4 and OSBP Inhibits Ovarian Cancer Cell Proliferation in Monolayer and Spheroid Cell Models","URL":"https://pubs.acs.org/doi/abs/10.1021/acsptsci.0c00207","author":[{"family":"Bensen","given":"Ryan C."},{"family":"Gunay","given":"Gokhan"},{"family":"Finneran","given":"Matthew C."},{"family":"Jhingan","given":"Isha"},{"family":"Acar","given":"Handan"},{"family":"Burgett","given":"Anthony W. G."}],"accessed":{"date-parts":[["2021",2,5]]},"issued":{"date-parts":[["2021",2,4]]},"citation-key":"bensen_small_2021"}}],"schema":"https://github.com/citation-style-language/schema/raw/master/csl-citation.json"}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352,357</w:t>
      </w:r>
      <w:r w:rsidRPr="002A7128">
        <w:rPr>
          <w:rFonts w:ascii="Calibri" w:hAnsi="Calibri" w:cs="Calibri"/>
        </w:rPr>
        <w:fldChar w:fldCharType="end"/>
      </w:r>
      <w:r w:rsidRPr="002A7128">
        <w:rPr>
          <w:rFonts w:ascii="Calibri" w:hAnsi="Calibri" w:cs="Calibri"/>
        </w:rPr>
        <w:t xml:space="preserve"> and others</w:t>
      </w:r>
      <w:r w:rsidRPr="002A7128">
        <w:rPr>
          <w:rFonts w:ascii="Calibri" w:hAnsi="Calibri" w:cs="Calibri"/>
        </w:rPr>
        <w:fldChar w:fldCharType="begin"/>
      </w:r>
      <w:r w:rsidR="00A64B61" w:rsidRPr="002A7128">
        <w:rPr>
          <w:rFonts w:ascii="Calibri" w:hAnsi="Calibri" w:cs="Calibri"/>
        </w:rPr>
        <w:instrText xml:space="preserve"> ADDIN ZOTERO_ITEM CSL_CITATION {"citationID":"absdtiroka","properties":{"formattedCitation":"\\super 358\\uc0\\u8211{}360\\nosupersub{}","plainCitation":"358–360","noteIndex":0},"citationItems":[{"id":10520,"uris":["http://zotero.org/groups/2667333/items/X4VJ6G2R"],"itemData":{"id":10520,"type":"article-journal","abstract":"Abstract\n            \n              One of the hallmarks of cancers is their ability to develop resistance against therapeutic agents. Therefore, developing effective\n              in vitro\n              strategies to identify drug resistance remains of paramount importance for successful treatment. One of the ways cancer cells achieve drug resistance is through the expression of efflux pumps that actively pump drugs out of the cells. To date, several studies have investigated the potential of using 3-dimensional (3D) multicellular tumor spheroids (MCSs) to assess drug resistance; however, a unified system that uses MCSs to differentiate between multi drug resistance (MDR) and non-MDR cells does not yet exist. In the present report we describe MCSs obtained from post-diagnosed, pre-treated patient-derived (PTPD) cell lines from head and neck squamous cancer cells (HNSCC) that often develop resistance to therapy. We employed an integrated approach combining response to clinical drugs and screening cytotoxicity, monitoring real-time drug uptake, and assessing transporter activity using flow cytometry in the presence and absence of their respective specific inhibitors. The report shows a comparative response to MDR, drug efflux capability and reactive oxygen species (ROS) activity to assess the resistance profile of PTPD MCSs and two-dimensional (2D) monolayer cultures of the same set of cell lines. We show that MCSs provide a robust and reliable\n              in vitro\n              model to evaluate clinical relevance. Our proposed strategy can also be clinically applicable for profiling drug resistance in cancers with unknown resistance profiles, which consequently can indicate benefit from downstream therapy.","container-title":"Scientific Reports","DOI":"10.1038/s41598-019-56273-6","ISSN":"2045-2322","issue":"1","journalAbbreviation":"Sci Rep","language":"en","page":"20066","source":"DOI.org (Crossref)","title":"Dissecting multi drug resistance in head and neck cancer cells using multicellular tumor spheroids","URL":"http://www.nature.com/articles/s41598-019-56273-6","volume":"9","author":[{"family":"Azharuddin","given":"Mohammad"},{"family":"Roberg","given":"Karin"},{"family":"Dhara","given":"Ashis Kumar"},{"family":"Jain","given":"Mayur Vilas"},{"family":"Darcy","given":"Padraig"},{"family":"Hinkula","given":"Jorma"},{"family":"Slater","given":"Nigel K. H."},{"family":"Patra","given":"Hirak K."}],"accessed":{"date-parts":[["2022",5,10]]},"issued":{"date-parts":[["2019",12]]},"citation-key":"azharuddin_dissecting_2019"}},{"id":10004,"uris":["http://zotero.org/groups/2667333/items/7ZFSHDCZ"],"itemData":{"id":10004,"type":"article-journal","container-title":"Biotechnology and Bioengineering","DOI":"10.1002/bit.26845","ISSN":"00063592","issue":"1","journalAbbreviation":"Biotechnology and Bioengineering","language":"en","page":"206-226","source":"DOI.org (Crossref)","title":"3D tumor spheroids as in vitro models to mimic in vivo human solid tumors resistance to therapeutic drugs: NUNES &lt;span style=\"font-variant:small-caps;\"&gt;et al.&lt;/span&gt;","title-short":"3D tumor spheroids as in vitro models to mimic in vivo human solid tumors resistance to therapeutic drugs","URL":"https://onlinelibrary.wiley.com/doi/10.1002/bit.26845","volume":"116","author":[{"family":"Nunes","given":"Ana S."},{"family":"Barros","given":"Andreia S."},{"family":"Costa","given":"Elisabete C."},{"family":"Moreira","given":"André F."},{"family":"Correia","given":"Ilídio J."}],"accessed":{"date-parts":[["2022",2,13]]},"issued":{"date-parts":[["2019",1]]},"citation-key":"nunes_3d_2019"}},{"id":10522,"uris":["http://zotero.org/groups/2667333/items/N3ED5TGV"],"itemData":{"id":10522,"type":"article-journal","container-title":"Cancer Biology &amp; Therapy","DOI":"10.4161/cbt.21353","ISSN":"1538-4047, 1555-8576","issue":"12","journalAbbreviation":"Cancer Biology &amp; Therapy","language":"en","page":"1205-1213","source":"DOI.org (Crossref)","title":"Cancer cell spheroids as a model to evaluate chemotherapy protocols","URL":"http://www.tandfonline.com/doi/abs/10.4161/cbt.21353","volume":"13","author":[{"family":"Perche","given":"Federico"},{"family":"Torchilin","given":"Vladimir P."}],"accessed":{"date-parts":[["2022",5,10]]},"issued":{"date-parts":[["2012",10]]},"citation-key":"perche_cancer_2012"}}],"schema":"https://github.com/citation-style-language/schema/raw/master/csl-citation.json"}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358–360</w:t>
      </w:r>
      <w:r w:rsidRPr="002A7128">
        <w:rPr>
          <w:rFonts w:ascii="Calibri" w:hAnsi="Calibri" w:cs="Calibri"/>
        </w:rPr>
        <w:fldChar w:fldCharType="end"/>
      </w:r>
      <w:r w:rsidRPr="002A7128">
        <w:rPr>
          <w:rFonts w:ascii="Calibri" w:hAnsi="Calibri" w:cs="Calibri"/>
        </w:rPr>
        <w:t xml:space="preserve"> before. Here, we showed that EMT6 spheroids are resistant to mitoxantrone and cisplatin. These results showed that spheroid models exhibit the drug resistance aspect of in vivo tumors and offer a high-throughput platform for studying new therapeutics.</w:t>
      </w:r>
    </w:p>
    <w:p w14:paraId="3F2B8490" w14:textId="1387B1E2" w:rsidR="005C01F8" w:rsidRPr="002A7128" w:rsidRDefault="005C01F8" w:rsidP="00F675B4">
      <w:pPr>
        <w:spacing w:line="480" w:lineRule="auto"/>
        <w:rPr>
          <w:rFonts w:ascii="Calibri" w:hAnsi="Calibri" w:cs="Calibri"/>
        </w:rPr>
      </w:pPr>
    </w:p>
    <w:p w14:paraId="461F5A38" w14:textId="77777777" w:rsidR="005C01F8" w:rsidRPr="002A7128" w:rsidRDefault="005C01F8" w:rsidP="00F675B4">
      <w:pPr>
        <w:keepNext/>
        <w:spacing w:line="480" w:lineRule="auto"/>
        <w:jc w:val="both"/>
        <w:rPr>
          <w:rFonts w:ascii="Calibri" w:hAnsi="Calibri" w:cs="Calibri"/>
        </w:rPr>
      </w:pPr>
      <w:r w:rsidRPr="002A7128">
        <w:rPr>
          <w:rFonts w:ascii="Calibri" w:hAnsi="Calibri" w:cs="Calibri"/>
          <w:noProof/>
        </w:rPr>
        <w:drawing>
          <wp:inline distT="0" distB="0" distL="0" distR="0" wp14:anchorId="2D829689" wp14:editId="6F70FAF6">
            <wp:extent cx="5745892" cy="3350762"/>
            <wp:effectExtent l="0" t="0" r="0" b="2540"/>
            <wp:docPr id="28" name="Picture 2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48874" cy="3352501"/>
                    </a:xfrm>
                    <a:prstGeom prst="rect">
                      <a:avLst/>
                    </a:prstGeom>
                  </pic:spPr>
                </pic:pic>
              </a:graphicData>
            </a:graphic>
          </wp:inline>
        </w:drawing>
      </w:r>
    </w:p>
    <w:p w14:paraId="2F6850FE" w14:textId="7C8553E4" w:rsidR="005C01F8" w:rsidRPr="002A7128" w:rsidRDefault="005C01F8" w:rsidP="00F675B4">
      <w:pPr>
        <w:pStyle w:val="Caption"/>
        <w:spacing w:line="480" w:lineRule="auto"/>
        <w:jc w:val="both"/>
        <w:rPr>
          <w:rFonts w:ascii="Calibri" w:hAnsi="Calibri" w:cs="Calibri"/>
          <w:i w:val="0"/>
          <w:iCs w:val="0"/>
          <w:color w:val="000000" w:themeColor="text1"/>
          <w:sz w:val="24"/>
          <w:szCs w:val="24"/>
        </w:rPr>
      </w:pPr>
      <w:bookmarkStart w:id="194" w:name="_Ref105241915"/>
      <w:bookmarkStart w:id="195" w:name="_Toc120789454"/>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36</w:t>
      </w:r>
      <w:r w:rsidRPr="002A7128">
        <w:rPr>
          <w:rFonts w:ascii="Calibri" w:hAnsi="Calibri" w:cs="Calibri"/>
          <w:b/>
          <w:bCs/>
          <w:i w:val="0"/>
          <w:iCs w:val="0"/>
          <w:color w:val="000000" w:themeColor="text1"/>
          <w:sz w:val="24"/>
          <w:szCs w:val="24"/>
        </w:rPr>
        <w:fldChar w:fldCharType="end"/>
      </w:r>
      <w:bookmarkEnd w:id="194"/>
      <w:r w:rsidRPr="002A7128">
        <w:rPr>
          <w:rFonts w:ascii="Calibri" w:hAnsi="Calibri" w:cs="Calibri"/>
          <w:b/>
          <w:bCs/>
          <w:i w:val="0"/>
          <w:iCs w:val="0"/>
          <w:color w:val="000000" w:themeColor="text1"/>
          <w:sz w:val="24"/>
          <w:szCs w:val="24"/>
        </w:rPr>
        <w:t xml:space="preserve"> IC</w:t>
      </w:r>
      <w:r w:rsidRPr="002A7128">
        <w:rPr>
          <w:rFonts w:ascii="Calibri" w:hAnsi="Calibri" w:cs="Calibri"/>
          <w:b/>
          <w:bCs/>
          <w:i w:val="0"/>
          <w:iCs w:val="0"/>
          <w:color w:val="000000" w:themeColor="text1"/>
          <w:sz w:val="24"/>
          <w:szCs w:val="24"/>
          <w:vertAlign w:val="subscript"/>
        </w:rPr>
        <w:t>50</w:t>
      </w:r>
      <w:r w:rsidRPr="002A7128">
        <w:rPr>
          <w:rFonts w:ascii="Calibri" w:hAnsi="Calibri" w:cs="Calibri"/>
          <w:b/>
          <w:bCs/>
          <w:i w:val="0"/>
          <w:iCs w:val="0"/>
          <w:color w:val="000000" w:themeColor="text1"/>
          <w:sz w:val="24"/>
          <w:szCs w:val="24"/>
        </w:rPr>
        <w:t xml:space="preserve"> values of chemotherapeutics in monolayer and spheroid culture.</w:t>
      </w:r>
      <w:r w:rsidRPr="002A7128">
        <w:rPr>
          <w:rFonts w:ascii="Calibri" w:hAnsi="Calibri" w:cs="Calibri"/>
          <w:i w:val="0"/>
          <w:iCs w:val="0"/>
          <w:color w:val="000000" w:themeColor="text1"/>
          <w:sz w:val="24"/>
          <w:szCs w:val="24"/>
        </w:rPr>
        <w:t xml:space="preserve"> A. IC</w:t>
      </w:r>
      <w:r w:rsidRPr="002A7128">
        <w:rPr>
          <w:rFonts w:ascii="Calibri" w:hAnsi="Calibri" w:cs="Calibri"/>
          <w:i w:val="0"/>
          <w:iCs w:val="0"/>
          <w:color w:val="000000" w:themeColor="text1"/>
          <w:sz w:val="24"/>
          <w:szCs w:val="24"/>
          <w:vertAlign w:val="subscript"/>
        </w:rPr>
        <w:t>50</w:t>
      </w:r>
      <w:r w:rsidRPr="002A7128">
        <w:rPr>
          <w:rFonts w:ascii="Calibri" w:hAnsi="Calibri" w:cs="Calibri"/>
          <w:i w:val="0"/>
          <w:iCs w:val="0"/>
          <w:color w:val="000000" w:themeColor="text1"/>
          <w:sz w:val="24"/>
          <w:szCs w:val="24"/>
        </w:rPr>
        <w:t xml:space="preserve"> values of mitoxantrone and cisplatin on monolayer culture at 24h. The scale bar is 50 </w:t>
      </w:r>
      <w:r w:rsidRPr="00CD1007">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m. B. IC</w:t>
      </w:r>
      <w:r w:rsidRPr="002A7128">
        <w:rPr>
          <w:rFonts w:ascii="Calibri" w:hAnsi="Calibri" w:cs="Calibri"/>
          <w:i w:val="0"/>
          <w:iCs w:val="0"/>
          <w:color w:val="000000" w:themeColor="text1"/>
          <w:sz w:val="24"/>
          <w:szCs w:val="24"/>
          <w:vertAlign w:val="subscript"/>
        </w:rPr>
        <w:t>50</w:t>
      </w:r>
      <w:r w:rsidRPr="002A7128">
        <w:rPr>
          <w:rFonts w:ascii="Calibri" w:hAnsi="Calibri" w:cs="Calibri"/>
          <w:i w:val="0"/>
          <w:iCs w:val="0"/>
          <w:color w:val="000000" w:themeColor="text1"/>
          <w:sz w:val="24"/>
          <w:szCs w:val="24"/>
        </w:rPr>
        <w:t xml:space="preserve"> values of mitoxantrone and cisplatin on spheroid culture at 24h. The scale bar is 250 </w:t>
      </w:r>
      <w:r w:rsidRPr="00CD1007">
        <w:rPr>
          <w:rFonts w:ascii="Symbol" w:hAnsi="Symbol" w:cs="Calibri"/>
          <w:i w:val="0"/>
          <w:iCs w:val="0"/>
          <w:color w:val="000000" w:themeColor="text1"/>
          <w:sz w:val="24"/>
          <w:szCs w:val="24"/>
        </w:rPr>
        <w:t>m</w:t>
      </w:r>
      <w:r w:rsidRPr="002A7128">
        <w:rPr>
          <w:rFonts w:ascii="Calibri" w:hAnsi="Calibri" w:cs="Calibri"/>
          <w:i w:val="0"/>
          <w:iCs w:val="0"/>
          <w:color w:val="000000" w:themeColor="text1"/>
          <w:sz w:val="24"/>
          <w:szCs w:val="24"/>
        </w:rPr>
        <w:t>m.</w:t>
      </w:r>
      <w:bookmarkEnd w:id="195"/>
    </w:p>
    <w:p w14:paraId="161DAFCC" w14:textId="2B4BAC4E" w:rsidR="000D5DE9" w:rsidRPr="002A7128" w:rsidRDefault="005C01F8" w:rsidP="001752A2">
      <w:pPr>
        <w:spacing w:line="480" w:lineRule="auto"/>
        <w:jc w:val="both"/>
        <w:rPr>
          <w:rFonts w:ascii="Calibri" w:hAnsi="Calibri" w:cs="Calibri"/>
        </w:rPr>
      </w:pPr>
      <w:r w:rsidRPr="002A7128">
        <w:rPr>
          <w:rFonts w:ascii="Calibri" w:hAnsi="Calibri" w:cs="Calibri"/>
        </w:rPr>
        <w:t>Determining the concentration for chemotherapeutic drugs is vital because, when they are systemically administered, they have severe side effects.</w:t>
      </w:r>
      <w:r w:rsidRPr="002A7128">
        <w:rPr>
          <w:rFonts w:ascii="Calibri" w:hAnsi="Calibri" w:cs="Calibri"/>
        </w:rPr>
        <w:fldChar w:fldCharType="begin"/>
      </w:r>
      <w:r w:rsidR="00A64B61" w:rsidRPr="002A7128">
        <w:rPr>
          <w:rFonts w:ascii="Calibri" w:hAnsi="Calibri" w:cs="Calibri"/>
        </w:rPr>
        <w:instrText xml:space="preserve"> ADDIN ZOTERO_ITEM CSL_CITATION {"citationID":"a1e14hs3vcn","properties":{"formattedCitation":"\\super 361\\nosupersub{}","plainCitation":"361","noteIndex":0},"citationItems":[{"id":10544,"uris":["http://zotero.org/groups/2667333/items/T2NI7DRE"],"itemData":{"id":10544,"type":"article-journal","container-title":"Materials Science and Engineering: C","DOI":"10.1016/j.msec.2016.01.063","ISSN":"09284931","journalAbbreviation":"Materials Science and Engineering: C","language":"en","page":"927-942","source":"DOI.org (Crossref)","title":"Biomaterial-based regional chemotherapy: Local anticancer drug delivery to enhance chemotherapy and minimize its side-effects","title-short":"Biomaterial-based regional chemotherapy","URL":"https://linkinghub.elsevier.com/retrieve/pii/S0928493116300625","volume":"62","author":[{"family":"Krukiewicz","given":"Katarzyna"},{"family":"Zak","given":"Jerzy K."}],"accessed":{"date-parts":[["2022",5,16]]},"issued":{"date-parts":[["2016",5]]},"citation-key":"krukiewicz_biomaterial-based_2016"}}],"schema":"https://github.com/citation-style-language/schema/raw/master/csl-citation.json"}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361</w:t>
      </w:r>
      <w:r w:rsidRPr="002A7128">
        <w:rPr>
          <w:rFonts w:ascii="Calibri" w:hAnsi="Calibri" w:cs="Calibri"/>
        </w:rPr>
        <w:fldChar w:fldCharType="end"/>
      </w:r>
      <w:r w:rsidRPr="002A7128">
        <w:rPr>
          <w:rFonts w:ascii="Calibri" w:hAnsi="Calibri" w:cs="Calibri"/>
        </w:rPr>
        <w:t xml:space="preserve"> One of the most significant limitations is the low chemotherapeutic concentrations accumulating in solid tumors. Therefore, recent efforts focus on local delivery of chemotherapeutics rather than systemic administration.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{"citationID":"a2kekuo4n5h","properties":{"formattedCitation":"\\super 361\\nosupersub{}","plainCitation":"361","noteIndex":0},"citationItems":[{"id":10544,"uris":["http://zotero.org/groups/2667333/items/T2NI7DRE"],"itemData":{"id":10544,"type":"article-journal","container-title":"Materials Science and Engineering: C","DOI":"10.1016/j.msec.2016.01.063","ISSN":"09284931","journalAbbreviation":"Materials Science and Engineering: C","language":"en","page":"927-942","source":"DOI.org (Crossref)","title":"Biomaterial-based regional chemotherapy: Local anticancer drug delivery to enhance chemotherapy and minimize its side-effects","title-short":"Biomaterial-based regional chemotherapy","URL":"https://linkinghub.elsevier.com/retrieve/pii/S0928493116300625","volume":"62","author":[{"family":"Krukiewicz","given":"Katarzyna"},{"family":"Zak","given":"Jerzy K."}],"accessed":{"date-parts":[["2022",5,16]]},"issued":{"date-parts":[["2016",5]]},"citation-key":"krukiewicz_biomaterial-based_2016"}}],"schema":"https://github.com/citation-style-language/schema/raw/master/csl-citation.json"}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361</w:t>
      </w:r>
      <w:r w:rsidRPr="002A7128">
        <w:rPr>
          <w:rFonts w:ascii="Calibri" w:hAnsi="Calibri" w:cs="Calibri"/>
        </w:rPr>
        <w:fldChar w:fldCharType="end"/>
      </w:r>
      <w:r w:rsidRPr="002A7128">
        <w:rPr>
          <w:rFonts w:ascii="Calibri" w:hAnsi="Calibri" w:cs="Calibri"/>
        </w:rPr>
        <w:t xml:space="preserve"> However, within the TME, multiple factors contribute to the drug resistance, one of which is the upregulation of anti-apoptotic genes.</w:t>
      </w:r>
      <w:r w:rsidRPr="002A7128">
        <w:rPr>
          <w:rFonts w:ascii="Calibri" w:hAnsi="Calibri" w:cs="Calibri"/>
        </w:rPr>
        <w:fldChar w:fldCharType="begin"/>
      </w:r>
      <w:r w:rsidR="00A64B61" w:rsidRPr="002A7128">
        <w:rPr>
          <w:rFonts w:ascii="Calibri" w:hAnsi="Calibri" w:cs="Calibri"/>
        </w:rPr>
        <w:instrText xml:space="preserve"> ADDIN ZOTERO_ITEM CSL_CITATION {"citationID":"av4jcgvil0","properties":{"formattedCitation":"\\super 362\\nosupersub{}","plainCitation":"362","noteIndex":0},"citationItems":[{"id":10545,"uris":["http://zotero.org/groups/2667333/items/SWW5J6GE"],"itemData":{"id":10545,"type":"article-journal","container-title":"Drug Resistance Updates","DOI":"10.1016/j.drup.2020.100712","ISSN":"13687646","journalAbbreviation":"Drug Resistance Updates","language":"en","page":"100712","source":"DOI.org (Crossref)","title":"Inhibiting the inhibitors: Targeting anti-apoptotic proteins in cancer and therapy resistance","title-short":"Inhibiting the inhibitors","URL":"https://linkinghub.elsevier.com/retrieve/pii/S1368764620300418","volume":"52","author":[{"family":"Shahar","given":"Nir"},{"family":"Larisch","given":"Sarit"}],"accessed":{"date-parts":[["2022",5,16]]},"issued":{"date-parts":[["2020",9]]},"citation-key":"shahar_inhibiting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362</w:t>
      </w:r>
      <w:r w:rsidRPr="002A7128">
        <w:rPr>
          <w:rFonts w:ascii="Calibri" w:hAnsi="Calibri" w:cs="Calibri"/>
        </w:rPr>
        <w:fldChar w:fldCharType="end"/>
      </w:r>
      <w:r w:rsidRPr="002A7128">
        <w:rPr>
          <w:rFonts w:ascii="Calibri" w:hAnsi="Calibri" w:cs="Calibri"/>
        </w:rPr>
        <w:t xml:space="preserve"> On the contrary, the peptide aggregation model we engineered does not target a specific receptor to initiate ICD and DAMP </w:t>
      </w:r>
      <w:r w:rsidRPr="002A7128">
        <w:rPr>
          <w:rFonts w:ascii="Calibri" w:hAnsi="Calibri" w:cs="Calibri"/>
        </w:rPr>
        <w:lastRenderedPageBreak/>
        <w:t xml:space="preserve">release; therefore, it presents a unique model to overcome acquired resistance against chemotherapeutics.  </w:t>
      </w:r>
    </w:p>
    <w:p w14:paraId="3D9D7C83" w14:textId="1224C83B" w:rsidR="001D3D3C" w:rsidRPr="002A7128" w:rsidRDefault="001D3D3C">
      <w:pPr>
        <w:pStyle w:val="Heading2"/>
        <w:numPr>
          <w:ilvl w:val="3"/>
          <w:numId w:val="9"/>
        </w:numPr>
        <w:spacing w:line="480" w:lineRule="auto"/>
        <w:rPr>
          <w:rFonts w:ascii="Calibri" w:hAnsi="Calibri" w:cs="Calibri"/>
        </w:rPr>
      </w:pPr>
      <w:bookmarkStart w:id="196" w:name="_Toc120794219"/>
      <w:r w:rsidRPr="002A7128">
        <w:rPr>
          <w:rFonts w:ascii="Calibri" w:hAnsi="Calibri" w:cs="Calibri"/>
        </w:rPr>
        <w:t>[II] aggregation-induced DAMP release is superior to chemotherapeutics</w:t>
      </w:r>
      <w:bookmarkEnd w:id="196"/>
    </w:p>
    <w:p w14:paraId="60E7198D" w14:textId="0A7CB0BC" w:rsidR="001D3D3C" w:rsidRPr="002A7128" w:rsidRDefault="001D3D3C" w:rsidP="00F675B4">
      <w:pPr>
        <w:spacing w:line="480" w:lineRule="auto"/>
        <w:jc w:val="both"/>
        <w:rPr>
          <w:rFonts w:ascii="Calibri" w:hAnsi="Calibri" w:cs="Calibri"/>
        </w:rPr>
      </w:pPr>
      <w:r w:rsidRPr="002A7128">
        <w:rPr>
          <w:rFonts w:ascii="Calibri" w:hAnsi="Calibri" w:cs="Calibri"/>
        </w:rPr>
        <w:t>DAMPs have been proven necessary for the immunogenicity of dying cells.</w:t>
      </w:r>
      <w:r w:rsidRPr="002A7128">
        <w:rPr>
          <w:rFonts w:ascii="Calibri" w:hAnsi="Calibri" w:cs="Calibri"/>
        </w:rPr>
        <w:fldChar w:fldCharType="begin"/>
      </w:r>
      <w:r w:rsidR="00317E7D" w:rsidRPr="002A7128">
        <w:rPr>
          <w:rFonts w:ascii="Calibri" w:hAnsi="Calibri" w:cs="Calibri"/>
        </w:rPr>
        <w:instrText xml:space="preserve"> ADDIN ZOTERO_ITEM CSL_CITATION {"citationID":"a2a6338r0k7","properties":{"formattedCitation":"\\super 46,51,363\\nosupersub{}","plainCitation":"46,51,363","noteIndex":0},"citationItems":[{"id":1678,"uris":["http://zotero.org/groups/2667333/items/RMECE45K"],"itemData":{"id":1678,"type":"article-journal","abstract":"This article is the second part of a review that addresses the role of damage-associated molecular patterns (DAMPs) in human diseases by presenting examples of traumatic (systemic inflammatory response syndrome), cardiovascular (myocardial infarction), metabolic (type 2 diabetes mellitus), neurodegenerative (Alzheimer’s disease), malignant and infectious diseases. Various DAMPs are involved in the pathogenesis of all these diseases as they activate innate immune machineries including the unfolded protein response and inflammasomes. These subsequently promote sterile autoinflammation accompanied, at least in part, by subsequent adaptive autoimmune processes. This review article discusses the future role of DAMPs in routine practical medicine by highlighting the possibility of harnessing and deploying DAMPs either as biomarkers for the appropriate diagnosis and prognosis of diseases, as therapeutics in the treatment of tumours or as vaccine adjuncts for the prophylaxis of infections. In addition, this article examines the potential for developing strategies aimed at mitigating DAMPs-mediated hyperinflammatory responses, such as those seen in systemic inflammatory response syndrome associated with multiple organ failure.","container-title":"Sultan Qaboos University Medical Journal","ISSN":"2075-051X","issue":"2","journalAbbreviation":"Sultan Qaboos Univ Med J","note":"ZSCC: 0000110 \nPMID: 26052447\nPMCID: PMC4450777","page":"e157-e170","source":"PubMed Central","title":"The Role of Damage-Associated Molecular Patterns (DAMPs) in Human Diseases","URL":"https://www.ncbi.nlm.nih.gov/pmc/articles/PMC4450777/","volume":"15","author":[{"family":"Land","given":"Walter G."}],"accessed":{"date-parts":[["2020",7,18]]},"issued":{"date-parts":[["2015",5]]},"citation-key":"land_role_2015"}},{"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id":9877,"uris":["http://zotero.org/groups/2667333/items/AJSMBY7R"],"itemData":{"id":9877,"type":"article-journal","abstract":"Background\n              Immunotherapy represents the future of clinical cancer treatment. The type of cancer cell death determines the antitumor immune response and thereby contributes to the efficacy of anticancer therapy and long-term survival of patients. Induction of immunogenic apoptosis or necroptosis in cancer cells does activate antitumor immunity, but resistance to these cell death modalities is common. Therefore, it is of great importance to find other ways to kill tumor cells. Recently, ferroptosis has been identified as a novel, iron-dependent form of regulated cell death but whether ferroptotic cancer cells are immunogenic is unknown.\n            \n            \n              Methods\n              \n                Ferroptotic cell death in murine fibrosarcoma MCA205 or glioma GL261 cells was induced by RAS-selective lethal 3 and ferroptosis was analyzed by flow cytometry, atomic force and confocal microscopy. ATP and high-mobility group box 1 (HMGB1) release were detected by luminescence and ELISA assays, respectively. Immunogenicity in vitro was analyzed by coculturing of ferroptotic cancer cells with bone-marrow derived dendritic cells (BMDCs) and rate of phagocytosis and activation/maturation of BMDCs (CD11c\n                +\n                CD86\n                +\n                , CD11c\n                +\n                CD40\n                +\n                , CD11c\n                +\n                MHCII\n                +\n                , IL-6, RNAseq analysis). The tumor prophylactic vaccination model in immune-competent and immune compromised (Rag-2\n                −/−\n                ) mice was used to analyze ferroptosis immunogenicity.\n              \n            \n            \n              Results\n              \n                Ferroptosis can be induced in cancer cells by inhibition of glutathione peroxidase 4, as evidenced by confocal and atomic force microscopy and inhibitors’ analysis. We demonstrate for the first time that ferroptosis is immunogenic in vitro and in vivo. Early, but not late, ferroptotic cells promote the phenotypic maturation of BMDCs and elicit a vaccination-like effect in immune-competent mice but not in Rag-2\n                −/−\n                mice, suggesting that the mechanism of immunogenicity is very tightly regulated by the adaptive immune system and is time dependent. Also, ATP and HMGB1, the best-characterized damage-associated molecular patterns involved in immunogenic cell death, have proven to be passively released along the timeline of ferroptosis and act as immunogenic signal associated with the immunogenicity of early ferroptotic cancer cells.\n              \n            \n            \n              Conclusions\n              These results pave the way for the development of new therapeutic strategies for cancers based on induction of ferroptosis, and thus broadens the current concept of immunogenic cell death and opens the door for the development of new strategies in cancer immunotherapy.","container-title":"Journal for ImmunoTherapy of Cancer","DOI":"10.1136/jitc-2020-001369","ISSN":"2051-1426","issue":"2","journalAbbreviation":"J Immunother Cancer","language":"en","page":"e001369","source":"DOI.org (Crossref)","title":"Vaccination with early ferroptotic cancer cells induces efficient antitumor immunity","URL":"https://jitc.bmj.com/lookup/doi/10.1136/jitc-2020-001369","volume":"8","author":[{"family":"Efimova","given":"Iuliia"},{"family":"Catanzaro","given":"Elena"},{"family":"Van der Meeren","given":"Louis"},{"family":"Turubanova","given":"Victoria D"},{"family":"Hammad","given":"Hamida"},{"family":"Mishchenko","given":"Tatiana A"},{"family":"Vedunova","given":"Maria V"},{"family":"Fimognari","given":"Carmela"},{"family":"Bachert","given":"Claus"},{"family":"Coppieters","given":"Frauke"},{"family":"Lefever","given":"Steve"},{"family":"Skirtach","given":"Andre G"},{"family":"Krysko","given":"Olga"},{"family":"Krysko","given":"Dmitri V"}],"accessed":{"date-parts":[["2022",1,6]]},"issued":{"date-parts":[["2020",11]]},"citation-key":"efimova_vaccination_2020"}}],"schema":"https://github.com/citation-style-language/schema/raw/master/csl-citation.json"}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46,51,363</w:t>
      </w:r>
      <w:r w:rsidRPr="002A7128">
        <w:rPr>
          <w:rFonts w:ascii="Calibri" w:hAnsi="Calibri" w:cs="Calibri"/>
        </w:rPr>
        <w:fldChar w:fldCharType="end"/>
      </w:r>
      <w:r w:rsidRPr="002A7128">
        <w:rPr>
          <w:rFonts w:ascii="Calibri" w:hAnsi="Calibri" w:cs="Calibri"/>
        </w:rPr>
        <w:t xml:space="preserve"> We previously showed [II] aggregation-induced ICD and the release of DAMPs on different cell lines.</w:t>
      </w:r>
      <w:r w:rsidRPr="002A7128">
        <w:rPr>
          <w:rFonts w:ascii="Calibri" w:hAnsi="Calibri" w:cs="Calibri"/>
        </w:rPr>
        <w:fldChar w:fldCharType="begin"/>
      </w:r>
      <w:r w:rsidR="00317E7D" w:rsidRPr="002A7128">
        <w:rPr>
          <w:rFonts w:ascii="Calibri" w:hAnsi="Calibri" w:cs="Calibri"/>
        </w:rPr>
        <w:instrText xml:space="preserve"> ADDIN ZOTERO_ITEM CSL_CITATION {"citationID":"a14o8h7aifr","properties":{"formattedCitation":"\\super 343\\nosupersub{}","plainCitation":"343","noteIndex":0},"citationItems":[{"id":"wiida5Bo/dNoyVUEy","uris":["http://zotero.org/groups/2667333/items/GKGZM2KP"],"itemData":{"id":9786,"type":"article-journal","abstract":"Under the influence of stress and membrane damage, cells undergo immunogenic cell death (ICD), which involves the release of damage associated molecular patterns (DAMPs), natural adjuvants for enhancing an immune response. In the presence of an antigen, released DAMPs can determine the type and magnitude of the immune response, and therefore the longevity and efficacy of an antigen-specific immunity. In the last decade, the immune response effect of ICD has been shown, yet there is no tool that can induce controlled ICD with predictable results, regardless of the cell type. We designed a peptide-based tool, called [II], for controlled damage to cell membrane to induce ICD and DAMPs release. Herein we describe a series of experiments that determine that the mechanism of action of [II] includes a caspase-dependent ICD and subsequent release of immune stimulating DAMPs, on various cell types. Moreover, we tested the hypothesis that controlled DAMP release via [II] in vivo was associated with enhancement of antigen-specific adaptive immunity with influenza hemagglutinin (HA) subunit vaccine. HA and [II] showed significantly higher HA specific IgG1 and IgG2a antibodies, compared to HA-only immunized mice, while the peptide itself did not elicit antibodies. In this paper, we demonstrate the first peptide-aggregation induced immunogenic rupture (PAIIR) approach as vaccine adjuvants for increasing both humoral and cellular immunity. In consideration of its ability to enhance IgG2a responses that are associated with heterosubtypic influenza virus protection, PAIIR is a promising adjuvant to promote universal protection upon influenza HA vaccination.","container-title":"Advanced Science","DOI":"10.1101/2021.12.11.472230","language":"en","note":"Company: Cold Spring Harbor Laboratory\nDOI: 10.1101/2021.12.11.472230\nDistributor: Cold Spring Harbor Laboratory\nLabel: Cold Spring Harbor Laboratory\nsection: New Results\ntype: article\nCitation Key: gunay_peptide_2022","source":"BioRxiv","title":"Peptide Aggregation Induced Immunogenic Rupture (PAIIR)","URL":"https://www.biorxiv.org/content/10.1101/2021.12.11.472230v1","volume":"472230","author":[{"family":"Gunay","given":"Gokhan"},{"family":"Hamsici","given":"Seren"},{"family":"Lang","given":"Mark L."},{"family":"Lang","given":"Gillian A."},{"family":"Kovats","given":"Susan"},{"family":"Acar","given":"Handan"}],"accessed":{"date-parts":[["2021",12,14]]},"issued":{"date-parts":[["2022"]]},"citation-key":"gunay_peptide_2022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343</w:t>
      </w:r>
      <w:r w:rsidRPr="002A7128">
        <w:rPr>
          <w:rFonts w:ascii="Calibri" w:hAnsi="Calibri" w:cs="Calibri"/>
        </w:rPr>
        <w:fldChar w:fldCharType="end"/>
      </w:r>
      <w:r w:rsidRPr="002A7128">
        <w:rPr>
          <w:rFonts w:ascii="Calibri" w:hAnsi="Calibri" w:cs="Calibri"/>
        </w:rPr>
        <w:t xml:space="preserve"> We treated EMT6 spheroids on day 7 for 24h with 0.5 mM [II] peptide in 1% albumin, mitoxantrone 50 mM, and cisplatin 30 mM (near their 50% cell death concentrations for all conditions) and compared the DAMP release profiles. LDH release was significantly (****p&lt;0.0001) higher in [II] peptide and mitoxantrone treated spheroids compared to cisplatin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_Ref105242098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37</w:t>
      </w:r>
      <w:r w:rsidRPr="002A7128">
        <w:rPr>
          <w:rFonts w:ascii="Calibri" w:hAnsi="Calibri" w:cs="Calibri"/>
          <w:b/>
          <w:bCs/>
        </w:rPr>
        <w:fldChar w:fldCharType="end"/>
      </w:r>
      <w:r w:rsidRPr="002A7128">
        <w:rPr>
          <w:rFonts w:ascii="Calibri" w:hAnsi="Calibri" w:cs="Calibri"/>
          <w:b/>
          <w:bCs/>
        </w:rPr>
        <w:t>A)</w:t>
      </w:r>
      <w:r w:rsidRPr="002A7128">
        <w:rPr>
          <w:rFonts w:ascii="Calibri" w:hAnsi="Calibri" w:cs="Calibri"/>
        </w:rPr>
        <w:t xml:space="preserve">, indicative of membrane damage. Next, we analyzed the supernatant of spheroids after 24h treatments for the release of DAMPs. A diverse set of molecules are released upon ICD. The following DAMPs have been shown to contribute to the activation of immune cells: extracellular ATP, nucleic acids, and </w:t>
      </w:r>
      <w:r w:rsidR="001D5403" w:rsidRPr="002A7128">
        <w:rPr>
          <w:rFonts w:ascii="Calibri" w:hAnsi="Calibri" w:cs="Calibri"/>
        </w:rPr>
        <w:t>HMGB-1</w:t>
      </w:r>
      <w:r w:rsidRPr="002A7128">
        <w:rPr>
          <w:rFonts w:ascii="Calibri" w:hAnsi="Calibri" w:cs="Calibri"/>
        </w:rPr>
        <w:t>. Extracellular release of ATP acts on purinergic receptors</w:t>
      </w:r>
      <w:r w:rsidRPr="002A7128">
        <w:rPr>
          <w:rFonts w:ascii="Calibri" w:hAnsi="Calibri" w:cs="Calibri"/>
        </w:rPr>
        <w:fldChar w:fldCharType="begin"/>
      </w:r>
      <w:r w:rsidR="00317E7D" w:rsidRPr="002A7128">
        <w:rPr>
          <w:rFonts w:ascii="Calibri" w:hAnsi="Calibri" w:cs="Calibri"/>
        </w:rPr>
        <w:instrText xml:space="preserve"> ADDIN ZOTERO_ITEM CSL_CITATION {"citationID":"a224ibdp1u7","properties":{"formattedCitation":"\\super 22\\nosupersub{}","plainCitation":"22","noteIndex":0},"citationItems":[{"id":6674,"uris":["http://zotero.org/groups/2667333/items/5CPZ44BT"],"itemData":{"id":6674,"type":"article-journal","abstract":"Chemotherapy, radiation therapy, as well as targeted anticancer agents can induce clinically relevant tumor-targeting immune responses, which critically rely on the antigenicity of malignant cells and their capacity to generate adjuvant signals. In particular, immunogenic cell death (ICD) is accompanied by the exposure and release of numerous damage-associated molecular patterns (DAMPs), which altogether confer a robust adjuvanticity to dying cancer cells, as they favor the recruitment and activation of antigen-presenting cells. ICD-associated DAMPs include surface-exposed calreticulin (CALR) as well as secreted ATP, annexin A1 (ANXA1), type I interferon, and high-mobility group box 1 (HMGB1). Additional hallmarks of ICD encompass the phosphorylation of eukaryotic translation initiation factor 2 subunit-α (EIF2S1, better known as eIF2α), the activation of autophagy, and a global arrest in transcription and translation. Here, we outline methodological approaches for measuring ICD markers in vitro and ex vivo for the discovery of next-generation antineoplastic agents, the development of personalized anticancer regimens, and the identification of optimal therapeutic combinations for the clinical management of cancer.","container-title":"Cell Death &amp; Disease","DOI":"10.1038/s41419-020-03221-2","ISSN":"2041-4889","issue":"11","journalAbbreviation":"Cell Death Dis","language":"en","license":"2020 The Author(s)","note":"number: 11\npublisher: Nature Publishing Group","page":"1-13","source":"www.nature.com","title":"Detection of immunogenic cell death and its relevance for cancer therapy","URL":"https://www.nature.com/articles/s41419-020-03221-2","volume":"11","author":[{"family":"Fucikova","given":"Jitka"},{"family":"Kepp","given":"Oliver"},{"family":"Kasikova","given":"Lenka"},{"family":"Petroni","given":"Giulia"},{"family":"Yamazaki","given":"Takahiro"},{"family":"Liu","given":"Peng"},{"family":"Zhao","given":"Liwei"},{"family":"Spisek","given":"Radek"},{"family":"Kroemer","given":"Guido"},{"family":"Galluzzi","given":"Lorenzo"}],"accessed":{"date-parts":[["2021",6,8]]},"issued":{"date-parts":[["2020",11,26]]},"citation-key":"fucikova_detection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22</w:t>
      </w:r>
      <w:r w:rsidRPr="002A7128">
        <w:rPr>
          <w:rFonts w:ascii="Calibri" w:hAnsi="Calibri" w:cs="Calibri"/>
        </w:rPr>
        <w:fldChar w:fldCharType="end"/>
      </w:r>
      <w:r w:rsidRPr="002A7128">
        <w:rPr>
          <w:rFonts w:ascii="Calibri" w:hAnsi="Calibri" w:cs="Calibri"/>
        </w:rPr>
        <w:t xml:space="preserve"> on DCs to secrete IL-1</w:t>
      </w:r>
      <w:r w:rsidRPr="00CD1007">
        <w:rPr>
          <w:rFonts w:ascii="Symbol" w:hAnsi="Symbol" w:cs="Calibri"/>
        </w:rPr>
        <w:t>b</w:t>
      </w:r>
      <w:r w:rsidRPr="002A7128">
        <w:rPr>
          <w:rFonts w:ascii="Calibri" w:hAnsi="Calibri" w:cs="Calibri"/>
        </w:rPr>
        <w:t xml:space="preserve"> and activate tumor antigen-specific CD8+ T cells, an effect abolished in the absence of purinergic receptors.</w:t>
      </w:r>
      <w:r w:rsidRPr="002A7128">
        <w:rPr>
          <w:rFonts w:ascii="Calibri" w:hAnsi="Calibri" w:cs="Calibri"/>
        </w:rPr>
        <w:fldChar w:fldCharType="begin"/>
      </w:r>
      <w:r w:rsidR="00317E7D" w:rsidRPr="002A7128">
        <w:rPr>
          <w:rFonts w:ascii="Calibri" w:hAnsi="Calibri" w:cs="Calibri"/>
        </w:rPr>
        <w:instrText xml:space="preserve"> ADDIN ZOTERO_ITEM CSL_CITATION {"citationID":"huRbC0D8","properties":{"formattedCitation":"\\super 20\\nosupersub{}","plainCitation":"20","noteIndex":0},"citationItems":[{"id":6657,"uris":["http://zotero.org/groups/2667333/items/KQE4FK7H"],"itemData":{"id":6657,"type":"article-journal","abstract":"Dying tumor cells release ATP, which activates the NLRP3 inflammasome in dendritic cells, enabling the secretion of interleukin-1β and the subsequent priming of tumor-specific interferon-γ-producing T lymphocytes.","container-title":"Nature Medicine","DOI":"10.1038/nm.2028","ISSN":"1546-170X","issue":"10","journalAbbreviation":"Nat Med","language":"en","license":"2009 Nature Publishing Group","note":"number: 10\npublisher: Nature Publishing Group","page":"1170-1178","source":"www.nature.com","title":"Activation of the NLRP3 inflammasome in dendritic cells induces IL-1β–dependent adaptive immunity against tumors","URL":"https://www.nature.com/articles/nm.2028","volume":"15","author":[{"family":"Ghiringhelli","given":"François"},{"family":"Apetoh","given":"Lionel"},{"family":"Tesniere","given":"Antoine"},{"family":"Aymeric","given":"Laetitia"},{"family":"Ma","given":"Yuting"},{"family":"Ortiz","given":"Carla"},{"family":"Vermaelen","given":"Karim"},{"family":"Panaretakis","given":"Theocharis"},{"family":"Mignot","given":"Grégoire"},{"family":"Ullrich","given":"Evelyn"},{"family":"Perfettini","given":"Jean-Luc"},{"family":"Schlemmer","given":"Frédéric"},{"family":"Tasdemir","given":"Ezgi"},{"family":"Uhl","given":"Martin"},{"family":"Génin","given":"Pierre"},{"family":"Civas","given":"Ahmet"},{"family":"Ryffel","given":"Bernhard"},{"family":"Kanellopoulos","given":"Jean"},{"family":"Tschopp","given":"Jürg"},{"family":"André","given":"Fabrice"},{"family":"Lidereau","given":"Rosette"},{"family":"McLaughlin","given":"Nicole M."},{"family":"Haynes","given":"Nicole M."},{"family":"Smyth","given":"Mark J."},{"family":"Kroemer","given":"Guido"},{"family":"Zitvogel","given":"Laurence"}],"accessed":{"date-parts":[["2021",6,8]]},"issued":{"date-parts":[["2009",10]]},"citation-key":"ghiringhelli_activation_2009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20</w:t>
      </w:r>
      <w:r w:rsidRPr="002A7128">
        <w:rPr>
          <w:rFonts w:ascii="Calibri" w:hAnsi="Calibri" w:cs="Calibri"/>
        </w:rPr>
        <w:fldChar w:fldCharType="end"/>
      </w:r>
      <w:r w:rsidRPr="002A7128">
        <w:rPr>
          <w:rFonts w:ascii="Calibri" w:hAnsi="Calibri" w:cs="Calibri"/>
        </w:rPr>
        <w:t xml:space="preserve"> We detected significantly (****p&lt;0.0001) higher extracellular ATP upon [II] treatment compared to chemotherapeutics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_Ref105242098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37</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Mitoxantrone has been shown to induce ATP by some groups</w:t>
      </w:r>
      <w:r w:rsidRPr="002A7128">
        <w:rPr>
          <w:rFonts w:ascii="Calibri" w:hAnsi="Calibri" w:cs="Calibri"/>
        </w:rPr>
        <w:fldChar w:fldCharType="begin"/>
      </w:r>
      <w:r w:rsidR="00317E7D" w:rsidRPr="002A7128">
        <w:rPr>
          <w:rFonts w:ascii="Calibri" w:hAnsi="Calibri" w:cs="Calibri"/>
        </w:rPr>
        <w:instrText xml:space="preserve"> ADDIN ZOTERO_ITEM CSL_CITATION {"citationID":"ar7iv7obpu","properties":{"formattedCitation":"\\super 74,76\\nosupersub{}","plainCitation":"74,76","noteIndex":0},"citationItems":[{"id":9973,"uris":["http://zotero.org/groups/2667333/items/7QQLX9IJ"],"itemData":{"id":9973,"type":"article-journal","container-title":"Cellular Oncology","DOI":"10.1007/s13402-020-00544-2","ISSN":"2211-3428, 2211-3436","issue":"6","journalAbbreviation":"Cell Oncol.","language":"en","page":"1099-1116","source":"DOI.org (Crossref)","title":"Mitoxantrone triggers immunogenic prostate cancer cell death via p53-dependent PERK expression","URL":"https://link.springer.com/10.1007/s13402-020-00544-2","volume":"43","author":[{"family":"Li","given":"Changlin"},{"family":"Sun","given":"Hui"},{"family":"Wei","given":"Wei"},{"family":"Liu","given":"Qiuzi"},{"family":"Wang","given":"Yinglei"},{"family":"Zhang","given":"Ying"},{"family":"Lian","given":"Fuming"},{"family":"Liu","given":"Fangchao"},{"family":"Li","given":"Chenchen"},{"family":"Ying","given":"Kaicheng"},{"family":"Huo","given":"Hang"},{"family":"Qi","given":"Zhi"},{"family":"Li","given":"Benyi"}],"accessed":{"date-parts":[["2022",2,9]]},"issued":{"date-parts":[["2020",12]]},"citation-key":"li_mitoxantrone_2020"}},{"id":9974,"uris":["http://zotero.org/groups/2667333/items/73ZYI7GR"],"itemData":{"id":9974,"type":"article-journal","container-title":"Medical Oncology","DOI":"10.1007/s12032-020-01445-y","ISSN":"1357-0560, 1559-131X","issue":"12","journalAbbreviation":"Med Oncol","language":"en","page":"116","source":"DOI.org (Crossref)","title":"Proteasome inhibitors attenuates mitoxantrone-triggered immunogenic cell death in prostate cancer cells","URL":"http://link.springer.com/10.1007/s12032-020-01445-y","volume":"37","author":[{"family":"Wei","given":"Wei"},{"family":"Li","given":"Haibin"},{"family":"Zhang","given":"Guoan"},{"family":"Zhang","given":"Ying"},{"family":"Wu","given":"Ke"},{"family":"Bao","given":"Rongrong"},{"family":"Wang","given":"Gege"},{"family":"Zheng","given":"Han"},{"family":"Xia","given":"Yong"},{"family":"Li","given":"Changlin"}],"accessed":{"date-parts":[["2022",2,9]]},"issued":{"date-parts":[["2020",12]]},"citation-key":"wei_proteasome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74,76</w:t>
      </w:r>
      <w:r w:rsidRPr="002A7128">
        <w:rPr>
          <w:rFonts w:ascii="Calibri" w:hAnsi="Calibri" w:cs="Calibri"/>
        </w:rPr>
        <w:fldChar w:fldCharType="end"/>
      </w:r>
      <w:r w:rsidRPr="002A7128">
        <w:rPr>
          <w:rFonts w:ascii="Calibri" w:hAnsi="Calibri" w:cs="Calibri"/>
        </w:rPr>
        <w:t>, while others did not detect ATP release at high concentrations.</w:t>
      </w:r>
      <w:r w:rsidRPr="002A7128">
        <w:rPr>
          <w:rFonts w:ascii="Calibri" w:hAnsi="Calibri" w:cs="Calibri"/>
        </w:rPr>
        <w:fldChar w:fldCharType="begin"/>
      </w:r>
      <w:r w:rsidR="00317E7D" w:rsidRPr="002A7128">
        <w:rPr>
          <w:rFonts w:ascii="Calibri" w:hAnsi="Calibri" w:cs="Calibri"/>
        </w:rPr>
        <w:instrText xml:space="preserve"> ADDIN ZOTERO_ITEM CSL_CITATION {"citationID":"YIuNYCoT","properties":{"formattedCitation":"\\super 75\\nosupersub{}","plainCitation":"75","noteIndex":0},"citationItems":[{"id":9239,"uris":["http://zotero.org/groups/2667333/items/IP75GGEY"],"itemData":{"id":9239,"type":"report","abstract":"Inhibition of immune checkpoints has shown promising results in the treatment of certain tumor types. However, the majority of cancers do not respond to immune checkpoint inhibition (ICI) treatment, indicating the need to identify additional modalities that enhance the response to immune checkpoint blockade. In this study, we identified a tumor-tailored approach using ex-vivo DNA damaging chemotherapy-treated tumor cells as a live injured cell adjuvant. Using an optimized ex vivo system for dendritic cellmediated T-cell IFN-γ induction in response to DNA-damaged tumor cells, we identified specific dose-dependent treatments with etoposide and mitoxantrone that markedly enhance IFN-g production by T-cells. Unexpectedly, the immune-enhancing effects of DNA damage failed to correlate with known markers of immunogenic cell death or with the extent of apoptosis or necroptosis. Furthermore, dead tumor cells alone were not sufficient to promote DC cross-presentation and induce IFN-g in T-cells. Instead, the enhanced immunogenicity resided in the fraction of injured cells that remained alive, and required signaling through the RIPK1, NF-kB and p38MAPK pathways. Direct in vivo translation of these findings was accomplished by intra-tumoral injection of ex vivo etoposide-treated tumor cells as an injured cell adjuvant, in combination with systemic anti-PD1/CTLA4 antibodies. This resulted in increased intra-tumoral CD103+ dendritic cells and circulating tumor antigen-specific CD8+ T-cells, leading to enhanced anti-tumor immune responses and improved survival. The effect was abrogated in BATF3-deficient mice indicating that BATF3+ DCs are required for appropriate T-cell stimulation by live but injured DNA-damaged tumor cells. Notably, injection of the free DNA-damaging drug directly into the tumor failed to elicit such an enhanced anti-tumor response as a consequence of simultaneous damage to dendritic cells and T-cells. Finally, the DNA damage induced injured cell adjuvant and systemic ICI combination, but not ICI alone, induced complete tumor regression in a subset of mice who were then able to reject tumor re-challenge, indicating induction of a long-lasting anti-tumor immunological memory by the injured cell adjuvant treatment in vivo.","genre":"preprint","language":"en","note":"DOI: 10.1101/2020.04.26.062216","publisher":"Cancer Biology","source":"DOI.org (Crossref)","title":"The Injury Response to DNA Damage Promotes Anti-Tumor Immunity","URL":"http://biorxiv.org/lookup/doi/10.1101/2020.04.26.062216","author":[{"family":"Sriram","given":"Ganapathy"},{"family":"Milling","given":"Lauren"},{"family":"Chen","given":"Jung-Kuei"},{"family":"Abraham","given":"Wuhbet"},{"family":"Handly","given":"Erika D."},{"family":"Irvine","given":"Darrell J."},{"family":"Yaffe","given":"Michael B."}],"accessed":{"date-parts":[["2021",10,18]]},"issued":{"date-parts":[["2020",4,27]]},"citation-key":"sriram_injury_2020"}}],"schema":"https://github.com/citation-style-language/schema/raw/master/csl-citation.json"}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75</w:t>
      </w:r>
      <w:r w:rsidRPr="002A7128">
        <w:rPr>
          <w:rFonts w:ascii="Calibri" w:hAnsi="Calibri" w:cs="Calibri"/>
        </w:rPr>
        <w:fldChar w:fldCharType="end"/>
      </w:r>
      <w:r w:rsidRPr="002A7128">
        <w:rPr>
          <w:rFonts w:ascii="Calibri" w:hAnsi="Calibri" w:cs="Calibri"/>
        </w:rPr>
        <w:t xml:space="preserve"> We did not detect ATP release upon mitoxantrone treatment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_Ref105242098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37</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The concentration of chemotherapeutics changes their induction of ICD and DAMP release profiles</w:t>
      </w:r>
      <w:r w:rsidRPr="002A7128">
        <w:rPr>
          <w:rFonts w:ascii="Calibri" w:hAnsi="Calibri" w:cs="Calibri"/>
        </w:rPr>
        <w:fldChar w:fldCharType="begin"/>
      </w:r>
      <w:r w:rsidR="00317E7D" w:rsidRPr="002A7128">
        <w:rPr>
          <w:rFonts w:ascii="Calibri" w:hAnsi="Calibri" w:cs="Calibri"/>
        </w:rPr>
        <w:instrText xml:space="preserve"> ADDIN ZOTERO_ITEM CSL_CITATION {"citationID":"al3s2fhme0","properties":{"formattedCitation":"\\super 75\\nosupersub{}","plainCitation":"75","noteIndex":0},"citationItems":[{"id":9239,"uris":["http://zotero.org/groups/2667333/items/IP75GGEY"],"itemData":{"id":9239,"type":"report","abstract":"Inhibition of immune checkpoints has shown promising results in the treatment of certain tumor types. However, the majority of cancers do not respond to immune checkpoint inhibition (ICI) treatment, indicating the need to identify additional modalities that enhance the response to immune checkpoint blockade. In this study, we identified a tumor-tailored approach using ex-vivo DNA damaging chemotherapy-treated tumor cells as a live injured cell adjuvant. Using an optimized ex vivo system for dendritic cellmediated T-cell IFN-γ induction in response to DNA-damaged tumor cells, we identified specific dose-dependent treatments with etoposide and mitoxantrone that markedly enhance IFN-g production by T-cells. Unexpectedly, the immune-enhancing effects of DNA damage failed to correlate with known markers of immunogenic cell death or with the extent of apoptosis or necroptosis. Furthermore, dead tumor cells alone were not sufficient to promote DC cross-presentation and induce IFN-g in T-cells. Instead, the enhanced immunogenicity resided in the fraction of injured cells that remained alive, and required signaling through the RIPK1, NF-kB and p38MAPK pathways. Direct in vivo translation of these findings was accomplished by intra-tumoral injection of ex vivo etoposide-treated tumor cells as an injured cell adjuvant, in combination with systemic anti-PD1/CTLA4 antibodies. This resulted in increased intra-tumoral CD103+ dendritic cells and circulating tumor antigen-specific CD8+ T-cells, leading to enhanced anti-tumor immune responses and improved survival. The effect was abrogated in BATF3-deficient mice indicating that BATF3+ DCs are required for appropriate T-cell stimulation by live but injured DNA-damaged tumor cells. Notably, injection of the free DNA-damaging drug directly into the tumor failed to elicit such an enhanced anti-tumor response as a consequence of simultaneous damage to dendritic cells and T-cells. Finally, the DNA damage induced injured cell adjuvant and systemic ICI combination, but not ICI alone, induced complete tumor regression in a subset of mice who were then able to reject tumor re-challenge, indicating induction of a long-lasting anti-tumor immunological memory by the injured cell adjuvant treatment in vivo.","genre":"preprint","language":"en","note":"DOI: 10.1101/2020.04.26.062216","publisher":"Cancer Biology","source":"DOI.org (Crossref)","title":"The Injury Response to DNA Damage Promotes Anti-Tumor Immunity","URL":"http://biorxiv.org/lookup/doi/10.1101/2020.04.26.062216","author":[{"family":"Sriram","given":"Ganapathy"},{"family":"Milling","given":"Lauren"},{"family":"Chen","given":"Jung-Kuei"},{"family":"Abraham","given":"Wuhbet"},{"family":"Handly","given":"Erika D."},{"family":"Irvine","given":"Darrell J."},{"family":"Yaffe","given":"Michael B."}],"accessed":{"date-parts":[["2021",10,18]]},"issued":{"date-parts":[["2020",4,27]]},"citation-key":"sriram_injury_2020"}}],"schema":"https://github.com/citation-style-language/schema/raw/master/csl-citation.json"}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75</w:t>
      </w:r>
      <w:r w:rsidRPr="002A7128">
        <w:rPr>
          <w:rFonts w:ascii="Calibri" w:hAnsi="Calibri" w:cs="Calibri"/>
        </w:rPr>
        <w:fldChar w:fldCharType="end"/>
      </w:r>
      <w:r w:rsidRPr="002A7128">
        <w:rPr>
          <w:rFonts w:ascii="Calibri" w:hAnsi="Calibri" w:cs="Calibri"/>
        </w:rPr>
        <w:t xml:space="preserve">, therefore, not observing extracellular ATP could be due to the concentration used in our study.  </w:t>
      </w:r>
    </w:p>
    <w:p w14:paraId="1CCC202C" w14:textId="6A5D7020" w:rsidR="001D3D3C" w:rsidRPr="002A7128" w:rsidRDefault="001D3D3C" w:rsidP="00F675B4">
      <w:pPr>
        <w:spacing w:line="480" w:lineRule="auto"/>
        <w:jc w:val="both"/>
        <w:rPr>
          <w:rFonts w:ascii="Calibri" w:hAnsi="Calibri" w:cs="Calibri"/>
        </w:rPr>
      </w:pPr>
      <w:r w:rsidRPr="002A7128">
        <w:rPr>
          <w:rFonts w:ascii="Calibri" w:hAnsi="Calibri" w:cs="Calibri"/>
        </w:rPr>
        <w:t xml:space="preserve">Pattern recognition receptors (PRRs), such as toll-like receptors (TLRs) on immune cells, are specialized to detect different “patterns,” including nucleic acids, critical for inducing an antiviral </w:t>
      </w:r>
      <w:r w:rsidRPr="002A7128">
        <w:rPr>
          <w:rFonts w:ascii="Calibri" w:hAnsi="Calibri" w:cs="Calibri"/>
        </w:rPr>
        <w:lastRenderedPageBreak/>
        <w:t>immune response against DNA and RNA viruses.</w:t>
      </w:r>
      <w:r w:rsidRPr="002A7128">
        <w:rPr>
          <w:rFonts w:ascii="Calibri" w:hAnsi="Calibri" w:cs="Calibri"/>
        </w:rPr>
        <w:fldChar w:fldCharType="begin"/>
      </w:r>
      <w:r w:rsidR="00A64B61" w:rsidRPr="002A7128">
        <w:rPr>
          <w:rFonts w:ascii="Calibri" w:hAnsi="Calibri" w:cs="Calibri"/>
        </w:rPr>
        <w:instrText xml:space="preserve"> ADDIN ZOTERO_ITEM CSL_CITATION {"citationID":"7SVfymDx","properties":{"formattedCitation":"\\super 364\\nosupersub{}","plainCitation":"364","noteIndex":0},"citationItems":[{"id":10010,"uris":["http://zotero.org/groups/2667333/items/5GLGTZ7V"],"itemData":{"id":10010,"type":"article-journal","container-title":"Immunobiology","DOI":"10.1016/j.imbio.2007.09.007","ISSN":"01712985","issue":"9-10","journalAbbreviation":"Immunobiology","language":"en","page":"701-714","source":"DOI.org (Crossref)","title":"The role of viral nucleic acid recognition in dendritic cells for innate and adaptive antiviral immunity","URL":"https://linkinghub.elsevier.com/retrieve/pii/S017129850700112X","volume":"212","author":[{"family":"Eisenächer","given":"Katharina"},{"family":"Steinberg","given":"Christian"},{"family":"Reindl","given":"Wolfgang"},{"family":"Krug","given":"Anne"}],"accessed":{"date-parts":[["2022",2,13]]},"issued":{"date-parts":[["2008",1]]},"citation-key":"eisenacher_role_2008"}}],"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364</w:t>
      </w:r>
      <w:r w:rsidRPr="002A7128">
        <w:rPr>
          <w:rFonts w:ascii="Calibri" w:hAnsi="Calibri" w:cs="Calibri"/>
        </w:rPr>
        <w:fldChar w:fldCharType="end"/>
      </w:r>
      <w:r w:rsidRPr="002A7128">
        <w:rPr>
          <w:rFonts w:ascii="Calibri" w:hAnsi="Calibri" w:cs="Calibri"/>
        </w:rPr>
        <w:t xml:space="preserve"> Nucleic acids initiate a robust type I interferon response, crucial for anti-tumor immunity.</w:t>
      </w:r>
      <w:r w:rsidRPr="002A7128">
        <w:rPr>
          <w:rFonts w:ascii="Calibri" w:hAnsi="Calibri" w:cs="Calibri"/>
        </w:rPr>
        <w:fldChar w:fldCharType="begin"/>
      </w:r>
      <w:r w:rsidR="00A64B61" w:rsidRPr="002A7128">
        <w:rPr>
          <w:rFonts w:ascii="Calibri" w:hAnsi="Calibri" w:cs="Calibri"/>
        </w:rPr>
        <w:instrText xml:space="preserve"> ADDIN ZOTERO_ITEM CSL_CITATION {"citationID":"abfdj0187b","properties":{"formattedCitation":"\\super 365\\nosupersub{}","plainCitation":"365","noteIndex":0},"citationItems":[{"id":10529,"uris":["http://zotero.org/groups/2667333/items/XEF5TUP7"],"itemData":{"id":10529,"type":"article-journal","container-title":"Nature Medicine","DOI":"10.1038/nm.3708","ISSN":"1078-8956, 1546-170X","issue":"11","journalAbbreviation":"Nat Med","language":"en","page":"1301-1309","source":"DOI.org (Crossref)","title":"Cancer cell–autonomous contribution of type I interferon signaling to the efficacy of chemotherapy","URL":"http://www.nature.com/articles/nm.3708","volume":"20","author":[{"family":"Sistigu","given":"Antonella"},{"family":"Yamazaki","given":"Takahiro"},{"family":"Vacchelli","given":"Erika"},{"family":"Chaba","given":"Kariman"},{"family":"Enot","given":"David P"},{"family":"Adam","given":"Julien"},{"family":"Vitale","given":"Ilio"},{"family":"Goubar","given":"Aicha"},{"family":"Baracco","given":"Elisa E"},{"family":"Remédios","given":"Catarina"},{"family":"Fend","given":"Laetitia"},{"family":"Hannani","given":"Dalil"},{"family":"Aymeric","given":"Laetitia"},{"family":"Ma","given":"Yuting"},{"family":"Niso-Santano","given":"Mireia"},{"family":"Kepp","given":"Oliver"},{"family":"Schultze","given":"Joachim L"},{"family":"Tüting","given":"Thomas"},{"family":"Belardelli","given":"Filippo"},{"family":"Bracci","given":"Laura"},{"family":"La Sorsa","given":"Valentina"},{"family":"Ziccheddu","given":"Giovanna"},{"family":"Sestili","given":"Paola"},{"family":"Urbani","given":"Francesca"},{"family":"Delorenzi","given":"Mauro"},{"family":"Lacroix-Triki","given":"Magali"},{"family":"Quidville","given":"Virginie"},{"family":"Conforti","given":"Rosa"},{"family":"Spano","given":"Jean-Philippe"},{"family":"Pusztai","given":"Lajos"},{"family":"Poirier-Colame","given":"Vichnou"},{"family":"Delaloge","given":"Suzette"},{"family":"Penault-Llorca","given":"Frederique"},{"family":"Ladoire","given":"Sylvain"},{"family":"Arnould","given":"Laurent"},{"family":"Cyrta","given":"Joanna"},{"family":"Dessoliers","given":"Marie-Charlotte"},{"family":"Eggermont","given":"Alexander"},{"family":"Bianchi","given":"Marco E"},{"family":"Pittet","given":"Mikael"},{"family":"Engblom","given":"Camilla"},{"family":"Pfirschke","given":"Christina"},{"family":"Préville","given":"Xavier"},{"family":"Uzè","given":"Gilles"},{"family":"Schreiber","given":"Robert D"},{"family":"Chow","given":"Melvyn T"},{"family":"Smyth","given":"Mark J"},{"family":"Proietti","given":"Enrico"},{"family":"André","given":"Fabrice"},{"family":"Kroemer","given":"Guido"},{"family":"Zitvogel","given":"Laurence"}],"accessed":{"date-parts":[["2022",5,11]]},"issued":{"date-parts":[["2014",11]]},"citation-key":"sistigu_cancer_2014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365</w:t>
      </w:r>
      <w:r w:rsidRPr="002A7128">
        <w:rPr>
          <w:rFonts w:ascii="Calibri" w:hAnsi="Calibri" w:cs="Calibri"/>
        </w:rPr>
        <w:fldChar w:fldCharType="end"/>
      </w:r>
      <w:r w:rsidRPr="002A7128">
        <w:rPr>
          <w:rFonts w:ascii="Calibri" w:hAnsi="Calibri" w:cs="Calibri"/>
        </w:rPr>
        <w:t xml:space="preserve"> Specifically, double-stranded DNA (dsDNA) has been shown to increase the expression of genes in DCs responsible for antigen processing and presentation.</w:t>
      </w:r>
      <w:r w:rsidRPr="002A7128">
        <w:rPr>
          <w:rFonts w:ascii="Calibri" w:hAnsi="Calibri" w:cs="Calibri"/>
        </w:rPr>
        <w:fldChar w:fldCharType="begin"/>
      </w:r>
      <w:r w:rsidR="00A64B61" w:rsidRPr="002A7128">
        <w:rPr>
          <w:rFonts w:ascii="Calibri" w:hAnsi="Calibri" w:cs="Calibri"/>
        </w:rPr>
        <w:instrText xml:space="preserve"> ADDIN ZOTERO_ITEM CSL_CITATION {"citationID":"JNPAep8J","properties":{"formattedCitation":"\\super 366\\nosupersub{}","plainCitation":"366","noteIndex":0},"citationItems":[{"id":10012,"uris":["http://zotero.org/groups/2667333/items/FASS55MV"],"itemData":{"id":10012,"type":"article-journal","container-title":"Proceedings of the National Academy of Sciences","DOI":"10.1073/pnas.96.5.2285","ISSN":"0027-8424, 1091-6490","issue":"5","journalAbbreviation":"Proceedings of the National Academy of Sciences","language":"en","page":"2285-2290","source":"DOI.org (Crossref)","title":"Activation of target-tissue immune-recognition molecules by double-stranded polynucleotides","URL":"http://www.pnas.org/cgi/doi/10.1073/pnas.96.5.2285","volume":"96","author":[{"family":"Suzuki","given":"K."},{"family":"Mori","given":"A."},{"family":"Ishii","given":"K. J."},{"family":"Saito","given":"J."},{"family":"Singer","given":"D. S."},{"family":"Klinman","given":"D. M."},{"family":"Krause","given":"P. R."},{"family":"Kohn","given":"L. D."}],"accessed":{"date-parts":[["2022",2,13]]},"issued":{"date-parts":[["1999",3,2]]},"citation-key":"suzuki_activation_1999"}}],"schema":"https://github.com/citation-style-language/schema/raw/master/csl-citation.json"}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366</w:t>
      </w:r>
      <w:r w:rsidRPr="002A7128">
        <w:rPr>
          <w:rFonts w:ascii="Calibri" w:hAnsi="Calibri" w:cs="Calibri"/>
        </w:rPr>
        <w:fldChar w:fldCharType="end"/>
      </w:r>
      <w:r w:rsidRPr="002A7128">
        <w:rPr>
          <w:rFonts w:ascii="Calibri" w:hAnsi="Calibri" w:cs="Calibri"/>
        </w:rPr>
        <w:t xml:space="preserve"> We detected significantly higher dsDNA release upon [II] treatment compared to chemotherapeutics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_Ref105242098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37</w:t>
      </w:r>
      <w:r w:rsidRPr="002A7128">
        <w:rPr>
          <w:rFonts w:ascii="Calibri" w:hAnsi="Calibri" w:cs="Calibri"/>
          <w:b/>
          <w:bCs/>
        </w:rPr>
        <w:fldChar w:fldCharType="end"/>
      </w:r>
      <w:r w:rsidRPr="002A7128">
        <w:rPr>
          <w:rFonts w:ascii="Calibri" w:hAnsi="Calibri" w:cs="Calibri"/>
          <w:b/>
          <w:bCs/>
        </w:rPr>
        <w:t>C)</w:t>
      </w:r>
      <w:r w:rsidRPr="002A7128">
        <w:rPr>
          <w:rFonts w:ascii="Calibri" w:hAnsi="Calibri" w:cs="Calibri"/>
        </w:rPr>
        <w:t>. Cisplatin also induced dsDNA release, possibly due to its role in inducing double-strand DNA breaks.</w:t>
      </w:r>
      <w:r w:rsidRPr="002A7128">
        <w:rPr>
          <w:rFonts w:ascii="Calibri" w:hAnsi="Calibri" w:cs="Calibri"/>
        </w:rPr>
        <w:fldChar w:fldCharType="begin"/>
      </w:r>
      <w:r w:rsidR="00A64B61" w:rsidRPr="002A7128">
        <w:rPr>
          <w:rFonts w:ascii="Calibri" w:hAnsi="Calibri" w:cs="Calibri"/>
        </w:rPr>
        <w:instrText xml:space="preserve"> ADDIN ZOTERO_ITEM CSL_CITATION {"citationID":"FpV9ZzJM","properties":{"formattedCitation":"\\super 367\\nosupersub{}","plainCitation":"367","noteIndex":0},"citationItems":[{"id":10014,"uris":["http://zotero.org/groups/2667333/items/KY6URUML"],"itemData":{"id":10014,"type":"article-journal","abstract":"Abstract\n            \n              Background\n              The homologous recombination (HR) pathway is involved in DNA damage response (DDR), which is crucial to cancer cell survival after treatment with DNA damage agents. O6-methylguanine DNA methyltransferase (MGMT) is associated with cisplatin (CDDP) resistance in cancer cells; however, the underlying mechanisms remain unclear. Here, we explored the interactions between MGMT and the HR pathway in CDDP-activated DDR and their clinical implications in nasopharyngeal carcinoma (NPC).\n            \n            \n              Methods\n              Human NPC cells were assessed using loss-of-function approaches in vitro. The expression correlations between MGMT and major proteins of the HR pathway were analyzed through Western blotting, quantitative real-time PCR, and bioinformatic analysis by using a public database. The physical interactions between MGMT and HR proteins were studied using co-immunoprecipitation and immunofluorescence analyses. Cell comet tails and γ-H2AX expression levels were examined to evaluate double-strand break (DSB) formation. Established immunofluorescence and reporter analyses were conducted to measure HR activity. Xenograft and cell viability studies were used to assess the therapeutic potential of MGMT inhibition in combination with CDDP and poly(ADP-ribose) polymerase (PARP) inhibitor, respectively.\n            \n            \n              Results\n              \n                Among major proteins of the HR pathway, MGMT suppression inhibited CDDP-induced\n                RAD51\n                expression. Bioinformatic analyses showed a positive correlation between\n                MGMT\n                and\n                RAD51\n                expression in patients with NPC. Moreover, MGMT physically interacted with BRCA1 and regulated CDDP-induced BRCA1 phosphorylation (ser 988). In functional assays, MGMT inhibition increased CDDP-induced DSB formation through attenuation of HR activity. NPC xenograft studies demonstrated that MGMT inhibition combined with CDDP treatment reduced tumor size and downregulated RAD51 expression and BRCA1 phosphorylation. Furthermore, MGMT suppression increased PARP inhibitor–induced cell death and DSB formation in NPC cells.\n              \n            \n            \n              Conclusion\n              MGMT is crucial in the activation of the HR pathway and regulates DDR in NPC cells treated with CDDP and PARP inhibitor. Thus, MGMT is a promising therapeutic target for cancer treatments involving HR-associated DDR.","container-title":"Journal of Biomedical Science","DOI":"10.1186/s12929-020-00699-y","ISSN":"1423-0127","issue":"1","journalAbbreviation":"J Biomed Sci","language":"en","page":"2","source":"DOI.org (Crossref)","title":"O6-methylguanine-DNA methyltransferase modulates cisplatin-induced DNA double-strand breaks by targeting the homologous recombination pathway in nasopharyngeal carcinoma","URL":"https://jbiomedsci.biomedcentral.com/articles/10.1186/s12929-020-00699-y","volume":"28","author":[{"family":"Chen","given":"Shang-Hung"},{"family":"Huang","given":"Wen-Tsung"},{"family":"Kao","given":"Wan-Chen"},{"family":"Hsiao","given":"Sheng-Yen"},{"family":"Pan","given":"Hsin-Yi"},{"family":"Fang","given":"Chin-Wen"},{"family":"Shiue","given":"Yow-Ling"},{"family":"Chou","given":"Chia-Lin"},{"family":"Li","given":"Chien-Feng"}],"accessed":{"date-parts":[["2022",2,13]]},"issued":{"date-parts":[["2021",12]]},"citation-key":"chen_o6-methylguanine-dna_2021"}}],"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367</w:t>
      </w:r>
      <w:r w:rsidRPr="002A7128">
        <w:rPr>
          <w:rFonts w:ascii="Calibri" w:hAnsi="Calibri" w:cs="Calibri"/>
        </w:rPr>
        <w:fldChar w:fldCharType="end"/>
      </w:r>
      <w:r w:rsidRPr="002A7128">
        <w:rPr>
          <w:rFonts w:ascii="Calibri" w:hAnsi="Calibri" w:cs="Calibri"/>
        </w:rPr>
        <w:t xml:space="preserve"> HMGB-1 is a nuclear protein released in ICD. Extracellularly, it can engage TLR4 and receptor for advanced glycation end products (RAGE) and stimulate pro-inflammatory cytokine production.</w:t>
      </w:r>
      <w:r w:rsidRPr="002A7128">
        <w:rPr>
          <w:rFonts w:ascii="Calibri" w:hAnsi="Calibri" w:cs="Calibri"/>
        </w:rPr>
        <w:fldChar w:fldCharType="begin"/>
      </w:r>
      <w:r w:rsidR="00317E7D" w:rsidRPr="002A7128">
        <w:rPr>
          <w:rFonts w:ascii="Calibri" w:hAnsi="Calibri" w:cs="Calibri"/>
        </w:rPr>
        <w:instrText xml:space="preserve"> ADDIN ZOTERO_ITEM CSL_CITATION {"citationID":"ahm09o34mr","properties":{"formattedCitation":"\\super 25\\nosupersub{}","plainCitation":"25","noteIndex":0},"citationItems":[{"id":10524,"uris":["http://zotero.org/groups/2667333/items/5GXMXBJD"],"itemData":{"id":10524,"type":"article-journal","container-title":"Frontiers in Immunology","DOI":"10.3389/fimmu.2020.00484","ISSN":"1664-3224","journalAbbreviation":"Front. Immunol.","page":"484","source":"DOI.org (Crossref)","title":"Targeting Inflammation Driven by HMGB1","URL":"https://www.frontiersin.org/article/10.3389/fimmu.2020.00484/full","volume":"11","author":[{"family":"Yang","given":"Huan"},{"family":"Wang","given":"Haichao"},{"family":"Andersson","given":"Ulf"}],"accessed":{"date-parts":[["2022",5,10]]},"issued":{"date-parts":[["2020",3,20]]},"citation-key":"yang_targeting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25</w:t>
      </w:r>
      <w:r w:rsidRPr="002A7128">
        <w:rPr>
          <w:rFonts w:ascii="Calibri" w:hAnsi="Calibri" w:cs="Calibri"/>
        </w:rPr>
        <w:fldChar w:fldCharType="end"/>
      </w:r>
      <w:r w:rsidRPr="002A7128">
        <w:rPr>
          <w:rFonts w:ascii="Calibri" w:hAnsi="Calibri" w:cs="Calibri"/>
        </w:rPr>
        <w:t xml:space="preserve"> We detected higher levels of HMGB-1 in the extracellular matrix of spheroids treated with [II] compared to chemotherapeutics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_Ref105242098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37</w:t>
      </w:r>
      <w:r w:rsidRPr="002A7128">
        <w:rPr>
          <w:rFonts w:ascii="Calibri" w:hAnsi="Calibri" w:cs="Calibri"/>
          <w:b/>
          <w:bCs/>
        </w:rPr>
        <w:fldChar w:fldCharType="end"/>
      </w:r>
      <w:r w:rsidRPr="002A7128">
        <w:rPr>
          <w:rFonts w:ascii="Calibri" w:hAnsi="Calibri" w:cs="Calibri"/>
          <w:b/>
          <w:bCs/>
        </w:rPr>
        <w:t>D)</w:t>
      </w:r>
      <w:r w:rsidRPr="002A7128">
        <w:rPr>
          <w:rFonts w:ascii="Calibri" w:hAnsi="Calibri" w:cs="Calibri"/>
        </w:rPr>
        <w:t xml:space="preserve">. Together, [II] aggregation-induced the release of ATP, dsDNA, and HMGB-1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_Ref105242098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37</w:t>
      </w:r>
      <w:r w:rsidRPr="002A7128">
        <w:rPr>
          <w:rFonts w:ascii="Calibri" w:hAnsi="Calibri" w:cs="Calibri"/>
          <w:b/>
          <w:bCs/>
        </w:rPr>
        <w:fldChar w:fldCharType="end"/>
      </w:r>
      <w:r w:rsidRPr="002A7128">
        <w:rPr>
          <w:rFonts w:ascii="Calibri" w:hAnsi="Calibri" w:cs="Calibri"/>
          <w:b/>
          <w:bCs/>
        </w:rPr>
        <w:t>E)</w:t>
      </w:r>
      <w:r w:rsidRPr="002A7128">
        <w:rPr>
          <w:rFonts w:ascii="Calibri" w:hAnsi="Calibri" w:cs="Calibri"/>
        </w:rPr>
        <w:t xml:space="preserve"> and was superior in terms of type and amount to chemotherapeutic drugs.</w:t>
      </w:r>
    </w:p>
    <w:p w14:paraId="5DFB0BAE" w14:textId="7ADF36E4" w:rsidR="001D3D3C" w:rsidRPr="002A7128" w:rsidRDefault="001D3D3C" w:rsidP="00F675B4">
      <w:pPr>
        <w:spacing w:line="480" w:lineRule="auto"/>
        <w:jc w:val="both"/>
        <w:rPr>
          <w:rFonts w:ascii="Calibri" w:hAnsi="Calibri" w:cs="Calibri"/>
        </w:rPr>
      </w:pPr>
      <w:r w:rsidRPr="002A7128">
        <w:rPr>
          <w:rFonts w:ascii="Calibri" w:hAnsi="Calibri" w:cs="Calibri"/>
        </w:rPr>
        <w:t>The effects of individual DAMPs on immune cells and their receptor interactions have been studied extensively. However, recent studies highlight the synergistic effects of DAMPs on the activation of immune cells. Silencing HMGB-1 only partially reduced the protective capacity of oxaliplatin-induced ICD in a prophylactic vaccination model.</w:t>
      </w:r>
      <w:r w:rsidRPr="002A7128">
        <w:rPr>
          <w:rFonts w:ascii="Calibri" w:hAnsi="Calibri" w:cs="Calibri"/>
        </w:rPr>
        <w:fldChar w:fldCharType="begin"/>
      </w:r>
      <w:r w:rsidR="00317E7D" w:rsidRPr="002A7128">
        <w:rPr>
          <w:rFonts w:ascii="Calibri" w:hAnsi="Calibri" w:cs="Calibri"/>
        </w:rPr>
        <w:instrText xml:space="preserve"> ADDIN ZOTERO_ITEM CSL_CITATION {"citationID":"a34mkgie78","properties":{"formattedCitation":"\\super 46\\nosupersub{}","plainCitation":"46","noteIndex":0},"citationItems":[{"id":9987,"uris":["http://zotero.org/groups/2667333/items/UZR9IXT3"],"itemData":{"id":9987,"type":"article-journal","container-title":"Oncogene","DOI":"10.1038/onc.2009.356","ISSN":"0950-9232,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46</w:t>
      </w:r>
      <w:r w:rsidRPr="002A7128">
        <w:rPr>
          <w:rFonts w:ascii="Calibri" w:hAnsi="Calibri" w:cs="Calibri"/>
        </w:rPr>
        <w:fldChar w:fldCharType="end"/>
      </w:r>
      <w:r w:rsidRPr="002A7128">
        <w:rPr>
          <w:rFonts w:ascii="Calibri" w:hAnsi="Calibri" w:cs="Calibri"/>
        </w:rPr>
        <w:t xml:space="preserve"> The presence of ATP and HMGB-1 release in the early stage of ferroptosis was protective, while depletion of ATP at the late stage abolished this protection in a prophylactic vaccination model.</w:t>
      </w:r>
      <w:r w:rsidRPr="002A7128">
        <w:rPr>
          <w:rFonts w:ascii="Calibri" w:hAnsi="Calibri" w:cs="Calibri"/>
        </w:rPr>
        <w:fldChar w:fldCharType="begin"/>
      </w:r>
      <w:r w:rsidR="00317E7D" w:rsidRPr="002A7128">
        <w:rPr>
          <w:rFonts w:ascii="Calibri" w:hAnsi="Calibri" w:cs="Calibri"/>
        </w:rPr>
        <w:instrText xml:space="preserve"> ADDIN ZOTERO_ITEM CSL_CITATION {"citationID":"a29m1s7h1hv","properties":{"formattedCitation":"\\super 51\\nosupersub{}","plainCitation":"51","noteIndex":0},"citationItems":[{"id":9877,"uris":["http://zotero.org/groups/2667333/items/AJSMBY7R"],"itemData":{"id":9877,"type":"article-journal","abstract":"Background\n              Immunotherapy represents the future of clinical cancer treatment. The type of cancer cell death determines the antitumor immune response and thereby contributes to the efficacy of anticancer therapy and long-term survival of patients. Induction of immunogenic apoptosis or necroptosis in cancer cells does activate antitumor immunity, but resistance to these cell death modalities is common. Therefore, it is of great importance to find other ways to kill tumor cells. Recently, ferroptosis has been identified as a novel, iron-dependent form of regulated cell death but whether ferroptotic cancer cells are immunogenic is unknown.\n            \n            \n              Methods\n              \n                Ferroptotic cell death in murine fibrosarcoma MCA205 or glioma GL261 cells was induced by RAS-selective lethal 3 and ferroptosis was analyzed by flow cytometry, atomic force and confocal microscopy. ATP and high-mobility group box 1 (HMGB1) release were detected by luminescence and ELISA assays, respectively. Immunogenicity in vitro was analyzed by coculturing of ferroptotic cancer cells with bone-marrow derived dendritic cells (BMDCs) and rate of phagocytosis and activation/maturation of BMDCs (CD11c\n                +\n                CD86\n                +\n                , CD11c\n                +\n                CD40\n                +\n                , CD11c\n                +\n                MHCII\n                +\n                , IL-6, RNAseq analysis). The tumor prophylactic vaccination model in immune-competent and immune compromised (Rag-2\n                −/−\n                ) mice was used to analyze ferroptosis immunogenicity.\n              \n            \n            \n              Results\n              \n                Ferroptosis can be induced in cancer cells by inhibition of glutathione peroxidase 4, as evidenced by confocal and atomic force microscopy and inhibitors’ analysis. We demonstrate for the first time that ferroptosis is immunogenic in vitro and in vivo. Early, but not late, ferroptotic cells promote the phenotypic maturation of BMDCs and elicit a vaccination-like effect in immune-competent mice but not in Rag-2\n                −/−\n                mice, suggesting that the mechanism of immunogenicity is very tightly regulated by the adaptive immune system and is time dependent. Also, ATP and HMGB1, the best-characterized damage-associated molecular patterns involved in immunogenic cell death, have proven to be passively released along the timeline of ferroptosis and act as immunogenic signal associated with the immunogenicity of early ferroptotic cancer cells.\n              \n            \n            \n              Conclusions\n              These results pave the way for the development of new therapeutic strategies for cancers based on induction of ferroptosis, and thus broadens the current concept of immunogenic cell death and opens the door for the development of new strategies in cancer immunotherapy.","container-title":"Journal for ImmunoTherapy of Cancer","DOI":"10.1136/jitc-2020-001369","ISSN":"2051-1426","issue":"2","journalAbbreviation":"J Immunother Cancer","language":"en","page":"e001369","source":"DOI.org (Crossref)","title":"Vaccination with early ferroptotic cancer cells induces efficient antitumor immunity","URL":"https://jitc.bmj.com/lookup/doi/10.1136/jitc-2020-001369","volume":"8","author":[{"family":"Efimova","given":"Iuliia"},{"family":"Catanzaro","given":"Elena"},{"family":"Van der Meeren","given":"Louis"},{"family":"Turubanova","given":"Victoria D"},{"family":"Hammad","given":"Hamida"},{"family":"Mishchenko","given":"Tatiana A"},{"family":"Vedunova","given":"Maria V"},{"family":"Fimognari","given":"Carmela"},{"family":"Bachert","given":"Claus"},{"family":"Coppieters","given":"Frauke"},{"family":"Lefever","given":"Steve"},{"family":"Skirtach","given":"Andre G"},{"family":"Krysko","given":"Olga"},{"family":"Krysko","given":"Dmitri V"}],"accessed":{"date-parts":[["2022",1,6]]},"issued":{"date-parts":[["2020",11]]},"citation-key":"efimova_vaccination_2020"}}],"schema":"https://github.com/citation-style-language/schema/raw/master/csl-citation.json"}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51</w:t>
      </w:r>
      <w:r w:rsidRPr="002A7128">
        <w:rPr>
          <w:rFonts w:ascii="Calibri" w:hAnsi="Calibri" w:cs="Calibri"/>
        </w:rPr>
        <w:fldChar w:fldCharType="end"/>
      </w:r>
      <w:r w:rsidRPr="002A7128">
        <w:rPr>
          <w:rFonts w:ascii="Calibri" w:hAnsi="Calibri" w:cs="Calibri"/>
        </w:rPr>
        <w:t xml:space="preserve"> Given that DAMPs act synergistically, [II] aggregation-induced DAMP release profile is promising for activating innate immune cells such as DCs.</w:t>
      </w:r>
    </w:p>
    <w:p w14:paraId="719AB5EA" w14:textId="524E665C" w:rsidR="001D3D3C" w:rsidRPr="002A7128" w:rsidRDefault="001D3D3C" w:rsidP="00F675B4">
      <w:pPr>
        <w:spacing w:line="480" w:lineRule="auto"/>
        <w:rPr>
          <w:rFonts w:ascii="Calibri" w:hAnsi="Calibri" w:cs="Calibri"/>
        </w:rPr>
      </w:pPr>
    </w:p>
    <w:p w14:paraId="24B9B1CA" w14:textId="02E6481C" w:rsidR="001D3D3C" w:rsidRPr="002A7128" w:rsidRDefault="001D3D3C" w:rsidP="00F675B4">
      <w:pPr>
        <w:spacing w:line="480" w:lineRule="auto"/>
        <w:rPr>
          <w:rFonts w:ascii="Calibri" w:hAnsi="Calibri" w:cs="Calibri"/>
        </w:rPr>
      </w:pPr>
    </w:p>
    <w:p w14:paraId="45C7B90B" w14:textId="77777777" w:rsidR="001D3D3C" w:rsidRPr="002A7128" w:rsidRDefault="001D3D3C"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383A90C0" wp14:editId="6EBC76A0">
            <wp:extent cx="5696465" cy="3146507"/>
            <wp:effectExtent l="0" t="0" r="6350" b="3175"/>
            <wp:docPr id="29" name="Picture 2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03274" cy="3150268"/>
                    </a:xfrm>
                    <a:prstGeom prst="rect">
                      <a:avLst/>
                    </a:prstGeom>
                  </pic:spPr>
                </pic:pic>
              </a:graphicData>
            </a:graphic>
          </wp:inline>
        </w:drawing>
      </w:r>
    </w:p>
    <w:p w14:paraId="36B65E8B" w14:textId="60BD002E" w:rsidR="000711C0" w:rsidRPr="002A7128" w:rsidRDefault="001D3D3C" w:rsidP="001752A2">
      <w:pPr>
        <w:pStyle w:val="Caption"/>
        <w:spacing w:line="480" w:lineRule="auto"/>
        <w:jc w:val="both"/>
        <w:rPr>
          <w:rFonts w:ascii="Calibri" w:hAnsi="Calibri" w:cs="Calibri"/>
          <w:i w:val="0"/>
          <w:iCs w:val="0"/>
          <w:color w:val="000000" w:themeColor="text1"/>
          <w:sz w:val="24"/>
          <w:szCs w:val="24"/>
        </w:rPr>
      </w:pPr>
      <w:bookmarkStart w:id="197" w:name="_Ref105242098"/>
      <w:bookmarkStart w:id="198" w:name="_Toc120789455"/>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37</w:t>
      </w:r>
      <w:r w:rsidRPr="002A7128">
        <w:rPr>
          <w:rFonts w:ascii="Calibri" w:hAnsi="Calibri" w:cs="Calibri"/>
          <w:b/>
          <w:bCs/>
          <w:i w:val="0"/>
          <w:iCs w:val="0"/>
          <w:color w:val="000000" w:themeColor="text1"/>
          <w:sz w:val="24"/>
          <w:szCs w:val="24"/>
        </w:rPr>
        <w:fldChar w:fldCharType="end"/>
      </w:r>
      <w:bookmarkEnd w:id="197"/>
      <w:r w:rsidRPr="002A7128">
        <w:rPr>
          <w:rFonts w:ascii="Calibri" w:hAnsi="Calibri" w:cs="Calibri"/>
          <w:b/>
          <w:bCs/>
          <w:i w:val="0"/>
          <w:iCs w:val="0"/>
          <w:color w:val="000000" w:themeColor="text1"/>
          <w:sz w:val="24"/>
          <w:szCs w:val="24"/>
        </w:rPr>
        <w:t xml:space="preserve"> DAMP release from EMT6 spheroids.</w:t>
      </w:r>
      <w:r w:rsidRPr="002A7128">
        <w:rPr>
          <w:rFonts w:ascii="Calibri" w:hAnsi="Calibri" w:cs="Calibri"/>
          <w:i w:val="0"/>
          <w:iCs w:val="0"/>
          <w:color w:val="000000" w:themeColor="text1"/>
          <w:sz w:val="24"/>
          <w:szCs w:val="24"/>
        </w:rPr>
        <w:t xml:space="preserve"> A. Release of LDH, B. Extracellular ATP, C. dsDNA, and D. HMGB-1 after [II], mitoxantrone, and cisplatin treatment at 24h. E. Schematic represents the DAMPs released by [II] aggregation. Statistical analysis was done with one-way ANOVA test; data are mean ± SD, **p&lt;0.01, ***p&lt;0.001, ****p&lt;0.0001.</w:t>
      </w:r>
      <w:bookmarkEnd w:id="198"/>
    </w:p>
    <w:p w14:paraId="0D55BCA9" w14:textId="77777777" w:rsidR="000711C0" w:rsidRPr="002A7128" w:rsidRDefault="000711C0" w:rsidP="00F675B4">
      <w:pPr>
        <w:spacing w:line="480" w:lineRule="auto"/>
        <w:rPr>
          <w:rFonts w:ascii="Calibri" w:hAnsi="Calibri" w:cs="Calibri"/>
          <w:i/>
          <w:iCs/>
          <w:color w:val="000000" w:themeColor="text1"/>
          <w:sz w:val="18"/>
          <w:szCs w:val="18"/>
        </w:rPr>
      </w:pPr>
    </w:p>
    <w:p w14:paraId="7C0DE1A7" w14:textId="7E022EC8" w:rsidR="001D3D3C" w:rsidRPr="002A7128" w:rsidRDefault="001D3D3C">
      <w:pPr>
        <w:pStyle w:val="Heading2"/>
        <w:numPr>
          <w:ilvl w:val="3"/>
          <w:numId w:val="9"/>
        </w:numPr>
        <w:spacing w:line="480" w:lineRule="auto"/>
        <w:rPr>
          <w:rFonts w:ascii="Calibri" w:hAnsi="Calibri" w:cs="Calibri"/>
        </w:rPr>
      </w:pPr>
      <w:bookmarkStart w:id="199" w:name="_Toc120794220"/>
      <w:r w:rsidRPr="002A7128">
        <w:rPr>
          <w:rFonts w:ascii="Calibri" w:hAnsi="Calibri" w:cs="Calibri"/>
        </w:rPr>
        <w:t>[II] peptide aggregation-induced DAMP release activates BMDCs</w:t>
      </w:r>
      <w:bookmarkEnd w:id="199"/>
    </w:p>
    <w:p w14:paraId="4A6513AF" w14:textId="40410195" w:rsidR="001D3D3C" w:rsidRPr="002A7128" w:rsidRDefault="001D3D3C" w:rsidP="00F675B4">
      <w:pPr>
        <w:spacing w:line="480" w:lineRule="auto"/>
        <w:jc w:val="both"/>
        <w:rPr>
          <w:rFonts w:ascii="Calibri" w:hAnsi="Calibri" w:cs="Calibri"/>
        </w:rPr>
      </w:pPr>
      <w:r w:rsidRPr="002A7128">
        <w:rPr>
          <w:rFonts w:ascii="Calibri" w:hAnsi="Calibri" w:cs="Calibri"/>
        </w:rPr>
        <w:t>One of the most important cell types within the TME is DCs. Their proper activation is crucial for initiating antigen-specific adaptive immunity. A diverse set of pattern recognition receptors on DCs recognize DAMPs.</w:t>
      </w:r>
      <w:r w:rsidRPr="002A7128">
        <w:rPr>
          <w:rFonts w:ascii="Calibri" w:hAnsi="Calibri" w:cs="Calibri"/>
        </w:rPr>
        <w:fldChar w:fldCharType="begin"/>
      </w:r>
      <w:r w:rsidR="00317E7D" w:rsidRPr="002A7128">
        <w:rPr>
          <w:rFonts w:ascii="Calibri" w:hAnsi="Calibri" w:cs="Calibri"/>
        </w:rPr>
        <w:instrText xml:space="preserve"> ADDIN ZOTERO_ITEM CSL_CITATION {"citationID":"pL6yW3Zh","properties":{"formattedCitation":"\\super 163\\nosupersub{}","plainCitation":"163","noteIndex":0},"citationItems":[{"id":6673,"uris":["http://zotero.org/groups/2667333/items/BSM26Z4Y"],"itemData":{"id":6673,"type":"article-journal","abstract":"In the tumour microenvironment (TME), immunogenic cell death (ICD) plays a major role in stimulating the dysfunctional antitumour immune system. Chronic exposure of damage-associated molecular patterns (DAMPs) attracts receptors and ligands on dendritic cells (DCs) and activates immature DCs to transition to a mature phenotype, which promotes the processing of phagocytic cargo in DCs and accelerates the engulfment of antigenic components by DCs. Consequently, via antigen presentation, DCs stimulate specific T cell responses that kill more cancer cells. The induction of ICD eventually results in long-lasting protective antitumour immunity. Through the exploration of ICD inducers, recent studies have shown that there are many novel modalities with the ability to induce immunogenic cancer cell death. In this review, we mainly discussed and summarized the emerging methods for inducing immunogenic cancer cell death. Concepts and molecular mechanisms relevant to antitumour effects of ICD are also briefly discussed.","container-title":"Journal of Cellular and Molecular Medicine","DOI":"10.1111/jcmm.14356","ISSN":"1582-4934","issue":"8","language":"en","license":"© 2019 The Authors. Journal of Cellular and Molecular Medicine published by John Wiley &amp; Sons Ltd and Foundation for Cellular and Molecular Medicine.","note":"_eprint: https://onlinelibrary.wiley.com/doi/pdf/10.1111/jcmm.14356\ntex.ids= zhou_immunogenic_2019-1","page":"4854-4865","source":"Wiley Online Library","title":"Immunogenic cell death in cancer therapy: Present and emerging inducers","title-short":"Immunogenic cell death in cancer therapy","URL":"https://onlinelibrary.wiley.com/doi/abs/10.1111/jcmm.14356","volume":"23","author":[{"family":"Zhou","given":"Jingyi"},{"family":"Wang","given":"Gangyang"},{"family":"Chen","given":"Yinze"},{"family":"Wang","given":"Hongxia"},{"family":"Hua","given":"Yingqi"},{"family":"Cai","given":"Zhengdong"}],"accessed":{"date-parts":[["2021",6,8]]},"issued":{"date-parts":[["2019"]]},"citation-key":"zhou_immunogenic_2019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163</w:t>
      </w:r>
      <w:r w:rsidRPr="002A7128">
        <w:rPr>
          <w:rFonts w:ascii="Calibri" w:hAnsi="Calibri" w:cs="Calibri"/>
        </w:rPr>
        <w:fldChar w:fldCharType="end"/>
      </w:r>
      <w:r w:rsidRPr="002A7128">
        <w:rPr>
          <w:rFonts w:ascii="Calibri" w:hAnsi="Calibri" w:cs="Calibri"/>
        </w:rPr>
        <w:t xml:space="preserve"> Several DAMPs and their effects on activating DCs are studied; ATP and HMGB-1 for DC recruitment and activation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{"citationID":"A4N6pCgR","properties":{"formattedCitation":"\\super 368\\nosupersub{}","plainCitation":"368","noteIndex":0},"citationItems":[{"id":897,"uris":["http://zotero.org/groups/2667333/items/CEG7SKDV"],"itemData":{"id":897,"type":"article-journal","abstract":"Our body handles tissue damage by activating the immune system in response to intracellular molecules released by injured tissues [damage-associated molecular patterns (DAMPs)], in a similar way as it detects molecular motifs conserved in pathogens (pathogen-associated molecular patterns). DAMPs are molecules that have a physiological role inside the cell, but acquire additional functions when they are exposed to the extracellular environment: they alert the body about danger, stimulate an inflammatory response, and finally promote the regeneration process. Beside their passive release by dead cells, some DAMPs can be secreted or exposed by living cells undergoing a life-threatening stress. DAMPs have been linked to inflammation and related disorders: hence, inhibition of DAMP-mediated inflammatory responses is a promising strategy to improve the clinical management of infection- and injury-elicited inflammatory diseases. However, it is important to consider that DAMPs are not only danger signals but also central players in tissue repair. Indeed, some DAMPs have been studied for their role in tissue healing after sterile or infection-associated inflammation. This review is focused on two exemplary DAMPs, HMGB1 and adenosine triphosphate, and their contribution to both inflammation and tissue repair.","container-title":"Frontiers in Immunology","language":"en","page":"11","source":"Zotero","title":"DAMPs from cell death to new life","volume":"6","author":[{"family":"Bianchi","given":"Marco Emilio"}],"issued":{"date-parts":[["2015"]]},"citation-key":"bianchi_damps_2015"}}],"schema":"https://github.com/citation-style-language/schema/raw/master/csl-citation.json"}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368</w:t>
      </w:r>
      <w:r w:rsidRPr="002A7128">
        <w:rPr>
          <w:rFonts w:ascii="Calibri" w:hAnsi="Calibri" w:cs="Calibri"/>
        </w:rPr>
        <w:fldChar w:fldCharType="end"/>
      </w:r>
      <w:r w:rsidRPr="002A7128">
        <w:rPr>
          <w:rFonts w:ascii="Calibri" w:hAnsi="Calibri" w:cs="Calibri"/>
        </w:rPr>
        <w:t xml:space="preserve"> and nucleic acids for antigen processing and presentation.</w:t>
      </w:r>
      <w:r w:rsidRPr="002A7128">
        <w:rPr>
          <w:rFonts w:ascii="Calibri" w:hAnsi="Calibri" w:cs="Calibri"/>
        </w:rPr>
        <w:fldChar w:fldCharType="begin"/>
      </w:r>
      <w:r w:rsidR="00A64B61" w:rsidRPr="002A7128">
        <w:rPr>
          <w:rFonts w:ascii="Calibri" w:hAnsi="Calibri" w:cs="Calibri"/>
        </w:rPr>
        <w:instrText xml:space="preserve"> ADDIN ZOTERO_ITEM CSL_CITATION {"citationID":"WOVmb2bI","properties":{"formattedCitation":"\\super 366\\nosupersub{}","plainCitation":"366","noteIndex":0},"citationItems":[{"id":10012,"uris":["http://zotero.org/groups/2667333/items/FASS55MV"],"itemData":{"id":10012,"type":"article-journal","container-title":"Proceedings of the National Academy of Sciences","DOI":"10.1073/pnas.96.5.2285","ISSN":"0027-8424, 1091-6490","issue":"5","journalAbbreviation":"Proceedings of the National Academy of Sciences","language":"en","page":"2285-2290","source":"DOI.org (Crossref)","title":"Activation of target-tissue immune-recognition molecules by double-stranded polynucleotides","URL":"http://www.pnas.org/cgi/doi/10.1073/pnas.96.5.2285","volume":"96","author":[{"family":"Suzuki","given":"K."},{"family":"Mori","given":"A."},{"family":"Ishii","given":"K. J."},{"family":"Saito","given":"J."},{"family":"Singer","given":"D. S."},{"family":"Klinman","given":"D. M."},{"family":"Krause","given":"P. R."},{"family":"Kohn","given":"L. D."}],"accessed":{"date-parts":[["2022",2,13]]},"issued":{"date-parts":[["1999",3,2]]},"citation-key":"suzuki_activation_1999"}}],"schema":"https://github.com/citation-style-language/schema/raw/master/csl-citation.json"}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366</w:t>
      </w:r>
      <w:r w:rsidRPr="002A7128">
        <w:rPr>
          <w:rFonts w:ascii="Calibri" w:hAnsi="Calibri" w:cs="Calibri"/>
        </w:rPr>
        <w:fldChar w:fldCharType="end"/>
      </w:r>
      <w:r w:rsidRPr="002A7128">
        <w:rPr>
          <w:rFonts w:ascii="Calibri" w:hAnsi="Calibri" w:cs="Calibri"/>
        </w:rPr>
        <w:t xml:space="preserve"> We used bone marrow differentiated DCs (BMDCs) to analyze the effect of released DAMPs on their activation in terms of cytokine release. We treated the spheroids with [II] peptide, mitoxantrone, and cisplatin for 24h and transferred their supernatants (spheroid </w:t>
      </w:r>
      <w:r w:rsidRPr="002A7128">
        <w:rPr>
          <w:rFonts w:ascii="Calibri" w:hAnsi="Calibri" w:cs="Calibri"/>
        </w:rPr>
        <w:lastRenderedPageBreak/>
        <w:t xml:space="preserve">conditioned medium) onto BMDCs and analyzed their cytokine release profiles after incubating the spheroid conditioned medium for 6 and 24h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_Ref105242282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38</w:t>
      </w:r>
      <w:r w:rsidRPr="002A7128">
        <w:rPr>
          <w:rFonts w:ascii="Calibri" w:hAnsi="Calibri" w:cs="Calibri"/>
          <w:b/>
          <w:bCs/>
        </w:rPr>
        <w:fldChar w:fldCharType="end"/>
      </w:r>
      <w:r w:rsidRPr="002A7128">
        <w:rPr>
          <w:rFonts w:ascii="Calibri" w:hAnsi="Calibri" w:cs="Calibri"/>
          <w:b/>
          <w:bCs/>
        </w:rPr>
        <w:t>A)</w:t>
      </w:r>
      <w:r w:rsidRPr="002A7128">
        <w:rPr>
          <w:rFonts w:ascii="Calibri" w:hAnsi="Calibri" w:cs="Calibri"/>
        </w:rPr>
        <w:t>.</w:t>
      </w:r>
    </w:p>
    <w:p w14:paraId="220D51F3" w14:textId="367F8480" w:rsidR="001D3D3C" w:rsidRPr="002A7128" w:rsidRDefault="001D3D3C" w:rsidP="00F675B4">
      <w:pPr>
        <w:spacing w:line="480" w:lineRule="auto"/>
        <w:rPr>
          <w:rFonts w:ascii="Calibri" w:hAnsi="Calibri" w:cs="Calibri"/>
        </w:rPr>
      </w:pPr>
    </w:p>
    <w:p w14:paraId="69D5927E" w14:textId="77777777" w:rsidR="001D3D3C" w:rsidRPr="002A7128" w:rsidRDefault="001D3D3C" w:rsidP="00F675B4">
      <w:pPr>
        <w:keepNext/>
        <w:spacing w:line="480" w:lineRule="auto"/>
        <w:jc w:val="both"/>
        <w:rPr>
          <w:rFonts w:ascii="Calibri" w:hAnsi="Calibri" w:cs="Calibri"/>
        </w:rPr>
      </w:pPr>
      <w:r w:rsidRPr="002A7128">
        <w:rPr>
          <w:rFonts w:ascii="Calibri" w:hAnsi="Calibri" w:cs="Calibri"/>
          <w:noProof/>
        </w:rPr>
        <w:drawing>
          <wp:inline distT="0" distB="0" distL="0" distR="0" wp14:anchorId="7F975B72" wp14:editId="793C41D4">
            <wp:extent cx="5758249" cy="4029557"/>
            <wp:effectExtent l="0" t="0" r="0" b="0"/>
            <wp:docPr id="30" name="Picture 3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65525" cy="4034649"/>
                    </a:xfrm>
                    <a:prstGeom prst="rect">
                      <a:avLst/>
                    </a:prstGeom>
                  </pic:spPr>
                </pic:pic>
              </a:graphicData>
            </a:graphic>
          </wp:inline>
        </w:drawing>
      </w:r>
    </w:p>
    <w:p w14:paraId="7D58B21D" w14:textId="021CD259" w:rsidR="001D3D3C" w:rsidRPr="002A7128" w:rsidRDefault="001D3D3C" w:rsidP="00F675B4">
      <w:pPr>
        <w:pStyle w:val="Caption"/>
        <w:spacing w:line="480" w:lineRule="auto"/>
        <w:jc w:val="both"/>
        <w:rPr>
          <w:rFonts w:ascii="Calibri" w:hAnsi="Calibri" w:cs="Calibri"/>
          <w:i w:val="0"/>
          <w:iCs w:val="0"/>
          <w:color w:val="000000" w:themeColor="text1"/>
          <w:sz w:val="24"/>
          <w:szCs w:val="24"/>
        </w:rPr>
      </w:pPr>
      <w:bookmarkStart w:id="200" w:name="_Ref105242282"/>
      <w:bookmarkStart w:id="201" w:name="_Toc120789456"/>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38</w:t>
      </w:r>
      <w:r w:rsidRPr="002A7128">
        <w:rPr>
          <w:rFonts w:ascii="Calibri" w:hAnsi="Calibri" w:cs="Calibri"/>
          <w:b/>
          <w:bCs/>
          <w:i w:val="0"/>
          <w:iCs w:val="0"/>
          <w:color w:val="000000" w:themeColor="text1"/>
          <w:sz w:val="24"/>
          <w:szCs w:val="24"/>
        </w:rPr>
        <w:fldChar w:fldCharType="end"/>
      </w:r>
      <w:bookmarkEnd w:id="200"/>
      <w:r w:rsidRPr="002A7128">
        <w:rPr>
          <w:rFonts w:ascii="Calibri" w:hAnsi="Calibri" w:cs="Calibri"/>
          <w:b/>
          <w:bCs/>
          <w:i w:val="0"/>
          <w:iCs w:val="0"/>
          <w:color w:val="000000" w:themeColor="text1"/>
          <w:sz w:val="24"/>
          <w:szCs w:val="24"/>
        </w:rPr>
        <w:t xml:space="preserve"> [II] aggregation-induced DAMP release activates BMDCs.</w:t>
      </w:r>
      <w:r w:rsidRPr="002A7128">
        <w:rPr>
          <w:rFonts w:ascii="Calibri" w:hAnsi="Calibri" w:cs="Calibri"/>
          <w:i w:val="0"/>
          <w:iCs w:val="0"/>
          <w:color w:val="000000" w:themeColor="text1"/>
          <w:sz w:val="24"/>
          <w:szCs w:val="24"/>
        </w:rPr>
        <w:t xml:space="preserve"> A. Experimental plan for the treatment of BMDCs with tumor spheroid conditioned mediums. B. Release of IL-6, C. IL-1</w:t>
      </w:r>
      <w:r w:rsidRPr="00CD1007">
        <w:rPr>
          <w:rFonts w:ascii="Symbol" w:hAnsi="Symbol" w:cs="Calibri"/>
          <w:i w:val="0"/>
          <w:iCs w:val="0"/>
          <w:color w:val="000000" w:themeColor="text1"/>
          <w:sz w:val="24"/>
          <w:szCs w:val="24"/>
        </w:rPr>
        <w:t>b</w:t>
      </w:r>
      <w:r w:rsidRPr="002A7128">
        <w:rPr>
          <w:rFonts w:ascii="Calibri" w:hAnsi="Calibri" w:cs="Calibri"/>
          <w:i w:val="0"/>
          <w:iCs w:val="0"/>
          <w:color w:val="000000" w:themeColor="text1"/>
          <w:sz w:val="24"/>
          <w:szCs w:val="24"/>
        </w:rPr>
        <w:t>, and D. IL-10, from BMDCs at 6h and 24h after tumor spheroid conditioned medium treatment. Statistical analysis was done with two-way ANOVA test; data are mean ± SD, *p&lt;0.1, ****p&lt;0.0001.</w:t>
      </w:r>
      <w:bookmarkEnd w:id="201"/>
      <w:r w:rsidRPr="002A7128">
        <w:rPr>
          <w:rFonts w:ascii="Calibri" w:hAnsi="Calibri" w:cs="Calibri"/>
          <w:i w:val="0"/>
          <w:iCs w:val="0"/>
          <w:color w:val="000000" w:themeColor="text1"/>
          <w:sz w:val="24"/>
          <w:szCs w:val="24"/>
        </w:rPr>
        <w:t xml:space="preserve">  </w:t>
      </w:r>
    </w:p>
    <w:p w14:paraId="21264B4A" w14:textId="4EB5EC69" w:rsidR="001D3D3C" w:rsidRPr="002A7128" w:rsidRDefault="001D3D3C" w:rsidP="00F675B4">
      <w:pPr>
        <w:pStyle w:val="Caption"/>
        <w:spacing w:line="480" w:lineRule="auto"/>
        <w:jc w:val="both"/>
        <w:rPr>
          <w:rFonts w:ascii="Calibri" w:hAnsi="Calibri" w:cs="Calibri"/>
        </w:rPr>
      </w:pPr>
    </w:p>
    <w:p w14:paraId="3DFF6B04" w14:textId="77777777" w:rsidR="001D3D3C" w:rsidRPr="002A7128" w:rsidRDefault="001D3D3C" w:rsidP="00F675B4">
      <w:pPr>
        <w:spacing w:line="480" w:lineRule="auto"/>
        <w:jc w:val="both"/>
        <w:rPr>
          <w:rFonts w:ascii="Calibri" w:hAnsi="Calibri" w:cs="Calibri"/>
        </w:rPr>
      </w:pPr>
    </w:p>
    <w:p w14:paraId="350AA770" w14:textId="72DEBEC3" w:rsidR="001D3D3C" w:rsidRPr="002A7128" w:rsidRDefault="001D3D3C" w:rsidP="00C62AA6">
      <w:pPr>
        <w:spacing w:line="480" w:lineRule="auto"/>
        <w:jc w:val="both"/>
        <w:rPr>
          <w:rFonts w:ascii="Calibri" w:hAnsi="Calibri" w:cs="Calibri"/>
        </w:rPr>
      </w:pPr>
      <w:r w:rsidRPr="002A7128">
        <w:rPr>
          <w:rFonts w:ascii="Calibri" w:hAnsi="Calibri" w:cs="Calibri"/>
        </w:rPr>
        <w:lastRenderedPageBreak/>
        <w:t>We found a significant (</w:t>
      </w:r>
      <w:r w:rsidRPr="002A7128">
        <w:rPr>
          <w:rFonts w:ascii="Calibri" w:hAnsi="Calibri" w:cs="Calibri"/>
          <w:color w:val="000000" w:themeColor="text1"/>
        </w:rPr>
        <w:t>*p&lt;0.1, ****p&lt;0.0001)</w:t>
      </w:r>
      <w:r w:rsidRPr="002A7128">
        <w:rPr>
          <w:rFonts w:ascii="Calibri" w:hAnsi="Calibri" w:cs="Calibri"/>
        </w:rPr>
        <w:t xml:space="preserve"> increase in the pro-inflammatory cytokine IL-6 secretion when BMDCs were cultured with [II] treated spheroid conditioned medium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_Ref105242282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38</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IL-1</w:t>
      </w:r>
      <w:r w:rsidRPr="00CD1007">
        <w:rPr>
          <w:rFonts w:ascii="Symbol" w:hAnsi="Symbol" w:cs="Calibri"/>
        </w:rPr>
        <w:t>b</w:t>
      </w:r>
      <w:r w:rsidRPr="002A7128">
        <w:rPr>
          <w:rFonts w:ascii="Calibri" w:hAnsi="Calibri" w:cs="Calibri"/>
        </w:rPr>
        <w:t xml:space="preserve"> was only released from BMDCs cultured with [II] treated spheroid conditioned medium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_Ref105242282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38</w:t>
      </w:r>
      <w:r w:rsidRPr="002A7128">
        <w:rPr>
          <w:rFonts w:ascii="Calibri" w:hAnsi="Calibri" w:cs="Calibri"/>
          <w:b/>
          <w:bCs/>
        </w:rPr>
        <w:fldChar w:fldCharType="end"/>
      </w:r>
      <w:r w:rsidRPr="002A7128">
        <w:rPr>
          <w:rFonts w:ascii="Calibri" w:hAnsi="Calibri" w:cs="Calibri"/>
          <w:b/>
          <w:bCs/>
        </w:rPr>
        <w:t>C)</w:t>
      </w:r>
      <w:r w:rsidRPr="002A7128">
        <w:rPr>
          <w:rFonts w:ascii="Calibri" w:hAnsi="Calibri" w:cs="Calibri"/>
        </w:rPr>
        <w:t xml:space="preserve">. This effect is due to the presence of extracellular ATP upon [II] treatment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_Ref105242098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37</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as extracellular ATP has been shown to induce IL-1</w:t>
      </w:r>
      <w:r w:rsidRPr="00CD1007">
        <w:rPr>
          <w:rFonts w:ascii="Symbol" w:hAnsi="Symbol" w:cs="Calibri"/>
        </w:rPr>
        <w:t>b</w:t>
      </w:r>
      <w:r w:rsidRPr="002A7128">
        <w:rPr>
          <w:rFonts w:ascii="Calibri" w:hAnsi="Calibri" w:cs="Calibri"/>
        </w:rPr>
        <w:t xml:space="preserve"> release from DCs.</w:t>
      </w:r>
      <w:r w:rsidRPr="002A7128">
        <w:rPr>
          <w:rFonts w:ascii="Calibri" w:hAnsi="Calibri" w:cs="Calibri"/>
        </w:rPr>
        <w:fldChar w:fldCharType="begin"/>
      </w:r>
      <w:r w:rsidR="00317E7D" w:rsidRPr="002A7128">
        <w:rPr>
          <w:rFonts w:ascii="Calibri" w:hAnsi="Calibri" w:cs="Calibri"/>
        </w:rPr>
        <w:instrText xml:space="preserve"> ADDIN ZOTERO_ITEM CSL_CITATION {"citationID":"aqjmb6mg48","properties":{"formattedCitation":"\\super 20\\nosupersub{}","plainCitation":"20","noteIndex":0},"citationItems":[{"id":6657,"uris":["http://zotero.org/groups/2667333/items/KQE4FK7H"],"itemData":{"id":6657,"type":"article-journal","abstract":"Dying tumor cells release ATP, which activates the NLRP3 inflammasome in dendritic cells, enabling the secretion of interleukin-1β and the subsequent priming of tumor-specific interferon-γ-producing T lymphocytes.","container-title":"Nature Medicine","DOI":"10.1038/nm.2028","ISSN":"1546-170X","issue":"10","journalAbbreviation":"Nat Med","language":"en","license":"2009 Nature Publishing Group","note":"number: 10\npublisher: Nature Publishing Group","page":"1170-1178","source":"www.nature.com","title":"Activation of the NLRP3 inflammasome in dendritic cells induces IL-1β–dependent adaptive immunity against tumors","URL":"https://www.nature.com/articles/nm.2028","volume":"15","author":[{"family":"Ghiringhelli","given":"François"},{"family":"Apetoh","given":"Lionel"},{"family":"Tesniere","given":"Antoine"},{"family":"Aymeric","given":"Laetitia"},{"family":"Ma","given":"Yuting"},{"family":"Ortiz","given":"Carla"},{"family":"Vermaelen","given":"Karim"},{"family":"Panaretakis","given":"Theocharis"},{"family":"Mignot","given":"Grégoire"},{"family":"Ullrich","given":"Evelyn"},{"family":"Perfettini","given":"Jean-Luc"},{"family":"Schlemmer","given":"Frédéric"},{"family":"Tasdemir","given":"Ezgi"},{"family":"Uhl","given":"Martin"},{"family":"Génin","given":"Pierre"},{"family":"Civas","given":"Ahmet"},{"family":"Ryffel","given":"Bernhard"},{"family":"Kanellopoulos","given":"Jean"},{"family":"Tschopp","given":"Jürg"},{"family":"André","given":"Fabrice"},{"family":"Lidereau","given":"Rosette"},{"family":"McLaughlin","given":"Nicole M."},{"family":"Haynes","given":"Nicole M."},{"family":"Smyth","given":"Mark J."},{"family":"Kroemer","given":"Guido"},{"family":"Zitvogel","given":"Laurence"}],"accessed":{"date-parts":[["2021",6,8]]},"issued":{"date-parts":[["2009",10]]},"citation-key":"ghiringhelli_activation_2009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20</w:t>
      </w:r>
      <w:r w:rsidRPr="002A7128">
        <w:rPr>
          <w:rFonts w:ascii="Calibri" w:hAnsi="Calibri" w:cs="Calibri"/>
        </w:rPr>
        <w:fldChar w:fldCharType="end"/>
      </w:r>
      <w:r w:rsidRPr="002A7128">
        <w:rPr>
          <w:rFonts w:ascii="Calibri" w:hAnsi="Calibri" w:cs="Calibri"/>
        </w:rPr>
        <w:t xml:space="preserve"> However, ATP is degraded extracellularly</w:t>
      </w:r>
      <w:r w:rsidRPr="002A7128">
        <w:rPr>
          <w:rFonts w:ascii="Calibri" w:hAnsi="Calibri" w:cs="Calibri"/>
        </w:rPr>
        <w:fldChar w:fldCharType="begin"/>
      </w:r>
      <w:r w:rsidR="00A64B61" w:rsidRPr="002A7128">
        <w:rPr>
          <w:rFonts w:ascii="Calibri" w:hAnsi="Calibri" w:cs="Calibri"/>
        </w:rPr>
        <w:instrText xml:space="preserve"> ADDIN ZOTERO_ITEM CSL_CITATION {"citationID":"abb9gk4iai","properties":{"formattedCitation":"\\super 188\\nosupersub{}","plainCitation":"188","noteIndex":0},"citationItems":[{"id":7129,"uris":["http://zotero.org/groups/2667333/items/GLU9KWLR"],"itemData":{"id":7129,"type":"article-journal","container-title":"Life Sciences","DOI":"10.1016/0024-3205(95)02004-3","ISSN":"00243205","issue":"8","journalAbbreviation":"Life Sciences","language":"en","page":"763-771","source":"DOI.org (Crossref)","title":"Inhibition of extracellular ATP degradation in endothelial cells","URL":"https://linkinghub.elsevier.com/retrieve/pii/0024320595020043","volume":"57","author":[{"family":"Meghji","given":"Parviz"},{"family":"Burnstock","given":"Geoffrey"}],"accessed":{"date-parts":[["2021",8,18]]},"issued":{"date-parts":[["1995",7]]},"citation-key":"meghji_inhibition_1995"}}],"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188</w:t>
      </w:r>
      <w:r w:rsidRPr="002A7128">
        <w:rPr>
          <w:rFonts w:ascii="Calibri" w:hAnsi="Calibri" w:cs="Calibri"/>
        </w:rPr>
        <w:fldChar w:fldCharType="end"/>
      </w:r>
      <w:r w:rsidRPr="002A7128">
        <w:rPr>
          <w:rFonts w:ascii="Calibri" w:hAnsi="Calibri" w:cs="Calibri"/>
        </w:rPr>
        <w:t>, which explains the lack of IL-1</w:t>
      </w:r>
      <w:r w:rsidRPr="00CD1007">
        <w:rPr>
          <w:rFonts w:ascii="Symbol" w:hAnsi="Symbol" w:cs="Calibri"/>
        </w:rPr>
        <w:t>b</w:t>
      </w:r>
      <w:r w:rsidRPr="002A7128">
        <w:rPr>
          <w:rFonts w:ascii="Calibri" w:hAnsi="Calibri" w:cs="Calibri"/>
        </w:rPr>
        <w:t xml:space="preserve"> release at 24h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_Ref105242282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38</w:t>
      </w:r>
      <w:r w:rsidRPr="002A7128">
        <w:rPr>
          <w:rFonts w:ascii="Calibri" w:hAnsi="Calibri" w:cs="Calibri"/>
          <w:b/>
          <w:bCs/>
        </w:rPr>
        <w:fldChar w:fldCharType="end"/>
      </w:r>
      <w:r w:rsidRPr="002A7128">
        <w:rPr>
          <w:rFonts w:ascii="Calibri" w:hAnsi="Calibri" w:cs="Calibri"/>
          <w:b/>
          <w:bCs/>
        </w:rPr>
        <w:t>C)</w:t>
      </w:r>
      <w:r w:rsidRPr="002A7128">
        <w:rPr>
          <w:rFonts w:ascii="Calibri" w:hAnsi="Calibri" w:cs="Calibri"/>
        </w:rPr>
        <w:t>. Lastly, we checked the anti-inflammatory cytokine IL-10 and found no release among the conditions. Lipopolysaccharide (LPS) was used as a positive control for BMDC activation.</w:t>
      </w:r>
      <w:r w:rsidRPr="002A7128">
        <w:rPr>
          <w:rFonts w:ascii="Calibri" w:hAnsi="Calibri" w:cs="Calibri"/>
        </w:rPr>
        <w:fldChar w:fldCharType="begin"/>
      </w:r>
      <w:r w:rsidR="00A64B61" w:rsidRPr="002A7128">
        <w:rPr>
          <w:rFonts w:ascii="Calibri" w:hAnsi="Calibri" w:cs="Calibri"/>
        </w:rPr>
        <w:instrText xml:space="preserve"> ADDIN ZOTERO_ITEM CSL_CITATION {"citationID":"a2qig754sfr","properties":{"formattedCitation":"\\super 193\\nosupersub{}","plainCitation":"193","noteIndex":0},"citationItems":[{"id":6320,"uris":["http://zotero.org/groups/2667333/items/RB3E7L8C"],"itemData":{"id":6320,"type":"article-journal","abstract":"Successful immunogenic apoptosis in experimental cancer therapy depends on the induction of strong host anti-tumor responses. Given that tumors are often resistant to apoptosis, it is important to identify alternative molecular mechanisms that elicit immunogenic cell death. We have developed a genetic model in which direct dimerization of FADD combined with inducible expression of RIPK3 promotes necroptosis. We report that necroptotic cancer cells release damage-associated molecular patterns and promote maturation of dendritic cells, the cross-priming of cytotoxic T cells, and the production of IFN-γ in response to tumor antigen stimulation. Using both FADD-dependent and FADD-independent RIPK3 induction systems, we demonstrate the efficient vaccination potential of immunogenic necroptotic cells. Our study broadens the current concept of immunogenic cell death and opens doors for the development of new strategies in cancer therapy.","container-title":"Cell Reports","DOI":"10.1016/j.celrep.2016.03.037","ISSN":"2211-1247","issue":"2","journalAbbreviation":"Cell Reports","language":"en","page":"274-287","source":"ScienceDirect","title":"Vaccination with Necroptotic Cancer Cells Induces Efficient Anti-tumor Immunity","URL":"https://www.sciencedirect.com/science/article/pii/S2211124716302935","volume":"15","author":[{"family":"Aaes","given":"Tania Løve"},{"family":"Kaczmarek","given":"Agnieszka"},{"family":"Delvaeye","given":"Tinneke"},{"family":"De Craene","given":"Bram"},{"family":"De Koker","given":"Stefaan"},{"family":"Heyndrickx","given":"Liesbeth"},{"family":"Delrue","given":"Iris"},{"family":"Taminau","given":"Joachim"},{"family":"Wiernicki","given":"Bartosz"},{"family":"De Groote","given":"Philippe"},{"family":"Garg","given":"Abhishek D."},{"family":"Leybaert","given":"Luc"},{"family":"Grooten","given":"Johan"},{"family":"Bertrand","given":"Mathieu J. M."},{"family":"Agostinis","given":"Patrizia"},{"family":"Berx","given":"Geert"},{"family":"Declercq","given":"Wim"},{"family":"Vandenabeele","given":"Peter"},{"family":"Krysko","given":"Dmitri V."}],"accessed":{"date-parts":[["2021",5,4]]},"issued":{"date-parts":[["2016",4,12]]},"citation-key":"aaes_vaccination_2016"}}],"schema":"https://github.com/citation-style-language/schema/raw/master/csl-citation.json"}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193</w:t>
      </w:r>
      <w:r w:rsidRPr="002A7128">
        <w:rPr>
          <w:rFonts w:ascii="Calibri" w:hAnsi="Calibri" w:cs="Calibri"/>
        </w:rPr>
        <w:fldChar w:fldCharType="end"/>
      </w:r>
      <w:r w:rsidRPr="002A7128">
        <w:rPr>
          <w:rFonts w:ascii="Calibri" w:hAnsi="Calibri" w:cs="Calibri"/>
        </w:rPr>
        <w:t xml:space="preserve">   </w:t>
      </w:r>
    </w:p>
    <w:p w14:paraId="45A9D513" w14:textId="07D1C796" w:rsidR="001D3D3C" w:rsidRPr="002A7128" w:rsidRDefault="001D3D3C">
      <w:pPr>
        <w:pStyle w:val="Heading2"/>
        <w:numPr>
          <w:ilvl w:val="3"/>
          <w:numId w:val="9"/>
        </w:numPr>
        <w:spacing w:line="480" w:lineRule="auto"/>
        <w:rPr>
          <w:rFonts w:ascii="Calibri" w:hAnsi="Calibri" w:cs="Calibri"/>
        </w:rPr>
      </w:pPr>
      <w:bookmarkStart w:id="202" w:name="_Toc120794221"/>
      <w:r w:rsidRPr="002A7128">
        <w:rPr>
          <w:rFonts w:ascii="Calibri" w:hAnsi="Calibri" w:cs="Calibri"/>
        </w:rPr>
        <w:t>[II] treated spheroid conditioned medium is non-toxic to BMDCs</w:t>
      </w:r>
      <w:bookmarkEnd w:id="202"/>
    </w:p>
    <w:p w14:paraId="428399EB" w14:textId="11F76160" w:rsidR="00DC795E" w:rsidRPr="002A7128" w:rsidRDefault="00DC795E" w:rsidP="00F675B4">
      <w:pPr>
        <w:spacing w:line="480" w:lineRule="auto"/>
        <w:jc w:val="both"/>
        <w:rPr>
          <w:rFonts w:ascii="Calibri" w:hAnsi="Calibri" w:cs="Calibri"/>
        </w:rPr>
      </w:pPr>
      <w:r w:rsidRPr="002A7128">
        <w:rPr>
          <w:rFonts w:ascii="Calibri" w:hAnsi="Calibri" w:cs="Calibri"/>
        </w:rPr>
        <w:t xml:space="preserve">Mitoxantrone is a </w:t>
      </w:r>
      <w:proofErr w:type="spellStart"/>
      <w:r w:rsidRPr="002A7128">
        <w:rPr>
          <w:rFonts w:ascii="Calibri" w:hAnsi="Calibri" w:cs="Calibri"/>
        </w:rPr>
        <w:t>bonafide</w:t>
      </w:r>
      <w:proofErr w:type="spellEnd"/>
      <w:r w:rsidRPr="002A7128">
        <w:rPr>
          <w:rFonts w:ascii="Calibri" w:hAnsi="Calibri" w:cs="Calibri"/>
        </w:rPr>
        <w:t xml:space="preserve"> ICD inducer</w:t>
      </w:r>
      <w:r w:rsidRPr="002A7128">
        <w:rPr>
          <w:rFonts w:ascii="Calibri" w:hAnsi="Calibri" w:cs="Calibri"/>
        </w:rPr>
        <w:fldChar w:fldCharType="begin"/>
      </w:r>
      <w:r w:rsidR="00A64B61" w:rsidRPr="002A7128">
        <w:rPr>
          <w:rFonts w:ascii="Calibri" w:hAnsi="Calibri" w:cs="Calibri"/>
        </w:rPr>
        <w:instrText xml:space="preserve"> ADDIN ZOTERO_ITEM CSL_CITATION {"citationID":"a2ntp1ed3el","properties":{"formattedCitation":"\\super 83\\nosupersub{}","plainCitation":"83","noteIndex":0},"citationItems":[{"id":9794,"uris":["http://zotero.org/groups/2667333/items/HQFHTPKB"],"itemData":{"id":9794,"type":"article-journal","container-title":"OncoImmunology","DOI":"10.4161/21624011.2014.955691","ISSN":"2162-402X","issue":"9","journalAbbreviation":"OncoImmunology","language":"en","page":"e955691","source":"DOI.org (Crossref)","title":"Consensus guidelines for the detection of immunogenic cell death","URL":"http://www.tandfonline.com/doi/full/10.4161/21624011.2014.955691","volume":"3","author":[{"family":"Kepp","given":"Oliver"},{"family":"Senovilla","given":"Laura"},{"family":"Vitale","given":"Ilio"},{"family":"Vacchelli","given":"Erika"},{"family":"Adjemian","given":"Sandy"},{"family":"Agostinis","given":"Patrizia"},{"family":"Apetoh","given":"Lionel"},{"family":"Aranda","given":"Fernando"},{"family":"Barnaba","given":"Vincenzo"},{"family":"Bloy","given":"Norma"},{"family":"Bracci","given":"Laura"},{"family":"Breckpot","given":"Karine"},{"family":"Brough","given":"David"},{"family":"Buqué","given":"Aitziber"},{"family":"Castro","given":"Maria G."},{"family":"Cirone","given":"Mara"},{"family":"Colombo","given":"Maria I."},{"family":"Cremer","given":"Isabelle"},{"family":"Demaria","given":"Sandra"},{"family":"Dini","given":"Luciana"},{"family":"Eliopoulos","given":"Aristides G."},{"family":"Faggioni","given":"Alberto"},{"family":"Formenti","given":"Silvia C."},{"family":"Fučíková","given":"Jitka"},{"family":"Gabriele","given":"Lucia"},{"family":"Gaipl","given":"Udo S."},{"family":"Galon","given":"Jérôme"},{"family":"Garg","given":"Abhishek"},{"family":"Ghiringhelli","given":"François"},{"family":"Giese","given":"Nathalia A."},{"family":"Guo","given":"Zong Sheng"},{"family":"Hemminki","given":"Akseli"},{"family":"Herrmann","given":"Martin"},{"family":"Hodge","given":"James W."},{"family":"Holdenrieder","given":"Stefan"},{"family":"Honeychurch","given":"Jamie"},{"family":"Hu","given":"Hong-Min"},{"family":"Huang","given":"Xing"},{"family":"Illidge","given":"Tim M."},{"family":"Kono","given":"Koji"},{"family":"Korbelik","given":"Mladen"},{"family":"Krysko","given":"Dmitri V."},{"family":"Loi","given":"Sherene"},{"family":"Lowenstein","given":"Pedro R."},{"family":"Lugli","given":"Enrico"},{"family":"Ma","given":"Yuting"},{"family":"Madeo","given":"Frank"},{"family":"Manfredi","given":"Angelo A."},{"family":"Martins","given":"Isabelle"},{"family":"Mavilio","given":"Domenico"},{"family":"Menger","given":"Laurie"},{"family":"Merendino","given":"Nicolò"},{"family":"Michaud","given":"Michael"},{"family":"Mignot","given":"Gregoire"},{"family":"Mossman","given":"Karen L."},{"family":"Multhoff","given":"Gabriele"},{"family":"Oehler","given":"Rudolf"},{"family":"Palombo","given":"Fabio"},{"family":"Panaretakis","given":"Theocharis"},{"family":"Pol","given":"Jonathan"},{"family":"Proietti","given":"Enrico"},{"family":"Ricci","given":"Jean-Ehrland"},{"family":"Riganti","given":"Chiara"},{"family":"Rovere-Querini","given":"Patrizia"},{"family":"Rubartelli","given":"Anna"},{"family":"Sistigu","given":"Antonella"},{"family":"Smyth","given":"Mark J."},{"family":"Sonnemann","given":"Juergen"},{"family":"Spisek","given":"Radek"},{"family":"Stagg","given":"John"},{"family":"Sukkurwala","given":"Abdul Qader"},{"family":"Tartour","given":"Eric"},{"family":"Thorburn","given":"Andrew"},{"family":"Thorne","given":"Stephen H."},{"family":"Vandenabeele","given":"Peter"},{"family":"Velotti","given":"Francesca"},{"family":"Workenhe","given":"Samuel T."},{"family":"Yang","given":"Haining"},{"family":"Zong","given":"Wei-Xing"},{"family":"Zitvogel","given":"Laurence"},{"family":"Kroemer","given":"Guido"},{"family":"Galluzzi","given":"Lorenzo"}],"accessed":{"date-parts":[["2021",12,15]]},"issued":{"date-parts":[["2014",9,2]]},"citation-key":"kepp_consensus_2014"}}],"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83</w:t>
      </w:r>
      <w:r w:rsidRPr="002A7128">
        <w:rPr>
          <w:rFonts w:ascii="Calibri" w:hAnsi="Calibri" w:cs="Calibri"/>
        </w:rPr>
        <w:fldChar w:fldCharType="end"/>
      </w:r>
      <w:r w:rsidRPr="002A7128">
        <w:rPr>
          <w:rFonts w:ascii="Calibri" w:hAnsi="Calibri" w:cs="Calibri"/>
        </w:rPr>
        <w:t xml:space="preserve">, however, we failed to observe the effect of mitoxantrone released DAMPs on BMDC activation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_Ref105242282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38</w:t>
      </w:r>
      <w:r w:rsidRPr="002A7128">
        <w:rPr>
          <w:rFonts w:ascii="Calibri" w:hAnsi="Calibri" w:cs="Calibri"/>
          <w:b/>
          <w:bCs/>
        </w:rPr>
        <w:fldChar w:fldCharType="end"/>
      </w:r>
      <w:r w:rsidRPr="002A7128">
        <w:rPr>
          <w:rFonts w:ascii="Calibri" w:hAnsi="Calibri" w:cs="Calibri"/>
          <w:b/>
          <w:bCs/>
        </w:rPr>
        <w:t>B and C)</w:t>
      </w:r>
      <w:r w:rsidRPr="002A7128">
        <w:rPr>
          <w:rFonts w:ascii="Calibri" w:hAnsi="Calibri" w:cs="Calibri"/>
        </w:rPr>
        <w:t xml:space="preserve">. To elaborate on this effect, we measured the viability of BMDCs after the transfer of spheroid conditioned mediums at 24h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_Ref105242469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39</w:t>
      </w:r>
      <w:r w:rsidRPr="002A7128">
        <w:rPr>
          <w:rFonts w:ascii="Calibri" w:hAnsi="Calibri" w:cs="Calibri"/>
          <w:b/>
          <w:bCs/>
        </w:rPr>
        <w:fldChar w:fldCharType="end"/>
      </w:r>
      <w:r w:rsidRPr="002A7128">
        <w:rPr>
          <w:rFonts w:ascii="Calibri" w:hAnsi="Calibri" w:cs="Calibri"/>
          <w:b/>
          <w:bCs/>
        </w:rPr>
        <w:t>A)</w:t>
      </w:r>
      <w:r w:rsidRPr="002A7128">
        <w:rPr>
          <w:rFonts w:ascii="Calibri" w:hAnsi="Calibri" w:cs="Calibri"/>
        </w:rPr>
        <w:t xml:space="preserve">. Among the groups, only mitoxantrone induced additional significant cytotoxicity to BMDCs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_Ref105242469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39</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xml:space="preserve">, explaining the low levels of cytokine release from BMDCs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_Ref105242282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38</w:t>
      </w:r>
      <w:r w:rsidRPr="002A7128">
        <w:rPr>
          <w:rFonts w:ascii="Calibri" w:hAnsi="Calibri" w:cs="Calibri"/>
          <w:b/>
          <w:bCs/>
        </w:rPr>
        <w:fldChar w:fldCharType="end"/>
      </w:r>
      <w:r w:rsidRPr="002A7128">
        <w:rPr>
          <w:rFonts w:ascii="Calibri" w:hAnsi="Calibri" w:cs="Calibri"/>
          <w:b/>
          <w:bCs/>
        </w:rPr>
        <w:t>B and C)</w:t>
      </w:r>
      <w:r w:rsidRPr="002A7128">
        <w:rPr>
          <w:rFonts w:ascii="Calibri" w:hAnsi="Calibri" w:cs="Calibri"/>
        </w:rPr>
        <w:t xml:space="preserve">. This effect is due to the high mitoxantrone concentrations required to induce 50% cytotoxicity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_Ref105241915 \h  \* MERGEFORMAT </w:instrText>
      </w:r>
      <w:r w:rsidRPr="002A7128">
        <w:rPr>
          <w:rFonts w:ascii="Calibri" w:hAnsi="Calibri" w:cs="Calibri"/>
          <w:b/>
          <w:bCs/>
        </w:rPr>
      </w:r>
      <w:r w:rsidRPr="002A7128">
        <w:rPr>
          <w:rFonts w:ascii="Calibri" w:hAnsi="Calibri" w:cs="Calibri"/>
          <w:b/>
          <w:bCs/>
        </w:rPr>
        <w:fldChar w:fldCharType="separate"/>
      </w:r>
      <w:r w:rsidR="007D711E" w:rsidRPr="002A7128">
        <w:rPr>
          <w:rFonts w:ascii="Calibri" w:hAnsi="Calibri" w:cs="Calibri"/>
          <w:b/>
          <w:bCs/>
          <w:color w:val="000000" w:themeColor="text1"/>
        </w:rPr>
        <w:t xml:space="preserve">Figure </w:t>
      </w:r>
      <w:r w:rsidR="007D711E" w:rsidRPr="002A7128">
        <w:rPr>
          <w:rFonts w:ascii="Calibri" w:hAnsi="Calibri" w:cs="Calibri"/>
          <w:b/>
          <w:bCs/>
          <w:noProof/>
          <w:color w:val="000000" w:themeColor="text1"/>
        </w:rPr>
        <w:t>36</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xml:space="preserve"> in the spheroid model. </w:t>
      </w:r>
    </w:p>
    <w:p w14:paraId="4DB4A41D" w14:textId="77777777" w:rsidR="00DC795E" w:rsidRPr="002A7128" w:rsidRDefault="00DC795E" w:rsidP="00F675B4">
      <w:pPr>
        <w:spacing w:line="480" w:lineRule="auto"/>
        <w:jc w:val="both"/>
        <w:rPr>
          <w:rFonts w:ascii="Calibri" w:hAnsi="Calibri" w:cs="Calibri"/>
        </w:rPr>
      </w:pPr>
    </w:p>
    <w:p w14:paraId="03DDD510" w14:textId="77777777" w:rsidR="00DC795E" w:rsidRPr="002A7128" w:rsidRDefault="00DC795E" w:rsidP="00F675B4">
      <w:pPr>
        <w:keepNext/>
        <w:spacing w:line="480" w:lineRule="auto"/>
        <w:jc w:val="both"/>
        <w:rPr>
          <w:rFonts w:ascii="Calibri" w:hAnsi="Calibri" w:cs="Calibri"/>
        </w:rPr>
      </w:pPr>
      <w:r w:rsidRPr="002A7128">
        <w:rPr>
          <w:rFonts w:ascii="Calibri" w:hAnsi="Calibri" w:cs="Calibri"/>
          <w:noProof/>
        </w:rPr>
        <w:lastRenderedPageBreak/>
        <w:drawing>
          <wp:inline distT="0" distB="0" distL="0" distR="0" wp14:anchorId="045B4FBC" wp14:editId="69AD1943">
            <wp:extent cx="5869459" cy="4007261"/>
            <wp:effectExtent l="0" t="0" r="0" b="6350"/>
            <wp:docPr id="31" name="Picture 3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application&#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874333" cy="4010588"/>
                    </a:xfrm>
                    <a:prstGeom prst="rect">
                      <a:avLst/>
                    </a:prstGeom>
                  </pic:spPr>
                </pic:pic>
              </a:graphicData>
            </a:graphic>
          </wp:inline>
        </w:drawing>
      </w:r>
    </w:p>
    <w:p w14:paraId="26B7E4FB" w14:textId="4B16091B" w:rsidR="00DC795E" w:rsidRPr="002A7128" w:rsidRDefault="00DC795E" w:rsidP="002A45FA">
      <w:pPr>
        <w:pStyle w:val="Caption"/>
        <w:spacing w:line="480" w:lineRule="auto"/>
        <w:jc w:val="both"/>
        <w:rPr>
          <w:rFonts w:ascii="Calibri" w:hAnsi="Calibri" w:cs="Calibri"/>
          <w:i w:val="0"/>
          <w:iCs w:val="0"/>
          <w:color w:val="000000" w:themeColor="text1"/>
          <w:sz w:val="24"/>
          <w:szCs w:val="24"/>
        </w:rPr>
      </w:pPr>
      <w:bookmarkStart w:id="203" w:name="_Ref105242469"/>
      <w:bookmarkStart w:id="204" w:name="_Toc120789457"/>
      <w:r w:rsidRPr="002A7128">
        <w:rPr>
          <w:rFonts w:ascii="Calibri" w:hAnsi="Calibri" w:cs="Calibri"/>
          <w:b/>
          <w:bCs/>
          <w:i w:val="0"/>
          <w:iCs w:val="0"/>
          <w:color w:val="000000" w:themeColor="text1"/>
          <w:sz w:val="24"/>
          <w:szCs w:val="24"/>
        </w:rPr>
        <w:t xml:space="preserve">Figure </w:t>
      </w:r>
      <w:r w:rsidRPr="002A7128">
        <w:rPr>
          <w:rFonts w:ascii="Calibri" w:hAnsi="Calibri" w:cs="Calibri"/>
          <w:b/>
          <w:bCs/>
          <w:i w:val="0"/>
          <w:iCs w:val="0"/>
          <w:color w:val="000000" w:themeColor="text1"/>
          <w:sz w:val="24"/>
          <w:szCs w:val="24"/>
        </w:rPr>
        <w:fldChar w:fldCharType="begin"/>
      </w:r>
      <w:r w:rsidRPr="002A7128">
        <w:rPr>
          <w:rFonts w:ascii="Calibri" w:hAnsi="Calibri" w:cs="Calibri"/>
          <w:b/>
          <w:bCs/>
          <w:i w:val="0"/>
          <w:iCs w:val="0"/>
          <w:color w:val="000000" w:themeColor="text1"/>
          <w:sz w:val="24"/>
          <w:szCs w:val="24"/>
        </w:rPr>
        <w:instrText xml:space="preserve"> SEQ Figure \* ARABIC </w:instrText>
      </w:r>
      <w:r w:rsidRPr="002A7128">
        <w:rPr>
          <w:rFonts w:ascii="Calibri" w:hAnsi="Calibri" w:cs="Calibri"/>
          <w:b/>
          <w:bCs/>
          <w:i w:val="0"/>
          <w:iCs w:val="0"/>
          <w:color w:val="000000" w:themeColor="text1"/>
          <w:sz w:val="24"/>
          <w:szCs w:val="24"/>
        </w:rPr>
        <w:fldChar w:fldCharType="separate"/>
      </w:r>
      <w:r w:rsidR="007D711E" w:rsidRPr="002A7128">
        <w:rPr>
          <w:rFonts w:ascii="Calibri" w:hAnsi="Calibri" w:cs="Calibri"/>
          <w:b/>
          <w:bCs/>
          <w:i w:val="0"/>
          <w:iCs w:val="0"/>
          <w:noProof/>
          <w:color w:val="000000" w:themeColor="text1"/>
          <w:sz w:val="24"/>
          <w:szCs w:val="24"/>
        </w:rPr>
        <w:t>39</w:t>
      </w:r>
      <w:r w:rsidRPr="002A7128">
        <w:rPr>
          <w:rFonts w:ascii="Calibri" w:hAnsi="Calibri" w:cs="Calibri"/>
          <w:b/>
          <w:bCs/>
          <w:i w:val="0"/>
          <w:iCs w:val="0"/>
          <w:color w:val="000000" w:themeColor="text1"/>
          <w:sz w:val="24"/>
          <w:szCs w:val="24"/>
        </w:rPr>
        <w:fldChar w:fldCharType="end"/>
      </w:r>
      <w:bookmarkEnd w:id="203"/>
      <w:r w:rsidRPr="002A7128">
        <w:rPr>
          <w:rFonts w:ascii="Calibri" w:hAnsi="Calibri" w:cs="Calibri"/>
          <w:b/>
          <w:bCs/>
          <w:i w:val="0"/>
          <w:iCs w:val="0"/>
          <w:color w:val="000000" w:themeColor="text1"/>
          <w:sz w:val="24"/>
          <w:szCs w:val="24"/>
        </w:rPr>
        <w:t xml:space="preserve">  [II] treated spheroid conditioned medium is not cytotoxic to BMDCs.</w:t>
      </w:r>
      <w:r w:rsidRPr="002A7128">
        <w:rPr>
          <w:rFonts w:ascii="Calibri" w:hAnsi="Calibri" w:cs="Calibri"/>
          <w:i w:val="0"/>
          <w:iCs w:val="0"/>
          <w:color w:val="000000" w:themeColor="text1"/>
          <w:sz w:val="24"/>
          <w:szCs w:val="24"/>
        </w:rPr>
        <w:t xml:space="preserve"> A. Schematic of the design for the viability measurement of BMDCs. B. Viability measurement of BMDCs after incubation with spheroid conditioned mediums at 24h. C. Viability and D. LDH and E. IL-1</w:t>
      </w:r>
      <w:r w:rsidRPr="00CD1007">
        <w:rPr>
          <w:rFonts w:ascii="Symbol" w:hAnsi="Symbol" w:cs="Calibri"/>
          <w:i w:val="0"/>
          <w:iCs w:val="0"/>
          <w:color w:val="000000" w:themeColor="text1"/>
          <w:sz w:val="24"/>
          <w:szCs w:val="24"/>
        </w:rPr>
        <w:t>b</w:t>
      </w:r>
      <w:r w:rsidRPr="002A7128">
        <w:rPr>
          <w:rFonts w:ascii="Calibri" w:hAnsi="Calibri" w:cs="Calibri"/>
          <w:i w:val="0"/>
          <w:iCs w:val="0"/>
          <w:color w:val="000000" w:themeColor="text1"/>
          <w:sz w:val="24"/>
          <w:szCs w:val="24"/>
        </w:rPr>
        <w:t xml:space="preserve"> release (6h) of BMDCs after [II] peptide treatment. Statistical analysis was done with one-way ANOVA (B and E) and two-way ANOVA tests (C and D); data are mean ± SD, ****p&lt;0.0001.</w:t>
      </w:r>
      <w:bookmarkEnd w:id="204"/>
      <w:r w:rsidRPr="002A7128">
        <w:rPr>
          <w:rFonts w:ascii="Calibri" w:hAnsi="Calibri" w:cs="Calibri"/>
          <w:i w:val="0"/>
          <w:iCs w:val="0"/>
          <w:color w:val="000000" w:themeColor="text1"/>
          <w:sz w:val="24"/>
          <w:szCs w:val="24"/>
        </w:rPr>
        <w:t xml:space="preserve">  </w:t>
      </w:r>
    </w:p>
    <w:p w14:paraId="3B2E2B9E" w14:textId="560A09B3" w:rsidR="00DC795E" w:rsidRPr="002A7128" w:rsidRDefault="00DC795E" w:rsidP="00F675B4">
      <w:pPr>
        <w:spacing w:line="480" w:lineRule="auto"/>
        <w:jc w:val="both"/>
        <w:rPr>
          <w:rFonts w:ascii="Calibri" w:hAnsi="Calibri" w:cs="Calibri"/>
        </w:rPr>
      </w:pPr>
      <w:r w:rsidRPr="002A7128">
        <w:rPr>
          <w:rFonts w:ascii="Calibri" w:hAnsi="Calibri" w:cs="Calibri"/>
        </w:rPr>
        <w:t>Chemotherapeutics have side effects and toxicities to normal tissues when administered systemically.</w:t>
      </w:r>
      <w:r w:rsidRPr="002A7128">
        <w:rPr>
          <w:rFonts w:ascii="Calibri" w:hAnsi="Calibri" w:cs="Calibri"/>
        </w:rPr>
        <w:fldChar w:fldCharType="begin"/>
      </w:r>
      <w:r w:rsidR="00A64B61" w:rsidRPr="002A7128">
        <w:rPr>
          <w:rFonts w:ascii="Calibri" w:hAnsi="Calibri" w:cs="Calibri"/>
        </w:rPr>
        <w:instrText xml:space="preserve"> ADDIN ZOTERO_ITEM CSL_CITATION {"citationID":"a1e05g32ni5","properties":{"formattedCitation":"\\super 369\\nosupersub{}","plainCitation":"369","noteIndex":0},"citationItems":[{"id":10541,"uris":["http://zotero.org/groups/2667333/items/4NUUK26E"],"itemData":{"id":10541,"type":"article-journal","container-title":"Journal of Cellular Physiology","DOI":"10.1002/jcp.28504","ISSN":"0021-9541, 1097-4652","issue":"10","journalAbbreviation":"Journal Cellular Physiology","language":"en","page":"17187-17204","source":"DOI.org (Crossref)","title":"NF‐κB targeting for overcoming tumor resistance and normal tissues toxicity","URL":"https://onlinelibrary.wiley.com/doi/10.1002/jcp.28504","volume":"234","author":[{"family":"Mortezaee","given":"Keywan"},{"family":"Najafi","given":"Masoud"},{"family":"Farhood","given":"Bagher"},{"family":"Ahmadi","given":"Amirhossein"},{"family":"Shabeeb","given":"Dheyauldeen"},{"family":"Musa","given":"Ahmed E."}],"accessed":{"date-parts":[["2022",5,14]]},"issued":{"date-parts":[["2019",10]]},"citation-key":"mortezaee_nfb_2019"}}],"schema":"https://github.com/citation-style-language/schema/raw/master/csl-citation.json"}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369</w:t>
      </w:r>
      <w:r w:rsidRPr="002A7128">
        <w:rPr>
          <w:rFonts w:ascii="Calibri" w:hAnsi="Calibri" w:cs="Calibri"/>
        </w:rPr>
        <w:fldChar w:fldCharType="end"/>
      </w:r>
      <w:r w:rsidRPr="002A7128">
        <w:rPr>
          <w:rFonts w:ascii="Calibri" w:hAnsi="Calibri" w:cs="Calibri"/>
        </w:rPr>
        <w:t xml:space="preserve"> While local/</w:t>
      </w:r>
      <w:proofErr w:type="spellStart"/>
      <w:r w:rsidRPr="002A7128">
        <w:rPr>
          <w:rFonts w:ascii="Calibri" w:hAnsi="Calibri" w:cs="Calibri"/>
        </w:rPr>
        <w:t>intratumoral</w:t>
      </w:r>
      <w:proofErr w:type="spellEnd"/>
      <w:r w:rsidRPr="002A7128">
        <w:rPr>
          <w:rFonts w:ascii="Calibri" w:hAnsi="Calibri" w:cs="Calibri"/>
        </w:rPr>
        <w:t xml:space="preserve"> delivery of chemotherapeutics reduces the side effects, the severity of side effects depends on required concentrations and the diffusion parameters.</w:t>
      </w:r>
      <w:r w:rsidRPr="002A7128">
        <w:rPr>
          <w:rFonts w:ascii="Calibri" w:hAnsi="Calibri" w:cs="Calibri"/>
        </w:rPr>
        <w:fldChar w:fldCharType="begin"/>
      </w:r>
      <w:r w:rsidR="00A64B61" w:rsidRPr="002A7128">
        <w:rPr>
          <w:rFonts w:ascii="Calibri" w:hAnsi="Calibri" w:cs="Calibri"/>
        </w:rPr>
        <w:instrText xml:space="preserve"> ADDIN ZOTERO_ITEM CSL_CITATION {"citationID":"a1ns6n4b359","properties":{"formattedCitation":"\\super 370\\nosupersub{}","plainCitation":"370","noteIndex":0},"citationItems":[{"id":10542,"uris":["http://zotero.org/groups/2667333/items/8TDJ74DG"],"itemData":{"id":10542,"type":"article-journal","container-title":"Clinical Cancer Research","DOI":"10.1158/1078-0432.CCR-19-3642","ISSN":"1078-0432, 1557-3265","issue":"13","journalAbbreviation":"Clin Cancer Res","language":"en","page":"3091-3099","source":"DOI.org (Crossref)","title":"Intratumoral Immunotherapy for Early-stage Solid Tumors","URL":"http://clincancerres.aacrjournals.org/lookup/doi/10.1158/1078-0432.CCR-19-3642","volume":"26","author":[{"family":"Hong","given":"Wan Xing"},{"family":"Haebe","given":"Sarah"},{"family":"Lee","given":"Andrew S."},{"family":"Westphalen","given":"C. Benedikt"},{"family":"Norton","given":"Jeffrey A."},{"family":"Jiang","given":"Wen"},{"family":"Levy","given":"Ronald"}],"accessed":{"date-parts":[["2022",5,14]]},"issued":{"date-parts":[["2020",7,1]]},"citation-key":"hong_intratumoral_2020"}}],"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370</w:t>
      </w:r>
      <w:r w:rsidRPr="002A7128">
        <w:rPr>
          <w:rFonts w:ascii="Calibri" w:hAnsi="Calibri" w:cs="Calibri"/>
        </w:rPr>
        <w:fldChar w:fldCharType="end"/>
      </w:r>
      <w:r w:rsidRPr="002A7128">
        <w:rPr>
          <w:rFonts w:ascii="Calibri" w:hAnsi="Calibri" w:cs="Calibri"/>
        </w:rPr>
        <w:t xml:space="preserve"> Conditioned medium from [II] peptide had no cytotoxicity to BMDCs, showing that [II] effect would be contained locally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_Ref105242469 \h  \* MERGEFORMAT </w:instrText>
      </w:r>
      <w:r w:rsidRPr="002A7128">
        <w:rPr>
          <w:rFonts w:ascii="Calibri" w:hAnsi="Calibri" w:cs="Calibri"/>
          <w:b/>
          <w:bCs/>
        </w:rPr>
      </w:r>
      <w:r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40</w:t>
      </w:r>
      <w:r w:rsidRPr="002A7128">
        <w:rPr>
          <w:rFonts w:ascii="Calibri" w:hAnsi="Calibri" w:cs="Calibri"/>
          <w:b/>
          <w:bCs/>
        </w:rPr>
        <w:fldChar w:fldCharType="end"/>
      </w:r>
      <w:r w:rsidRPr="002A7128">
        <w:rPr>
          <w:rFonts w:ascii="Calibri" w:hAnsi="Calibri" w:cs="Calibri"/>
          <w:b/>
          <w:bCs/>
        </w:rPr>
        <w:t>B)</w:t>
      </w:r>
      <w:r w:rsidRPr="002A7128">
        <w:rPr>
          <w:rFonts w:ascii="Calibri" w:hAnsi="Calibri" w:cs="Calibri"/>
        </w:rPr>
        <w:t>, as we have shown before.</w:t>
      </w:r>
      <w:r w:rsidRPr="002A7128">
        <w:rPr>
          <w:rFonts w:ascii="Calibri" w:hAnsi="Calibri" w:cs="Calibri"/>
        </w:rPr>
        <w:fldChar w:fldCharType="begin"/>
      </w:r>
      <w:r w:rsidR="00317E7D" w:rsidRPr="002A7128">
        <w:rPr>
          <w:rFonts w:ascii="Calibri" w:hAnsi="Calibri" w:cs="Calibri"/>
        </w:rPr>
        <w:instrText xml:space="preserve"> ADDIN ZOTERO_ITEM CSL_CITATION {"citationID":"a2kh491jrda","properties":{"formattedCitation":"\\super 343\\nosupersub{}","plainCitation":"343","noteIndex":0},"citationItems":[{"id":"wiida5Bo/dNoyVUEy","uris":["http://zotero.org/groups/2667333/items/GKGZM2KP"],"itemData":{"id":9786,"type":"article-journal","abstract":"Under the influence of stress and membrane damage, cells undergo immunogenic cell death (ICD), which involves the release of damage associated molecular patterns (DAMPs), natural adjuvants for enhancing an immune response. In the presence of an antigen, released DAMPs can determine the type and magnitude of the immune response, and therefore the longevity and efficacy of an antigen-specific immunity. In the last decade, the immune response effect of ICD has been shown, yet there is no tool that can induce controlled ICD with predictable results, regardless of the cell type. We designed a peptide-based tool, called [II], for controlled damage to cell membrane to induce ICD and DAMPs release. Herein we describe a series of experiments that determine that the mechanism of action of [II] includes a caspase-dependent ICD and subsequent release of immune stimulating DAMPs, on various cell types. Moreover, we tested the hypothesis that controlled DAMP release via [II] in vivo was associated with enhancement of antigen-specific adaptive immunity with influenza hemagglutinin (HA) subunit vaccine. HA and [II] showed significantly higher HA specific IgG1 and IgG2a antibodies, compared to HA-only immunized mice, while the peptide itself did not elicit antibodies. In this paper, we demonstrate the first peptide-aggregation induced immunogenic rupture (PAIIR) approach as vaccine adjuvants for increasing both humoral and cellular immunity. In consideration of its ability to enhance IgG2a responses that are associated with heterosubtypic influenza virus protection, PAIIR is a promising adjuvant to promote universal protection upon influenza HA vaccination.","container-title":"Advanced Science","DOI":"10.1101/2021.12.11.472230","language":"en","note":"Company: Cold Spring Harbor Laboratory\nDOI: 10.1101/2021.12.11.472230\nDistributor: Cold Spring Harbor Laboratory\nLabel: Cold Spring Harbor Laboratory\nsection: New Results\ntype: article\nCitation Key: gunay_peptide_2022","source":"BioRxiv","title":"Peptide Aggregation Induced Immunogenic Rupture (PAIIR)","URL":"https://www.biorxiv.org/content/10.1101/2021.12.11.472230v1","volume":"472230","author":[{"family":"Gunay","given":"Gokhan"},{"family":"Hamsici","given":"Seren"},{"family":"Lang","given":"Mark L."},{"family":"Lang","given":"Gillian A."},{"family":"Kovats","given":"Susan"},{"family":"Acar","given":"Handan"}],"accessed":{"date-parts":[["2021",12,14]]},"issued":{"date-parts":[["2022"]]},"citation-key":"gunay_peptide_2022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343</w:t>
      </w:r>
      <w:r w:rsidRPr="002A7128">
        <w:rPr>
          <w:rFonts w:ascii="Calibri" w:hAnsi="Calibri" w:cs="Calibri"/>
        </w:rPr>
        <w:fldChar w:fldCharType="end"/>
      </w:r>
      <w:r w:rsidRPr="002A7128">
        <w:rPr>
          <w:rFonts w:ascii="Calibri" w:hAnsi="Calibri" w:cs="Calibri"/>
        </w:rPr>
        <w:t xml:space="preserve"> On the other hand, in the </w:t>
      </w:r>
      <w:r w:rsidRPr="002A7128">
        <w:rPr>
          <w:rFonts w:ascii="Calibri" w:hAnsi="Calibri" w:cs="Calibri"/>
        </w:rPr>
        <w:lastRenderedPageBreak/>
        <w:t xml:space="preserve">case of an </w:t>
      </w:r>
      <w:proofErr w:type="spellStart"/>
      <w:r w:rsidRPr="002A7128">
        <w:rPr>
          <w:rFonts w:ascii="Calibri" w:hAnsi="Calibri" w:cs="Calibri"/>
        </w:rPr>
        <w:t>intratumoral</w:t>
      </w:r>
      <w:proofErr w:type="spellEnd"/>
      <w:r w:rsidRPr="002A7128">
        <w:rPr>
          <w:rFonts w:ascii="Calibri" w:hAnsi="Calibri" w:cs="Calibri"/>
        </w:rPr>
        <w:t xml:space="preserve"> treatment strategy, the initial injection will also affect multiple locally present cell types, including DCs. We wanted to understand the effects of [II] on DCs. Therefore, we treated BMDCs with [II] peptide and found that [II] aggregation induces time-dependent cell death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_Ref105242469 \h  \* MERGEFORMAT </w:instrText>
      </w:r>
      <w:r w:rsidRPr="002A7128">
        <w:rPr>
          <w:rFonts w:ascii="Calibri" w:hAnsi="Calibri" w:cs="Calibri"/>
          <w:b/>
          <w:bCs/>
        </w:rPr>
      </w:r>
      <w:r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40</w:t>
      </w:r>
      <w:r w:rsidRPr="002A7128">
        <w:rPr>
          <w:rFonts w:ascii="Calibri" w:hAnsi="Calibri" w:cs="Calibri"/>
          <w:b/>
          <w:bCs/>
        </w:rPr>
        <w:fldChar w:fldCharType="end"/>
      </w:r>
      <w:r w:rsidRPr="002A7128">
        <w:rPr>
          <w:rFonts w:ascii="Calibri" w:hAnsi="Calibri" w:cs="Calibri"/>
          <w:b/>
          <w:bCs/>
        </w:rPr>
        <w:t>C)</w:t>
      </w:r>
      <w:r w:rsidRPr="002A7128">
        <w:rPr>
          <w:rFonts w:ascii="Calibri" w:hAnsi="Calibri" w:cs="Calibri"/>
        </w:rPr>
        <w:t xml:space="preserve"> and cell membrane damage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_Ref105242469 \h  \* MERGEFORMAT </w:instrText>
      </w:r>
      <w:r w:rsidRPr="002A7128">
        <w:rPr>
          <w:rFonts w:ascii="Calibri" w:hAnsi="Calibri" w:cs="Calibri"/>
          <w:b/>
          <w:bCs/>
        </w:rPr>
      </w:r>
      <w:r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40</w:t>
      </w:r>
      <w:r w:rsidRPr="002A7128">
        <w:rPr>
          <w:rFonts w:ascii="Calibri" w:hAnsi="Calibri" w:cs="Calibri"/>
          <w:b/>
          <w:bCs/>
        </w:rPr>
        <w:fldChar w:fldCharType="end"/>
      </w:r>
      <w:r w:rsidRPr="002A7128">
        <w:rPr>
          <w:rFonts w:ascii="Calibri" w:hAnsi="Calibri" w:cs="Calibri"/>
          <w:b/>
          <w:bCs/>
        </w:rPr>
        <w:t>D)</w:t>
      </w:r>
      <w:r w:rsidRPr="002A7128">
        <w:rPr>
          <w:rFonts w:ascii="Calibri" w:hAnsi="Calibri" w:cs="Calibri"/>
        </w:rPr>
        <w:t>. In addition, [II] treatment also induced IL-1</w:t>
      </w:r>
      <w:r w:rsidRPr="005140F7">
        <w:rPr>
          <w:rFonts w:ascii="Symbol" w:hAnsi="Symbol" w:cs="Calibri"/>
        </w:rPr>
        <w:t>b</w:t>
      </w:r>
      <w:r w:rsidRPr="002A7128">
        <w:rPr>
          <w:rFonts w:ascii="Calibri" w:hAnsi="Calibri" w:cs="Calibri"/>
        </w:rPr>
        <w:t xml:space="preserve"> secretion from BMDCs </w:t>
      </w:r>
      <w:r w:rsidRPr="002A7128">
        <w:rPr>
          <w:rFonts w:ascii="Calibri" w:hAnsi="Calibri" w:cs="Calibri"/>
          <w:b/>
          <w:bCs/>
        </w:rPr>
        <w:t>(</w:t>
      </w:r>
      <w:r w:rsidRPr="002A7128">
        <w:rPr>
          <w:rFonts w:ascii="Calibri" w:hAnsi="Calibri" w:cs="Calibri"/>
          <w:b/>
          <w:bCs/>
        </w:rPr>
        <w:fldChar w:fldCharType="begin"/>
      </w:r>
      <w:r w:rsidRPr="002A7128">
        <w:rPr>
          <w:rFonts w:ascii="Calibri" w:hAnsi="Calibri" w:cs="Calibri"/>
          <w:b/>
          <w:bCs/>
        </w:rPr>
        <w:instrText xml:space="preserve"> REF _Ref105242469 \h  \* MERGEFORMAT </w:instrText>
      </w:r>
      <w:r w:rsidRPr="002A7128">
        <w:rPr>
          <w:rFonts w:ascii="Calibri" w:hAnsi="Calibri" w:cs="Calibri"/>
          <w:b/>
          <w:bCs/>
        </w:rPr>
      </w:r>
      <w:r w:rsidRPr="002A7128">
        <w:rPr>
          <w:rFonts w:ascii="Calibri" w:hAnsi="Calibri" w:cs="Calibri"/>
          <w:b/>
          <w:bCs/>
        </w:rPr>
        <w:fldChar w:fldCharType="separate"/>
      </w:r>
      <w:r w:rsidR="00A27485" w:rsidRPr="002A7128">
        <w:rPr>
          <w:rFonts w:ascii="Calibri" w:hAnsi="Calibri" w:cs="Calibri"/>
          <w:b/>
          <w:bCs/>
          <w:color w:val="000000" w:themeColor="text1"/>
        </w:rPr>
        <w:t xml:space="preserve">Figure </w:t>
      </w:r>
      <w:r w:rsidR="00A27485" w:rsidRPr="002A7128">
        <w:rPr>
          <w:rFonts w:ascii="Calibri" w:hAnsi="Calibri" w:cs="Calibri"/>
          <w:b/>
          <w:bCs/>
          <w:noProof/>
          <w:color w:val="000000" w:themeColor="text1"/>
        </w:rPr>
        <w:t>40</w:t>
      </w:r>
      <w:r w:rsidRPr="002A7128">
        <w:rPr>
          <w:rFonts w:ascii="Calibri" w:hAnsi="Calibri" w:cs="Calibri"/>
          <w:b/>
          <w:bCs/>
        </w:rPr>
        <w:fldChar w:fldCharType="end"/>
      </w:r>
      <w:r w:rsidRPr="002A7128">
        <w:rPr>
          <w:rFonts w:ascii="Calibri" w:hAnsi="Calibri" w:cs="Calibri"/>
          <w:b/>
          <w:bCs/>
        </w:rPr>
        <w:t>E)</w:t>
      </w:r>
      <w:r w:rsidRPr="002A7128">
        <w:rPr>
          <w:rFonts w:ascii="Calibri" w:hAnsi="Calibri" w:cs="Calibri"/>
        </w:rPr>
        <w:t xml:space="preserve">. These data show that [II] aggregation-induced ICD and DAMP release is independent of cell type; however, the effects induced would be contained locally. </w:t>
      </w:r>
    </w:p>
    <w:p w14:paraId="5BA345CE" w14:textId="66493A05" w:rsidR="002A45FA" w:rsidRPr="002A7128" w:rsidRDefault="00DC795E" w:rsidP="001752A2">
      <w:pPr>
        <w:spacing w:line="480" w:lineRule="auto"/>
        <w:jc w:val="both"/>
        <w:rPr>
          <w:rFonts w:ascii="Calibri" w:hAnsi="Calibri" w:cs="Calibri"/>
        </w:rPr>
      </w:pPr>
      <w:r w:rsidRPr="002A7128">
        <w:rPr>
          <w:rFonts w:ascii="Calibri" w:hAnsi="Calibri" w:cs="Calibri"/>
        </w:rPr>
        <w:t xml:space="preserve">Here, we used a breast cancer spheroid model and studied the effect of peptide aggregation-induced ICD along with known chemotherapeutics. We showed that [II] aggregation-induced ICD can be controlled and is superior to chemotherapeutics in terms of type and amounts of DAMPs. DAMPs released upon [II] treatment activated DCs to secrete pro-inflammatory cytokines that have a role in orchestrating anti-tumor immunity. Furthermore, the transfer of [II] peptide solution did not induce further cytotoxicity, highlighting that [II] aggregation-induced ICD and DAMP release would be contained locally. This study shows that spheroids offer high throughput and physiologically relevant platform to pre-select and test the efficacy of treatment strategies for inducing ICD and DAMP release.  </w:t>
      </w:r>
    </w:p>
    <w:p w14:paraId="07FA1A31" w14:textId="280543BE" w:rsidR="000711C0" w:rsidRPr="002A7128" w:rsidRDefault="009E6673">
      <w:pPr>
        <w:pStyle w:val="Heading2"/>
        <w:numPr>
          <w:ilvl w:val="2"/>
          <w:numId w:val="9"/>
        </w:numPr>
        <w:spacing w:line="480" w:lineRule="auto"/>
        <w:rPr>
          <w:rFonts w:ascii="Calibri" w:hAnsi="Calibri" w:cs="Calibri"/>
        </w:rPr>
      </w:pPr>
      <w:bookmarkStart w:id="205" w:name="_Toc120794222"/>
      <w:r w:rsidRPr="002A7128">
        <w:rPr>
          <w:rFonts w:ascii="Calibri" w:hAnsi="Calibri" w:cs="Calibri"/>
        </w:rPr>
        <w:t>Conclusions</w:t>
      </w:r>
      <w:bookmarkEnd w:id="205"/>
    </w:p>
    <w:p w14:paraId="7EBEC51C" w14:textId="25E72479" w:rsidR="009E6673" w:rsidRPr="002A7128" w:rsidRDefault="009E6673" w:rsidP="00F675B4">
      <w:pPr>
        <w:spacing w:line="480" w:lineRule="auto"/>
        <w:jc w:val="both"/>
        <w:rPr>
          <w:rFonts w:ascii="Calibri" w:hAnsi="Calibri" w:cs="Calibri"/>
        </w:rPr>
      </w:pPr>
      <w:r w:rsidRPr="002A7128">
        <w:rPr>
          <w:rFonts w:ascii="Calibri" w:hAnsi="Calibri" w:cs="Calibri"/>
        </w:rPr>
        <w:t xml:space="preserve">Classical monolayer culture is limited in understanding the efficacy of new treatment strategies for in vivo studies and eventually transitioning into clinical trials. Spheroids offer physiological relevance to solid tumors and provide a high-throughput system to test various conditions to select promising candidates for further studies. One of the most important relevance of spheroids to in vivo tumors is their resistance to chemotherapeutics, which ultimately changes </w:t>
      </w:r>
      <w:r w:rsidRPr="002A7128">
        <w:rPr>
          <w:rFonts w:ascii="Calibri" w:hAnsi="Calibri" w:cs="Calibri"/>
        </w:rPr>
        <w:lastRenderedPageBreak/>
        <w:t>cell death. Considering that different concentration of chemotherapeutics alters the immunogenicity and DAMP release of dying cells</w:t>
      </w:r>
      <w:r w:rsidRPr="002A7128">
        <w:rPr>
          <w:rFonts w:ascii="Calibri" w:hAnsi="Calibri" w:cs="Calibri"/>
        </w:rPr>
        <w:fldChar w:fldCharType="begin"/>
      </w:r>
      <w:r w:rsidR="00317E7D" w:rsidRPr="002A7128">
        <w:rPr>
          <w:rFonts w:ascii="Calibri" w:hAnsi="Calibri" w:cs="Calibri"/>
        </w:rPr>
        <w:instrText xml:space="preserve"> ADDIN ZOTERO_ITEM CSL_CITATION {"citationID":"a2jgik93hen","properties":{"formattedCitation":"\\super 46,50,75\\nosupersub{}","plainCitation":"46,50,75","noteIndex":0},"citationItems":[{"id":9239,"uris":["http://zotero.org/groups/2667333/items/IP75GGEY"],"itemData":{"id":9239,"type":"report","abstract":"Inhibition of immune checkpoints has shown promising results in the treatment of certain tumor types. However, the majority of cancers do not respond to immune checkpoint inhibition (ICI) treatment, indicating the need to identify additional modalities that enhance the response to immune checkpoint blockade. In this study, we identified a tumor-tailored approach using ex-vivo DNA damaging chemotherapy-treated tumor cells as a live injured cell adjuvant. Using an optimized ex vivo system for dendritic cellmediated T-cell IFN-γ induction in response to DNA-damaged tumor cells, we identified specific dose-dependent treatments with etoposide and mitoxantrone that markedly enhance IFN-g production by T-cells. Unexpectedly, the immune-enhancing effects of DNA damage failed to correlate with known markers of immunogenic cell death or with the extent of apoptosis or necroptosis. Furthermore, dead tumor cells alone were not sufficient to promote DC cross-presentation and induce IFN-g in T-cells. Instead, the enhanced immunogenicity resided in the fraction of injured cells that remained alive, and required signaling through the RIPK1, NF-kB and p38MAPK pathways. Direct in vivo translation of these findings was accomplished by intra-tumoral injection of ex vivo etoposide-treated tumor cells as an injured cell adjuvant, in combination with systemic anti-PD1/CTLA4 antibodies. This resulted in increased intra-tumoral CD103+ dendritic cells and circulating tumor antigen-specific CD8+ T-cells, leading to enhanced anti-tumor immune responses and improved survival. The effect was abrogated in BATF3-deficient mice indicating that BATF3+ DCs are required for appropriate T-cell stimulation by live but injured DNA-damaged tumor cells. Notably, injection of the free DNA-damaging drug directly into the tumor failed to elicit such an enhanced anti-tumor response as a consequence of simultaneous damage to dendritic cells and T-cells. Finally, the DNA damage induced injured cell adjuvant and systemic ICI combination, but not ICI alone, induced complete tumor regression in a subset of mice who were then able to reject tumor re-challenge, indicating induction of a long-lasting anti-tumor immunological memory by the injured cell adjuvant treatment in vivo.","genre":"preprint","language":"en","note":"DOI: 10.1101/2020.04.26.062216","publisher":"Cancer Biology","source":"DOI.org (Crossref)","title":"The Injury Response to DNA Damage Promotes Anti-Tumor Immunity","URL":"http://biorxiv.org/lookup/doi/10.1101/2020.04.26.062216","author":[{"family":"Sriram","given":"Ganapathy"},{"family":"Milling","given":"Lauren"},{"family":"Chen","given":"Jung-Kuei"},{"family":"Abraham","given":"Wuhbet"},{"family":"Handly","given":"Erika D."},{"family":"Irvine","given":"Darrell J."},{"family":"Yaffe","given":"Michael B."}],"accessed":{"date-parts":[["2021",10,18]]},"issued":{"date-parts":[["2020",4,27]]},"citation-key":"sriram_injury_2020"}},{"id":9987,"uris":["http://zotero.org/groups/2667333/items/UZR9IXT3"],"itemData":{"id":9987,"type":"article-journal","container-title":"Oncogene","DOI":"10.1038/onc.2009.356","ISSN":"0950-9232, 1476-5594","issue":"4","journalAbbreviation":"Oncogene","language":"en","page":"482-491","source":"DOI.org (Crossref)","title":"Immunogenic death of colon cancer cells treated with oxaliplatin","URL":"http://www.nature.com/articles/onc2009356","volume":"29","author":[{"family":"Tesniere","given":"A"},{"family":"Schlemmer","given":"F"},{"family":"Boige","given":"V"},{"family":"Kepp","given":"O"},{"family":"Martins","given":"I"},{"family":"Ghiringhelli","given":"F"},{"family":"Aymeric","given":"L"},{"family":"Michaud","given":"M"},{"family":"Apetoh","given":"L"},{"family":"Barault","given":"L"},{"family":"Mendiboure","given":"J"},{"family":"Pignon","given":"J-P"},{"family":"Jooste","given":"V"},{"family":"Endert","given":"P","non-dropping-particle":"van"},{"family":"Ducreux","given":"M"},{"family":"Zitvogel","given":"L"},{"family":"Piard","given":"F"},{"family":"Kroemer","given":"G"}],"accessed":{"date-parts":[["2022",2,10]]},"issued":{"date-parts":[["2010",1]]},"citation-key":"tesniere_immunogenic_2010"}},{"id":9977,"uris":["http://zotero.org/groups/2667333/items/BI5NJEN7"],"itemData":{"id":9977,"type":"article-journal","container-title":"Cell Cycle","DOI":"10.4161/cc.8.22.10026","ISSN":"1538-4101, 1551-4005","issue":"22","journalAbbreviation":"Cell Cycle","language":"en","page":"3723-3728","source":"DOI.org (Crossref)","title":"Chemotherapy induces ATP release from tumor cells","URL":"http://www.tandfonline.com/doi/abs/10.4161/cc.8.22.10026","volume":"8","author":[{"family":"Martins","given":"Isabelle"},{"family":"Tesniere","given":"Antoine"},{"family":"Kepp","given":"Oliver"},{"family":"Michaud","given":"Mickael"},{"family":"Schlemmer","given":"Frederic"},{"family":"Senovilla","given":"Laura"},{"family":"Séror","given":"Claire"},{"family":"Métivier","given":"Didier"},{"family":"Perfettini","given":"Jean-Luc"},{"family":"Zitvogel","given":"Laurence"},{"family":"Kroemer","given":"Guido"}],"accessed":{"date-parts":[["2022",2,10]]},"issued":{"date-parts":[["2009",11,15]]},"citation-key":"martins_chemotherapy_2009"}}],"schema":"https://github.com/citation-style-language/schema/raw/master/csl-citation.json"} </w:instrText>
      </w:r>
      <w:r w:rsidRPr="002A7128">
        <w:rPr>
          <w:rFonts w:ascii="Calibri" w:hAnsi="Calibri" w:cs="Calibri"/>
        </w:rPr>
        <w:fldChar w:fldCharType="separate"/>
      </w:r>
      <w:r w:rsidR="00317E7D" w:rsidRPr="002A7128">
        <w:rPr>
          <w:rFonts w:ascii="Calibri" w:hAnsi="Calibri" w:cs="Calibri"/>
          <w:vertAlign w:val="superscript"/>
        </w:rPr>
        <w:t>46,50,75</w:t>
      </w:r>
      <w:r w:rsidRPr="002A7128">
        <w:rPr>
          <w:rFonts w:ascii="Calibri" w:hAnsi="Calibri" w:cs="Calibri"/>
        </w:rPr>
        <w:fldChar w:fldCharType="end"/>
      </w:r>
      <w:r w:rsidRPr="002A7128">
        <w:rPr>
          <w:rFonts w:ascii="Calibri" w:hAnsi="Calibri" w:cs="Calibri"/>
        </w:rPr>
        <w:t xml:space="preserve">, it is necessary to use physiologically relevant models to study ICD and DAMP release. Here, we compared the efficacy of the peptide aggregation model with known chemotherapeutics in the breast cancer spheroid model. We showed peptide aggregation model offers a superior platform in DAMP release and subsequent BMDC activation. Studying exclusively in monolayer cultures might not reflect the physiological outcome in terms of the composition and the type of released DAMPs. Therefore, spheroid models offer a more physiologically relevant model to study the immunogenicity of current treatment strategies and offer a platform to test the efficacy of new therapies.  </w:t>
      </w:r>
    </w:p>
    <w:p w14:paraId="3846B315" w14:textId="59960706" w:rsidR="009E6673" w:rsidRPr="002A7128" w:rsidRDefault="009E6673">
      <w:pPr>
        <w:pStyle w:val="Heading2"/>
        <w:numPr>
          <w:ilvl w:val="2"/>
          <w:numId w:val="9"/>
        </w:numPr>
        <w:spacing w:line="480" w:lineRule="auto"/>
        <w:rPr>
          <w:rFonts w:ascii="Calibri" w:hAnsi="Calibri" w:cs="Calibri"/>
        </w:rPr>
      </w:pPr>
      <w:bookmarkStart w:id="206" w:name="_Toc120794223"/>
      <w:r w:rsidRPr="002A7128">
        <w:rPr>
          <w:rFonts w:ascii="Calibri" w:hAnsi="Calibri" w:cs="Calibri"/>
        </w:rPr>
        <w:t>Experimental Section</w:t>
      </w:r>
      <w:bookmarkEnd w:id="206"/>
    </w:p>
    <w:p w14:paraId="2CF985AD" w14:textId="7A7BD5F8" w:rsidR="009E6673" w:rsidRPr="00C62AA6" w:rsidRDefault="009E6673">
      <w:pPr>
        <w:pStyle w:val="Heading2"/>
        <w:numPr>
          <w:ilvl w:val="3"/>
          <w:numId w:val="9"/>
        </w:numPr>
        <w:spacing w:line="480" w:lineRule="auto"/>
        <w:rPr>
          <w:rFonts w:ascii="Calibri" w:hAnsi="Calibri" w:cs="Calibri"/>
        </w:rPr>
      </w:pPr>
      <w:bookmarkStart w:id="207" w:name="_Toc120794224"/>
      <w:r w:rsidRPr="002A7128">
        <w:rPr>
          <w:rFonts w:ascii="Calibri" w:hAnsi="Calibri" w:cs="Calibri"/>
        </w:rPr>
        <w:t>Materials</w:t>
      </w:r>
      <w:bookmarkEnd w:id="207"/>
    </w:p>
    <w:p w14:paraId="2B2BA3EF" w14:textId="464A0BF6" w:rsidR="00D70D84" w:rsidRPr="002A7128" w:rsidRDefault="009E6673" w:rsidP="00F675B4">
      <w:pPr>
        <w:spacing w:line="480" w:lineRule="auto"/>
        <w:jc w:val="both"/>
        <w:rPr>
          <w:rFonts w:ascii="Calibri" w:hAnsi="Calibri" w:cs="Calibri"/>
          <w:b/>
          <w:bCs/>
        </w:rPr>
      </w:pPr>
      <w:r w:rsidRPr="002A7128">
        <w:rPr>
          <w:rFonts w:ascii="Calibri" w:hAnsi="Calibri" w:cs="Calibri"/>
        </w:rPr>
        <w:t xml:space="preserve">9-fluorenylmethoxycarbonyl (Fmoc) protected amino acids, [4-[a-(2’,4’-dimethoxyphenyl) Fmoc </w:t>
      </w:r>
      <w:proofErr w:type="spellStart"/>
      <w:r w:rsidRPr="002A7128">
        <w:rPr>
          <w:rFonts w:ascii="Calibri" w:hAnsi="Calibri" w:cs="Calibri"/>
        </w:rPr>
        <w:t>aminomethyl</w:t>
      </w:r>
      <w:proofErr w:type="spellEnd"/>
      <w:r w:rsidRPr="002A7128">
        <w:rPr>
          <w:rFonts w:ascii="Calibri" w:hAnsi="Calibri" w:cs="Calibri"/>
        </w:rPr>
        <w:t xml:space="preserve">] phenoxy] </w:t>
      </w:r>
      <w:proofErr w:type="spellStart"/>
      <w:r w:rsidRPr="002A7128">
        <w:rPr>
          <w:rFonts w:ascii="Calibri" w:hAnsi="Calibri" w:cs="Calibri"/>
        </w:rPr>
        <w:t>acetamidonorleucyl</w:t>
      </w:r>
      <w:proofErr w:type="spellEnd"/>
      <w:r w:rsidRPr="002A7128">
        <w:rPr>
          <w:rFonts w:ascii="Calibri" w:hAnsi="Calibri" w:cs="Calibri"/>
        </w:rPr>
        <w:t xml:space="preserve">-MBHA resin (Rink amide MBHA resin), </w:t>
      </w:r>
      <w:proofErr w:type="spellStart"/>
      <w:r w:rsidRPr="002A7128">
        <w:rPr>
          <w:rFonts w:ascii="Calibri" w:hAnsi="Calibri" w:cs="Calibri"/>
        </w:rPr>
        <w:t>Oxyma</w:t>
      </w:r>
      <w:proofErr w:type="spellEnd"/>
      <w:r w:rsidRPr="002A7128">
        <w:rPr>
          <w:rFonts w:ascii="Calibri" w:hAnsi="Calibri" w:cs="Calibri"/>
        </w:rPr>
        <w:t>, N, N'-</w:t>
      </w:r>
      <w:proofErr w:type="spellStart"/>
      <w:r w:rsidRPr="002A7128">
        <w:rPr>
          <w:rFonts w:ascii="Calibri" w:hAnsi="Calibri" w:cs="Calibri"/>
        </w:rPr>
        <w:t>Diisopropylcarbodiimide</w:t>
      </w:r>
      <w:proofErr w:type="spellEnd"/>
      <w:r w:rsidRPr="002A7128">
        <w:rPr>
          <w:rFonts w:ascii="Calibri" w:hAnsi="Calibri" w:cs="Calibri"/>
        </w:rPr>
        <w:t xml:space="preserve"> (DIC), piperidine, Trifluoroacetic acid (TFA), dimethylformamide (DMF), dichloromethane (DCM) </w:t>
      </w:r>
      <w:r w:rsidR="00A86311" w:rsidRPr="002A7128">
        <w:rPr>
          <w:rFonts w:ascii="Calibri" w:hAnsi="Calibri" w:cs="Calibri"/>
        </w:rPr>
        <w:t>was</w:t>
      </w:r>
      <w:r w:rsidRPr="002A7128">
        <w:rPr>
          <w:rFonts w:ascii="Calibri" w:hAnsi="Calibri" w:cs="Calibri"/>
        </w:rPr>
        <w:t xml:space="preserve"> purchased from Gyros Protein Technologies. </w:t>
      </w:r>
      <w:proofErr w:type="spellStart"/>
      <w:r w:rsidRPr="002A7128">
        <w:rPr>
          <w:rFonts w:ascii="Calibri" w:hAnsi="Calibri" w:cs="Calibri"/>
        </w:rPr>
        <w:t>Triisopropylsilane</w:t>
      </w:r>
      <w:proofErr w:type="spellEnd"/>
      <w:r w:rsidRPr="002A7128">
        <w:rPr>
          <w:rFonts w:ascii="Calibri" w:hAnsi="Calibri" w:cs="Calibri"/>
        </w:rPr>
        <w:t>, Acetic anhydride, Congo Red dye, and pyrene were purchased from Sigma-Aldrich. Deionized water (resistance of 18.2 M</w:t>
      </w:r>
      <w:r w:rsidRPr="002A7128">
        <w:rPr>
          <w:rFonts w:ascii="Calibri" w:hAnsi="Calibri" w:cs="Calibri"/>
        </w:rPr>
        <w:sym w:font="Symbol" w:char="F057"/>
      </w:r>
      <w:r w:rsidRPr="002A7128">
        <w:rPr>
          <w:rFonts w:ascii="Calibri" w:hAnsi="Calibri" w:cs="Calibri"/>
        </w:rPr>
        <w:t>.cm) was used during the experiments</w:t>
      </w:r>
      <w:r w:rsidRPr="002A7128">
        <w:rPr>
          <w:rFonts w:ascii="Calibri" w:hAnsi="Calibri" w:cs="Calibri"/>
          <w:b/>
          <w:bCs/>
        </w:rPr>
        <w:t>.</w:t>
      </w:r>
    </w:p>
    <w:p w14:paraId="2860E7BC" w14:textId="281FED80" w:rsidR="009E6673" w:rsidRPr="002A7128" w:rsidRDefault="00D70D84">
      <w:pPr>
        <w:pStyle w:val="Heading2"/>
        <w:numPr>
          <w:ilvl w:val="3"/>
          <w:numId w:val="9"/>
        </w:numPr>
        <w:spacing w:line="480" w:lineRule="auto"/>
        <w:rPr>
          <w:rFonts w:ascii="Calibri" w:hAnsi="Calibri" w:cs="Calibri"/>
        </w:rPr>
      </w:pPr>
      <w:bookmarkStart w:id="208" w:name="_Toc120794225"/>
      <w:r w:rsidRPr="002A7128">
        <w:rPr>
          <w:rFonts w:ascii="Calibri" w:hAnsi="Calibri" w:cs="Calibri"/>
        </w:rPr>
        <w:t>Peptide synthesis</w:t>
      </w:r>
      <w:bookmarkEnd w:id="208"/>
    </w:p>
    <w:p w14:paraId="28A6D69D" w14:textId="6F25EEC7" w:rsidR="009E6673" w:rsidRPr="002A7128" w:rsidRDefault="009E6673" w:rsidP="00F675B4">
      <w:pPr>
        <w:spacing w:line="480" w:lineRule="auto"/>
        <w:jc w:val="both"/>
        <w:rPr>
          <w:rFonts w:ascii="Calibri" w:hAnsi="Calibri" w:cs="Calibri"/>
        </w:rPr>
      </w:pPr>
      <w:r w:rsidRPr="002A7128">
        <w:rPr>
          <w:rFonts w:ascii="Calibri" w:hAnsi="Calibri" w:cs="Calibri"/>
        </w:rPr>
        <w:t xml:space="preserve">KFFIIK and EFFIIE peptides were synthesized by solid-phase peptide synthesis with </w:t>
      </w:r>
      <w:proofErr w:type="spellStart"/>
      <w:r w:rsidRPr="002A7128">
        <w:rPr>
          <w:rFonts w:ascii="Calibri" w:hAnsi="Calibri" w:cs="Calibri"/>
        </w:rPr>
        <w:t>PreludeX</w:t>
      </w:r>
      <w:proofErr w:type="spellEnd"/>
      <w:r w:rsidRPr="002A7128">
        <w:rPr>
          <w:rFonts w:ascii="Calibri" w:hAnsi="Calibri" w:cs="Calibri"/>
        </w:rPr>
        <w:t xml:space="preserve"> automatic peptide synthesizer (Protein Technologies, Inc., Tucson, AZ). They were prepared on a 0.25 scale by repeated amino acid couplings using Fmoc protected amino acid (3 eq. 1mL), DIC (7.5 eq. 1mL), and </w:t>
      </w:r>
      <w:proofErr w:type="spellStart"/>
      <w:r w:rsidRPr="002A7128">
        <w:rPr>
          <w:rFonts w:ascii="Calibri" w:hAnsi="Calibri" w:cs="Calibri"/>
        </w:rPr>
        <w:t>Oxyma</w:t>
      </w:r>
      <w:proofErr w:type="spellEnd"/>
      <w:r w:rsidRPr="002A7128">
        <w:rPr>
          <w:rFonts w:ascii="Calibri" w:hAnsi="Calibri" w:cs="Calibri"/>
        </w:rPr>
        <w:t xml:space="preserve"> (7.5 eq. 1mL). MBHA Rink Amide resin (High-Loaded, Gyros Protein </w:t>
      </w:r>
      <w:r w:rsidRPr="002A7128">
        <w:rPr>
          <w:rFonts w:ascii="Calibri" w:hAnsi="Calibri" w:cs="Calibri"/>
        </w:rPr>
        <w:lastRenderedPageBreak/>
        <w:t>Technologies) was used as solid support to construct the peptides. Fmoc protected amino acids (Gyros Protein Technologies) were removed through treatment with 20% piperidine/DMF solution for 45 min (three times for 15 min) at 80°C. All the peptide conjugation was performed for 2h at 80°C and acetylated with treatment with 10% acetonitrile/DMF solution for 15 min twice. Cleavage of the peptides from resin and deprotection of acid labile protected amino acids were carried out with a mixture of TFA/ TIS/ water in a ratio of 95:2.5:2.5 for 3 h at room temperature. Excess TFA and organic solvents were removed by evaporation, and the remaining peptide was precipitated using diethyl ether at 80°C by using 1:4 volume ratio and stayed overnight. After precipitation, peptides in ether solutions were centrifuged at 8000 rpm for 15 min. Peptide precipitates were collected, and ether was removed. The centrifuged white peptide precipitate was dissolved in either (0.1% formic acid in water for KFFIIK peptide) or (0.1% ammonium hydroxide in water for EFFIIE peptide). Peptides were puriﬁed with preparative HPLC (Agilent 1260) with Agilent ZORBAX 300 SB-C18 (9.4 x 250 mm) column with a mobile phase of water/acetonitrile mixture (0.1% ammonium hydroxide) used for negatively charged peptides; water/acetonitrile mixture (0.1% formic acid) was used for positively charged peptides. All peptides were tested with a purity &gt;95%. HPLC run started with 100% water for 3 min, followed by a gradient increase in acetonitrile from 0% to 100% over 25 min, followed 100% acetonitrile for 3 min, and ended with 100% for 2 min. The ﬂow rate is 2 mL/min, and injection volumes are 10 µL.</w:t>
      </w:r>
    </w:p>
    <w:p w14:paraId="1D4641E7" w14:textId="2B5B0D44" w:rsidR="00D70D84" w:rsidRPr="002A7128" w:rsidRDefault="00D70D84" w:rsidP="00F675B4">
      <w:pPr>
        <w:spacing w:line="480" w:lineRule="auto"/>
        <w:jc w:val="both"/>
        <w:rPr>
          <w:rFonts w:ascii="Calibri" w:hAnsi="Calibri" w:cs="Calibri"/>
        </w:rPr>
      </w:pPr>
    </w:p>
    <w:p w14:paraId="0D4E47CD" w14:textId="38F057E3" w:rsidR="00D70D84" w:rsidRPr="002A7128" w:rsidRDefault="00D70D84">
      <w:pPr>
        <w:pStyle w:val="Heading2"/>
        <w:numPr>
          <w:ilvl w:val="3"/>
          <w:numId w:val="9"/>
        </w:numPr>
        <w:spacing w:line="480" w:lineRule="auto"/>
        <w:rPr>
          <w:rFonts w:ascii="Calibri" w:hAnsi="Calibri" w:cs="Calibri"/>
        </w:rPr>
      </w:pPr>
      <w:bookmarkStart w:id="209" w:name="_Toc120794226"/>
      <w:r w:rsidRPr="002A7128">
        <w:rPr>
          <w:rFonts w:ascii="Calibri" w:hAnsi="Calibri" w:cs="Calibri"/>
        </w:rPr>
        <w:lastRenderedPageBreak/>
        <w:t>Thioflavin T (</w:t>
      </w:r>
      <w:proofErr w:type="spellStart"/>
      <w:r w:rsidRPr="002A7128">
        <w:rPr>
          <w:rFonts w:ascii="Calibri" w:hAnsi="Calibri" w:cs="Calibri"/>
        </w:rPr>
        <w:t>ThT</w:t>
      </w:r>
      <w:proofErr w:type="spellEnd"/>
      <w:r w:rsidRPr="002A7128">
        <w:rPr>
          <w:rFonts w:ascii="Calibri" w:hAnsi="Calibri" w:cs="Calibri"/>
        </w:rPr>
        <w:t>) Assay</w:t>
      </w:r>
      <w:bookmarkEnd w:id="209"/>
    </w:p>
    <w:p w14:paraId="62256181" w14:textId="6ECF8DF6" w:rsidR="009E6673" w:rsidRPr="00C62AA6" w:rsidRDefault="009E6673" w:rsidP="00F675B4">
      <w:pPr>
        <w:spacing w:line="480" w:lineRule="auto"/>
        <w:jc w:val="both"/>
        <w:rPr>
          <w:rFonts w:ascii="Calibri" w:hAnsi="Calibri" w:cs="Calibri"/>
        </w:rPr>
      </w:pPr>
      <w:proofErr w:type="spellStart"/>
      <w:r w:rsidRPr="002A7128">
        <w:rPr>
          <w:rFonts w:ascii="Calibri" w:hAnsi="Calibri" w:cs="Calibri"/>
        </w:rPr>
        <w:t>ThT</w:t>
      </w:r>
      <w:proofErr w:type="spellEnd"/>
      <w:r w:rsidRPr="002A7128">
        <w:rPr>
          <w:rFonts w:ascii="Calibri" w:hAnsi="Calibri" w:cs="Calibri"/>
        </w:rPr>
        <w:t xml:space="preserve"> (Sigma-Aldrich) was used to understand the aggregation kinetics of [II] peptide. </w:t>
      </w:r>
      <w:proofErr w:type="spellStart"/>
      <w:r w:rsidRPr="002A7128">
        <w:rPr>
          <w:rFonts w:ascii="Calibri" w:hAnsi="Calibri" w:cs="Calibri"/>
        </w:rPr>
        <w:t>ThT</w:t>
      </w:r>
      <w:proofErr w:type="spellEnd"/>
      <w:r w:rsidRPr="002A7128">
        <w:rPr>
          <w:rFonts w:ascii="Calibri" w:hAnsi="Calibri" w:cs="Calibri"/>
        </w:rPr>
        <w:t xml:space="preserve"> measurement included 1% albumin for 0.5 mM, 0.75 mM, and 1 mM [II] peptide. At ﬁrst, fresh albumin (40mg/mL, 4 %w) was dissolved in 1x PBS and diluted into 1% in 1x PBS. Then, stock peptides (10 mM in water) were diluted (0.5 mM) individually. For </w:t>
      </w:r>
      <w:proofErr w:type="spellStart"/>
      <w:r w:rsidRPr="002A7128">
        <w:rPr>
          <w:rFonts w:ascii="Calibri" w:hAnsi="Calibri" w:cs="Calibri"/>
        </w:rPr>
        <w:t>ThT</w:t>
      </w:r>
      <w:proofErr w:type="spellEnd"/>
      <w:r w:rsidRPr="002A7128">
        <w:rPr>
          <w:rFonts w:ascii="Calibri" w:hAnsi="Calibri" w:cs="Calibri"/>
        </w:rPr>
        <w:t xml:space="preserve"> measurements, 5 µL from 400 µM </w:t>
      </w:r>
      <w:proofErr w:type="spellStart"/>
      <w:r w:rsidRPr="002A7128">
        <w:rPr>
          <w:rFonts w:ascii="Calibri" w:hAnsi="Calibri" w:cs="Calibri"/>
        </w:rPr>
        <w:t>ThT</w:t>
      </w:r>
      <w:proofErr w:type="spellEnd"/>
      <w:r w:rsidRPr="002A7128">
        <w:rPr>
          <w:rFonts w:ascii="Calibri" w:hAnsi="Calibri" w:cs="Calibri"/>
        </w:rPr>
        <w:t xml:space="preserve"> in PBS was added to 195 µL of 0.5 mM KFFIIK and EFFIIE individually. Then, each peptide was mixed and read with </w:t>
      </w:r>
      <w:proofErr w:type="spellStart"/>
      <w:r w:rsidRPr="002A7128">
        <w:rPr>
          <w:rFonts w:ascii="Calibri" w:hAnsi="Calibri" w:cs="Calibri"/>
        </w:rPr>
        <w:t>BioTek</w:t>
      </w:r>
      <w:proofErr w:type="spellEnd"/>
      <w:r w:rsidRPr="002A7128">
        <w:rPr>
          <w:rFonts w:ascii="Calibri" w:hAnsi="Calibri" w:cs="Calibri"/>
        </w:rPr>
        <w:t xml:space="preserve"> Neo2SM microplate reader for 4 h with 10 min intervals (Ex: 440, Em:480 with gain:90). </w:t>
      </w:r>
    </w:p>
    <w:p w14:paraId="22F9BAEF" w14:textId="31B37D7F" w:rsidR="00D70D84" w:rsidRPr="002A7128" w:rsidRDefault="00D70D84">
      <w:pPr>
        <w:pStyle w:val="Heading2"/>
        <w:numPr>
          <w:ilvl w:val="3"/>
          <w:numId w:val="9"/>
        </w:numPr>
        <w:spacing w:line="480" w:lineRule="auto"/>
        <w:rPr>
          <w:rFonts w:ascii="Calibri" w:hAnsi="Calibri" w:cs="Calibri"/>
        </w:rPr>
      </w:pPr>
      <w:bookmarkStart w:id="210" w:name="_Toc120794227"/>
      <w:r w:rsidRPr="002A7128">
        <w:rPr>
          <w:rFonts w:ascii="Calibri" w:hAnsi="Calibri" w:cs="Calibri"/>
        </w:rPr>
        <w:t>Cell Culture and Reagents</w:t>
      </w:r>
      <w:bookmarkEnd w:id="210"/>
    </w:p>
    <w:p w14:paraId="49F776AB" w14:textId="2B860124" w:rsidR="00D70D84" w:rsidRPr="002A7128" w:rsidRDefault="009E6673" w:rsidP="00F675B4">
      <w:pPr>
        <w:spacing w:line="480" w:lineRule="auto"/>
        <w:jc w:val="both"/>
        <w:rPr>
          <w:rFonts w:ascii="Calibri" w:hAnsi="Calibri" w:cs="Calibri"/>
        </w:rPr>
      </w:pPr>
      <w:r w:rsidRPr="002A7128">
        <w:rPr>
          <w:rFonts w:ascii="Calibri" w:hAnsi="Calibri" w:cs="Calibri"/>
        </w:rPr>
        <w:t>Mouse breast cancer cell line EMT6 was cultured in a humidified incubator at 37</w:t>
      </w:r>
      <w:r w:rsidRPr="002A7128">
        <w:rPr>
          <w:rFonts w:ascii="Calibri" w:hAnsi="Calibri" w:cs="Calibri"/>
        </w:rPr>
        <w:sym w:font="Symbol" w:char="F0B0"/>
      </w:r>
      <w:r w:rsidRPr="002A7128">
        <w:rPr>
          <w:rFonts w:ascii="Calibri" w:hAnsi="Calibri" w:cs="Calibri"/>
        </w:rPr>
        <w:t>C supplied with 5% CO2. EMT6 cells were cultured in Roswell Park Memorial Institute (RPMI) media (SIGMA R8758) supplemented with 10% FBS (</w:t>
      </w:r>
      <w:proofErr w:type="spellStart"/>
      <w:r w:rsidRPr="002A7128">
        <w:rPr>
          <w:rFonts w:ascii="Calibri" w:hAnsi="Calibri" w:cs="Calibri"/>
        </w:rPr>
        <w:t>Hyclone</w:t>
      </w:r>
      <w:proofErr w:type="spellEnd"/>
      <w:r w:rsidRPr="002A7128">
        <w:rPr>
          <w:rFonts w:ascii="Calibri" w:hAnsi="Calibri" w:cs="Calibri"/>
        </w:rPr>
        <w:t xml:space="preserve"> SH30910.03), 6 mM HEPES, 50 </w:t>
      </w:r>
      <w:r w:rsidRPr="00A86311">
        <w:rPr>
          <w:rFonts w:ascii="Symbol" w:hAnsi="Symbol" w:cs="Calibri"/>
        </w:rPr>
        <w:t>m</w:t>
      </w:r>
      <w:r w:rsidRPr="002A7128">
        <w:rPr>
          <w:rFonts w:ascii="Calibri" w:hAnsi="Calibri" w:cs="Calibri"/>
        </w:rPr>
        <w:t xml:space="preserve">M 2-mercaptoethanol and 1% antibiotics; penicillin (100 U/mL), and streptomycin (100 </w:t>
      </w:r>
      <w:r w:rsidRPr="00A86311">
        <w:rPr>
          <w:rFonts w:ascii="Symbol" w:hAnsi="Symbol" w:cs="Calibri"/>
        </w:rPr>
        <w:t>m</w:t>
      </w:r>
      <w:r w:rsidRPr="002A7128">
        <w:rPr>
          <w:rFonts w:ascii="Calibri" w:hAnsi="Calibri" w:cs="Calibri"/>
        </w:rPr>
        <w:t>g/mL) (</w:t>
      </w:r>
      <w:proofErr w:type="spellStart"/>
      <w:r w:rsidRPr="002A7128">
        <w:rPr>
          <w:rFonts w:ascii="Calibri" w:hAnsi="Calibri" w:cs="Calibri"/>
        </w:rPr>
        <w:t>Thermo</w:t>
      </w:r>
      <w:proofErr w:type="spellEnd"/>
      <w:r w:rsidRPr="002A7128">
        <w:rPr>
          <w:rFonts w:ascii="Calibri" w:hAnsi="Calibri" w:cs="Calibri"/>
        </w:rPr>
        <w:t xml:space="preserve"> Fisher 15240062). T75 flask (TPP 90076) was used to culture cells, and cells were passaged upon 85% confluency using trypsin (Sigma 59418C). The media was changed every 2 days. </w:t>
      </w:r>
    </w:p>
    <w:p w14:paraId="408A4DFC" w14:textId="50C719B2" w:rsidR="009E6673" w:rsidRPr="002A7128" w:rsidRDefault="00D70D84">
      <w:pPr>
        <w:pStyle w:val="Heading2"/>
        <w:numPr>
          <w:ilvl w:val="3"/>
          <w:numId w:val="9"/>
        </w:numPr>
        <w:spacing w:line="480" w:lineRule="auto"/>
        <w:rPr>
          <w:rFonts w:ascii="Calibri" w:hAnsi="Calibri" w:cs="Calibri"/>
        </w:rPr>
      </w:pPr>
      <w:bookmarkStart w:id="211" w:name="_Toc120794228"/>
      <w:r w:rsidRPr="002A7128">
        <w:rPr>
          <w:rFonts w:ascii="Calibri" w:hAnsi="Calibri" w:cs="Calibri"/>
        </w:rPr>
        <w:t>Spheroid Formation and Characterization</w:t>
      </w:r>
      <w:bookmarkEnd w:id="211"/>
    </w:p>
    <w:p w14:paraId="14DEA380" w14:textId="11BD3892" w:rsidR="009E6673" w:rsidRPr="002A7128" w:rsidRDefault="009E6673" w:rsidP="00F675B4">
      <w:pPr>
        <w:spacing w:line="480" w:lineRule="auto"/>
        <w:jc w:val="both"/>
        <w:rPr>
          <w:rFonts w:ascii="Calibri" w:hAnsi="Calibri" w:cs="Calibri"/>
        </w:rPr>
      </w:pPr>
      <w:r w:rsidRPr="002A7128">
        <w:rPr>
          <w:rFonts w:ascii="Calibri" w:hAnsi="Calibri" w:cs="Calibri"/>
        </w:rPr>
        <w:t xml:space="preserve">EMT6 spheroids were formed through ultra-low attachment technique in U-bottom 96 well plates (CELLTREAT 229590). Briefly, wells of the U-bottom 96 well plate were treated with an anti-adherence rinsing solution (STEMCELL Technologies 07010) and centrifuged at 1300g for 5 min. Then, the solution was aspirated, and surfaces were washed with the basal medium. Then, wells were seeded with 20.000 EMT6 cells, and plates were centrifuged at 100g for 3 min. Media </w:t>
      </w:r>
      <w:r w:rsidRPr="002A7128">
        <w:rPr>
          <w:rFonts w:ascii="Calibri" w:hAnsi="Calibri" w:cs="Calibri"/>
        </w:rPr>
        <w:lastRenderedPageBreak/>
        <w:t xml:space="preserve">was changed every day by carefully replacing 100 </w:t>
      </w:r>
      <w:r w:rsidRPr="00A86311">
        <w:rPr>
          <w:rFonts w:ascii="Symbol" w:hAnsi="Symbol" w:cs="Calibri"/>
        </w:rPr>
        <w:t>m</w:t>
      </w:r>
      <w:r w:rsidRPr="002A7128">
        <w:rPr>
          <w:rFonts w:ascii="Calibri" w:hAnsi="Calibri" w:cs="Calibri"/>
        </w:rPr>
        <w:t>L with fresh medium. Spheroids were imaged every 24h and later analyzed for their area, diameter, circularity, and solidity by using ImageJ.</w:t>
      </w:r>
    </w:p>
    <w:p w14:paraId="232FEC5E" w14:textId="77777777" w:rsidR="00B91A92" w:rsidRPr="002A7128" w:rsidRDefault="00B91A92" w:rsidP="00F675B4">
      <w:pPr>
        <w:spacing w:line="480" w:lineRule="auto"/>
        <w:jc w:val="both"/>
        <w:rPr>
          <w:rFonts w:ascii="Calibri" w:hAnsi="Calibri" w:cs="Calibri"/>
        </w:rPr>
      </w:pPr>
    </w:p>
    <w:p w14:paraId="3C332F01" w14:textId="77777777" w:rsidR="009E6673" w:rsidRPr="002A7128" w:rsidRDefault="009E6673" w:rsidP="00F675B4">
      <w:pPr>
        <w:spacing w:line="480" w:lineRule="auto"/>
        <w:jc w:val="both"/>
        <w:rPr>
          <w:rFonts w:ascii="Calibri" w:hAnsi="Calibri" w:cs="Calibri"/>
        </w:rPr>
      </w:pPr>
      <m:oMathPara>
        <m:oMath>
          <m:r>
            <w:rPr>
              <w:rFonts w:ascii="Cambria Math" w:hAnsi="Cambria Math" w:cs="Calibri"/>
            </w:rPr>
            <m:t>Circularity=</m:t>
          </m:r>
          <m:f>
            <m:fPr>
              <m:ctrlPr>
                <w:rPr>
                  <w:rFonts w:ascii="Cambria Math" w:hAnsi="Cambria Math" w:cs="Calibri"/>
                </w:rPr>
              </m:ctrlPr>
            </m:fPr>
            <m:num>
              <m:d>
                <m:dPr>
                  <m:ctrlPr>
                    <w:rPr>
                      <w:rFonts w:ascii="Cambria Math" w:hAnsi="Cambria Math" w:cs="Calibri"/>
                      <w:i/>
                    </w:rPr>
                  </m:ctrlPr>
                </m:dPr>
                <m:e>
                  <m:r>
                    <w:rPr>
                      <w:rFonts w:ascii="Cambria Math" w:hAnsi="Cambria Math" w:cs="Calibri"/>
                    </w:rPr>
                    <m:t>4π</m:t>
                  </m:r>
                  <m:r>
                    <m:rPr>
                      <m:sty m:val="p"/>
                    </m:rPr>
                    <w:rPr>
                      <w:rFonts w:ascii="Cambria Math" w:hAnsi="Cambria Math" w:cs="Calibri"/>
                    </w:rPr>
                    <m:t xml:space="preserve">× </m:t>
                  </m:r>
                  <m:r>
                    <w:rPr>
                      <w:rFonts w:ascii="Cambria Math" w:hAnsi="Cambria Math" w:cs="Calibri"/>
                    </w:rPr>
                    <m:t>Area</m:t>
                  </m:r>
                  <m:ctrlPr>
                    <w:rPr>
                      <w:rFonts w:ascii="Cambria Math" w:hAnsi="Cambria Math" w:cs="Calibri"/>
                    </w:rPr>
                  </m:ctrlPr>
                </m:e>
              </m:d>
              <m:ctrlPr>
                <w:rPr>
                  <w:rFonts w:ascii="Cambria Math" w:hAnsi="Cambria Math" w:cs="Calibri"/>
                  <w:i/>
                </w:rPr>
              </m:ctrlPr>
            </m:num>
            <m:den>
              <m:sSup>
                <m:sSupPr>
                  <m:ctrlPr>
                    <w:rPr>
                      <w:rFonts w:ascii="Cambria Math" w:hAnsi="Cambria Math" w:cs="Calibri"/>
                    </w:rPr>
                  </m:ctrlPr>
                </m:sSupPr>
                <m:e>
                  <m:r>
                    <w:rPr>
                      <w:rFonts w:ascii="Cambria Math" w:hAnsi="Cambria Math" w:cs="Calibri"/>
                    </w:rPr>
                    <m:t>Perimeter</m:t>
                  </m:r>
                </m:e>
                <m:sup>
                  <m:r>
                    <w:rPr>
                      <w:rFonts w:ascii="Cambria Math" w:hAnsi="Cambria Math" w:cs="Calibri"/>
                    </w:rPr>
                    <m:t>2</m:t>
                  </m:r>
                </m:sup>
              </m:sSup>
            </m:den>
          </m:f>
        </m:oMath>
      </m:oMathPara>
    </w:p>
    <w:p w14:paraId="129F1A79" w14:textId="77777777" w:rsidR="009E6673" w:rsidRPr="002A7128" w:rsidRDefault="009E6673" w:rsidP="00F675B4">
      <w:pPr>
        <w:spacing w:line="480" w:lineRule="auto"/>
        <w:jc w:val="both"/>
        <w:rPr>
          <w:rFonts w:ascii="Calibri" w:hAnsi="Calibri" w:cs="Calibri"/>
        </w:rPr>
      </w:pPr>
    </w:p>
    <w:p w14:paraId="7CC75704" w14:textId="77777777" w:rsidR="009E6673" w:rsidRPr="002A7128" w:rsidRDefault="009E6673" w:rsidP="00F675B4">
      <w:pPr>
        <w:spacing w:line="480" w:lineRule="auto"/>
        <w:jc w:val="both"/>
        <w:rPr>
          <w:rFonts w:ascii="Calibri" w:hAnsi="Calibri" w:cs="Calibri"/>
        </w:rPr>
      </w:pPr>
      <m:oMathPara>
        <m:oMath>
          <m:r>
            <w:rPr>
              <w:rFonts w:ascii="Cambria Math" w:hAnsi="Cambria Math" w:cs="Calibri"/>
            </w:rPr>
            <m:t>Solidity=</m:t>
          </m:r>
          <m:f>
            <m:fPr>
              <m:ctrlPr>
                <w:rPr>
                  <w:rFonts w:ascii="Cambria Math" w:hAnsi="Cambria Math" w:cs="Calibri"/>
                  <w:i/>
                </w:rPr>
              </m:ctrlPr>
            </m:fPr>
            <m:num>
              <m:r>
                <w:rPr>
                  <w:rFonts w:ascii="Cambria Math" w:hAnsi="Cambria Math" w:cs="Calibri"/>
                </w:rPr>
                <m:t>Area</m:t>
              </m:r>
            </m:num>
            <m:den>
              <m:r>
                <w:rPr>
                  <w:rFonts w:ascii="Cambria Math" w:hAnsi="Cambria Math" w:cs="Calibri"/>
                </w:rPr>
                <m:t>Convex Area</m:t>
              </m:r>
            </m:den>
          </m:f>
        </m:oMath>
      </m:oMathPara>
    </w:p>
    <w:p w14:paraId="7E0F9F6E" w14:textId="77777777" w:rsidR="009E6673" w:rsidRPr="002A7128" w:rsidRDefault="009E6673" w:rsidP="00F675B4">
      <w:pPr>
        <w:spacing w:line="480" w:lineRule="auto"/>
        <w:jc w:val="both"/>
        <w:rPr>
          <w:rFonts w:ascii="Calibri" w:hAnsi="Calibri" w:cs="Calibri"/>
        </w:rPr>
      </w:pPr>
    </w:p>
    <w:p w14:paraId="08F6A9D2" w14:textId="77777777" w:rsidR="00D70D84" w:rsidRPr="002A7128" w:rsidRDefault="00D70D84" w:rsidP="00F675B4">
      <w:pPr>
        <w:spacing w:line="480" w:lineRule="auto"/>
        <w:jc w:val="both"/>
        <w:rPr>
          <w:rFonts w:ascii="Calibri" w:hAnsi="Calibri" w:cs="Calibri"/>
          <w:b/>
          <w:bCs/>
        </w:rPr>
      </w:pPr>
    </w:p>
    <w:p w14:paraId="51C4FC59" w14:textId="32B60204" w:rsidR="00D70D84" w:rsidRPr="002A7128" w:rsidRDefault="009E6673">
      <w:pPr>
        <w:pStyle w:val="Heading2"/>
        <w:numPr>
          <w:ilvl w:val="3"/>
          <w:numId w:val="9"/>
        </w:numPr>
        <w:spacing w:line="480" w:lineRule="auto"/>
        <w:rPr>
          <w:rFonts w:ascii="Calibri" w:hAnsi="Calibri" w:cs="Calibri"/>
        </w:rPr>
      </w:pPr>
      <w:bookmarkStart w:id="212" w:name="_Toc120794229"/>
      <w:r w:rsidRPr="002A7128">
        <w:rPr>
          <w:rFonts w:ascii="Calibri" w:hAnsi="Calibri" w:cs="Calibri"/>
        </w:rPr>
        <w:t>Peptide and chemotherapeutics preparation and treatment</w:t>
      </w:r>
      <w:bookmarkEnd w:id="212"/>
      <w:r w:rsidRPr="002A7128">
        <w:rPr>
          <w:rFonts w:ascii="Calibri" w:hAnsi="Calibri" w:cs="Calibri"/>
        </w:rPr>
        <w:t xml:space="preserve"> </w:t>
      </w:r>
    </w:p>
    <w:p w14:paraId="795F19FF" w14:textId="341726CD" w:rsidR="009E6673" w:rsidRPr="002A7128" w:rsidRDefault="009E6673" w:rsidP="00F675B4">
      <w:pPr>
        <w:spacing w:line="480" w:lineRule="auto"/>
        <w:jc w:val="both"/>
        <w:rPr>
          <w:rFonts w:ascii="Calibri" w:hAnsi="Calibri" w:cs="Calibri"/>
        </w:rPr>
      </w:pPr>
      <w:r w:rsidRPr="002A7128">
        <w:rPr>
          <w:rFonts w:ascii="Calibri" w:hAnsi="Calibri" w:cs="Calibri"/>
        </w:rPr>
        <w:t>EFFIIE and KFFIIK were prepared in indicated concentrations in different albumin concentrations. We previously established the preparation technique of [II] peptide</w:t>
      </w:r>
      <w:r w:rsidRPr="002A7128">
        <w:rPr>
          <w:rFonts w:ascii="Calibri" w:hAnsi="Calibri" w:cs="Calibri"/>
        </w:rPr>
        <w:fldChar w:fldCharType="begin"/>
      </w:r>
      <w:r w:rsidR="00317E7D" w:rsidRPr="002A7128">
        <w:rPr>
          <w:rFonts w:ascii="Calibri" w:hAnsi="Calibri" w:cs="Calibri"/>
        </w:rPr>
        <w:instrText xml:space="preserve"> ADDIN ZOTERO_ITEM CSL_CITATION {"citationID":"a2lkh44pcqj","properties":{"formattedCitation":"\\super 343\\nosupersub{}","plainCitation":"343","noteIndex":0},"citationItems":[{"id":"wiida5Bo/dNoyVUEy","uris":["http://zotero.org/groups/2667333/items/GKGZM2KP"],"itemData":{"id":9786,"type":"article-journal","abstract":"Under the influence of stress and membrane damage, cells undergo immunogenic cell death (ICD), which involves the release of damage associated molecular patterns (DAMPs), natural adjuvants for enhancing an immune response. In the presence of an antigen, released DAMPs can determine the type and magnitude of the immune response, and therefore the longevity and efficacy of an antigen-specific immunity. In the last decade, the immune response effect of ICD has been shown, yet there is no tool that can induce controlled ICD with predictable results, regardless of the cell type. We designed a peptide-based tool, called [II], for controlled damage to cell membrane to induce ICD and DAMPs release. Herein we describe a series of experiments that determine that the mechanism of action of [II] includes a caspase-dependent ICD and subsequent release of immune stimulating DAMPs, on various cell types. Moreover, we tested the hypothesis that controlled DAMP release via [II] in vivo was associated with enhancement of antigen-specific adaptive immunity with influenza hemagglutinin (HA) subunit vaccine. HA and [II] showed significantly higher HA specific IgG1 and IgG2a antibodies, compared to HA-only immunized mice, while the peptide itself did not elicit antibodies. In this paper, we demonstrate the first peptide-aggregation induced immunogenic rupture (PAIIR) approach as vaccine adjuvants for increasing both humoral and cellular immunity. In consideration of its ability to enhance IgG2a responses that are associated with heterosubtypic influenza virus protection, PAIIR is a promising adjuvant to promote universal protection upon influenza HA vaccination.","container-title":"Advanced Science","DOI":"10.1101/2021.12.11.472230","language":"en","note":"Company: Cold Spring Harbor Laboratory\nDOI: 10.1101/2021.12.11.472230\nDistributor: Cold Spring Harbor Laboratory\nLabel: Cold Spring Harbor Laboratory\nsection: New Results\ntype: article\nCitation Key: gunay_peptide_2022","source":"BioRxiv","title":"Peptide Aggregation Induced Immunogenic Rupture (PAIIR)","URL":"https://www.biorxiv.org/content/10.1101/2021.12.11.472230v1","volume":"472230","author":[{"family":"Gunay","given":"Gokhan"},{"family":"Hamsici","given":"Seren"},{"family":"Lang","given":"Mark L."},{"family":"Lang","given":"Gillian A."},{"family":"Kovats","given":"Susan"},{"family":"Acar","given":"Handan"}],"accessed":{"date-parts":[["2021",12,14]]},"issued":{"date-parts":[["2022"]]},"citation-key":"gunay_peptide_2022"}}],"schema":"https://github.com/citation-style-language/schema/raw/master/csl-citation.json"} </w:instrText>
      </w:r>
      <w:r w:rsidRPr="002A7128">
        <w:rPr>
          <w:rFonts w:ascii="Calibri" w:hAnsi="Calibri" w:cs="Calibri"/>
        </w:rPr>
        <w:fldChar w:fldCharType="separate"/>
      </w:r>
      <w:r w:rsidR="00A64B61" w:rsidRPr="002A7128">
        <w:rPr>
          <w:rFonts w:ascii="Calibri" w:hAnsi="Calibri" w:cs="Calibri"/>
          <w:vertAlign w:val="superscript"/>
        </w:rPr>
        <w:t>343</w:t>
      </w:r>
      <w:r w:rsidRPr="002A7128">
        <w:rPr>
          <w:rFonts w:ascii="Calibri" w:hAnsi="Calibri" w:cs="Calibri"/>
        </w:rPr>
        <w:fldChar w:fldCharType="end"/>
      </w:r>
      <w:r w:rsidRPr="002A7128">
        <w:rPr>
          <w:rFonts w:ascii="Calibri" w:hAnsi="Calibri" w:cs="Calibri"/>
        </w:rPr>
        <w:t xml:space="preserve">. Briefly, individual charged counterparts were prepared in albumin solutions and mixed for 30 min before treatment. Mitoxantrone (Millipore Sigma M6545) and cisplatin (Millipore Sigma 232120) were used at indicated concentrations and prepared in normal cell culture medium. </w:t>
      </w:r>
    </w:p>
    <w:p w14:paraId="026AE939" w14:textId="1AC50CBD" w:rsidR="00D70D84" w:rsidRPr="002A7128" w:rsidRDefault="009E6673">
      <w:pPr>
        <w:pStyle w:val="Heading2"/>
        <w:numPr>
          <w:ilvl w:val="3"/>
          <w:numId w:val="9"/>
        </w:numPr>
        <w:spacing w:line="480" w:lineRule="auto"/>
        <w:rPr>
          <w:rFonts w:ascii="Calibri" w:hAnsi="Calibri" w:cs="Calibri"/>
        </w:rPr>
      </w:pPr>
      <w:bookmarkStart w:id="213" w:name="_Toc120794230"/>
      <w:r w:rsidRPr="002A7128">
        <w:rPr>
          <w:rFonts w:ascii="Calibri" w:hAnsi="Calibri" w:cs="Calibri"/>
        </w:rPr>
        <w:t>LDH measurement</w:t>
      </w:r>
      <w:bookmarkEnd w:id="213"/>
    </w:p>
    <w:p w14:paraId="40A8D4E2" w14:textId="7F0CA2A5" w:rsidR="009E6673" w:rsidRPr="00C62AA6" w:rsidRDefault="009E6673" w:rsidP="00F675B4">
      <w:pPr>
        <w:spacing w:line="480" w:lineRule="auto"/>
        <w:jc w:val="both"/>
        <w:rPr>
          <w:rFonts w:ascii="Calibri" w:hAnsi="Calibri" w:cs="Calibri"/>
          <w:b/>
          <w:bCs/>
        </w:rPr>
      </w:pPr>
      <w:proofErr w:type="spellStart"/>
      <w:r w:rsidRPr="002A7128">
        <w:rPr>
          <w:rFonts w:ascii="Calibri" w:hAnsi="Calibri" w:cs="Calibri"/>
        </w:rPr>
        <w:t>Cytoscan</w:t>
      </w:r>
      <w:proofErr w:type="spellEnd"/>
      <w:r w:rsidRPr="002A7128">
        <w:rPr>
          <w:rFonts w:ascii="Calibri" w:hAnsi="Calibri" w:cs="Calibri"/>
        </w:rPr>
        <w:t>-LDH cytotoxicity assay kit (G-BIOSCIENCES 786-210) was used to measure LDH release from treated spheroids. Briefly, at the end of the 24h treatments, supernatants were collected after treatments and mixed with LDH reaction mixture for 20 min at 37</w:t>
      </w:r>
      <w:r w:rsidRPr="002A7128">
        <w:rPr>
          <w:rFonts w:ascii="Calibri" w:hAnsi="Calibri" w:cs="Calibri"/>
        </w:rPr>
        <w:sym w:font="Symbol" w:char="F0B0"/>
      </w:r>
      <w:r w:rsidRPr="002A7128">
        <w:rPr>
          <w:rFonts w:ascii="Calibri" w:hAnsi="Calibri" w:cs="Calibri"/>
        </w:rPr>
        <w:t xml:space="preserve">C. The reaction was stopped using the stop solution, and absorbance was measured at 490 nm and 680 nm. Triton-X was used to lyse the spheroids and used as a positive control for LDH release. 680nm background </w:t>
      </w:r>
      <w:r w:rsidRPr="002A7128">
        <w:rPr>
          <w:rFonts w:ascii="Calibri" w:hAnsi="Calibri" w:cs="Calibri"/>
        </w:rPr>
        <w:lastRenderedPageBreak/>
        <w:t>signal was subtracted, and relative LDH release was calculated based on the positive maximum LDH release control group.</w:t>
      </w:r>
    </w:p>
    <w:p w14:paraId="3E3C367D" w14:textId="054E09C3" w:rsidR="00D70D84" w:rsidRPr="002A7128" w:rsidRDefault="009E6673">
      <w:pPr>
        <w:pStyle w:val="Heading2"/>
        <w:numPr>
          <w:ilvl w:val="3"/>
          <w:numId w:val="9"/>
        </w:numPr>
        <w:spacing w:line="480" w:lineRule="auto"/>
        <w:rPr>
          <w:rFonts w:ascii="Calibri" w:hAnsi="Calibri" w:cs="Calibri"/>
        </w:rPr>
      </w:pPr>
      <w:bookmarkStart w:id="214" w:name="_Toc120794231"/>
      <w:r w:rsidRPr="002A7128">
        <w:rPr>
          <w:rFonts w:ascii="Calibri" w:hAnsi="Calibri" w:cs="Calibri"/>
        </w:rPr>
        <w:t>Extracellular ATP measurement</w:t>
      </w:r>
      <w:bookmarkEnd w:id="214"/>
      <w:r w:rsidRPr="002A7128">
        <w:rPr>
          <w:rFonts w:ascii="Calibri" w:hAnsi="Calibri" w:cs="Calibri"/>
        </w:rPr>
        <w:t xml:space="preserve"> </w:t>
      </w:r>
    </w:p>
    <w:p w14:paraId="7DAE1202" w14:textId="22C88C5A" w:rsidR="009E6673" w:rsidRPr="00C62AA6" w:rsidRDefault="009E6673" w:rsidP="00F675B4">
      <w:pPr>
        <w:spacing w:line="480" w:lineRule="auto"/>
        <w:jc w:val="both"/>
        <w:rPr>
          <w:rFonts w:ascii="Calibri" w:hAnsi="Calibri" w:cs="Calibri"/>
          <w:b/>
          <w:bCs/>
        </w:rPr>
      </w:pPr>
      <w:proofErr w:type="spellStart"/>
      <w:r w:rsidRPr="002A7128">
        <w:rPr>
          <w:rFonts w:ascii="Calibri" w:hAnsi="Calibri" w:cs="Calibri"/>
        </w:rPr>
        <w:t>CellTiter</w:t>
      </w:r>
      <w:proofErr w:type="spellEnd"/>
      <w:r w:rsidRPr="002A7128">
        <w:rPr>
          <w:rFonts w:ascii="Calibri" w:hAnsi="Calibri" w:cs="Calibri"/>
        </w:rPr>
        <w:t xml:space="preserve">-Glo 2.0 solution (Promega G9248) was used to measure the extracellular ATP released from spheroids. Briefly, at the end of 24h treatment, supernatants were mixed with </w:t>
      </w:r>
      <w:proofErr w:type="spellStart"/>
      <w:r w:rsidRPr="002A7128">
        <w:rPr>
          <w:rFonts w:ascii="Calibri" w:hAnsi="Calibri" w:cs="Calibri"/>
        </w:rPr>
        <w:t>CellTiter</w:t>
      </w:r>
      <w:proofErr w:type="spellEnd"/>
      <w:r w:rsidRPr="002A7128">
        <w:rPr>
          <w:rFonts w:ascii="Calibri" w:hAnsi="Calibri" w:cs="Calibri"/>
        </w:rPr>
        <w:t xml:space="preserve">-Glo 2.0 solution and incubated for 5 min at room temperature. Then, the luminescent signal was measured with </w:t>
      </w:r>
      <w:proofErr w:type="spellStart"/>
      <w:r w:rsidRPr="002A7128">
        <w:rPr>
          <w:rFonts w:ascii="Calibri" w:hAnsi="Calibri" w:cs="Calibri"/>
        </w:rPr>
        <w:t>BioTek</w:t>
      </w:r>
      <w:proofErr w:type="spellEnd"/>
      <w:r w:rsidRPr="002A7128">
        <w:rPr>
          <w:rFonts w:ascii="Calibri" w:hAnsi="Calibri" w:cs="Calibri"/>
        </w:rPr>
        <w:t xml:space="preserve"> Neo2SM microplate reader accordingly with the manufacturer's instructions.</w:t>
      </w:r>
    </w:p>
    <w:p w14:paraId="426BBFE3" w14:textId="631C1E3B" w:rsidR="00D70D84" w:rsidRPr="002A7128" w:rsidRDefault="009E6673">
      <w:pPr>
        <w:pStyle w:val="Heading2"/>
        <w:numPr>
          <w:ilvl w:val="3"/>
          <w:numId w:val="9"/>
        </w:numPr>
        <w:spacing w:line="480" w:lineRule="auto"/>
        <w:rPr>
          <w:rFonts w:ascii="Calibri" w:hAnsi="Calibri" w:cs="Calibri"/>
        </w:rPr>
      </w:pPr>
      <w:bookmarkStart w:id="215" w:name="_Toc120794232"/>
      <w:r w:rsidRPr="002A7128">
        <w:rPr>
          <w:rFonts w:ascii="Calibri" w:hAnsi="Calibri" w:cs="Calibri"/>
        </w:rPr>
        <w:t>Extracellular dsDNA measurement</w:t>
      </w:r>
      <w:bookmarkEnd w:id="215"/>
      <w:r w:rsidRPr="002A7128">
        <w:rPr>
          <w:rFonts w:ascii="Calibri" w:hAnsi="Calibri" w:cs="Calibri"/>
        </w:rPr>
        <w:t xml:space="preserve"> </w:t>
      </w:r>
    </w:p>
    <w:p w14:paraId="03F3404A" w14:textId="148668A8" w:rsidR="009E6673" w:rsidRPr="002A7128" w:rsidRDefault="009E6673" w:rsidP="00F675B4">
      <w:pPr>
        <w:spacing w:line="480" w:lineRule="auto"/>
        <w:jc w:val="both"/>
        <w:rPr>
          <w:rFonts w:ascii="Calibri" w:hAnsi="Calibri" w:cs="Calibri"/>
        </w:rPr>
      </w:pPr>
      <w:r w:rsidRPr="002A7128">
        <w:rPr>
          <w:rFonts w:ascii="Calibri" w:hAnsi="Calibri" w:cs="Calibri"/>
        </w:rPr>
        <w:t xml:space="preserve">Extracellular dsDNA release from spheroids was measured using </w:t>
      </w:r>
      <w:proofErr w:type="spellStart"/>
      <w:r w:rsidRPr="002A7128">
        <w:rPr>
          <w:rFonts w:ascii="Calibri" w:hAnsi="Calibri" w:cs="Calibri"/>
        </w:rPr>
        <w:t>AccuGreen</w:t>
      </w:r>
      <w:proofErr w:type="spellEnd"/>
      <w:r w:rsidRPr="002A7128">
        <w:rPr>
          <w:rFonts w:ascii="Calibri" w:hAnsi="Calibri" w:cs="Calibri"/>
        </w:rPr>
        <w:t>™ High Sensitivity dsDNA Quantitation Kit (BIOTIUM 31066-T). Briefly, at the end of 24h treatment, supernatants from spheroids were collected, and the released amount of dsDNA was measured accordingly with the manufacturer's instructions. A standard curve was generated and used to quantify the released dsDNA amounts.</w:t>
      </w:r>
    </w:p>
    <w:p w14:paraId="0715D814" w14:textId="6B1E5F0D" w:rsidR="00D70D84" w:rsidRPr="002A7128" w:rsidRDefault="009E6673">
      <w:pPr>
        <w:pStyle w:val="Heading2"/>
        <w:numPr>
          <w:ilvl w:val="3"/>
          <w:numId w:val="9"/>
        </w:numPr>
        <w:spacing w:line="480" w:lineRule="auto"/>
        <w:rPr>
          <w:rFonts w:ascii="Calibri" w:hAnsi="Calibri" w:cs="Calibri"/>
        </w:rPr>
      </w:pPr>
      <w:bookmarkStart w:id="216" w:name="_Toc120794233"/>
      <w:r w:rsidRPr="002A7128">
        <w:rPr>
          <w:rFonts w:ascii="Calibri" w:hAnsi="Calibri" w:cs="Calibri"/>
        </w:rPr>
        <w:t>Immunoblotting reagents</w:t>
      </w:r>
      <w:bookmarkEnd w:id="216"/>
    </w:p>
    <w:p w14:paraId="691DF26E" w14:textId="0369BF24" w:rsidR="009E6673" w:rsidRPr="002A7128" w:rsidRDefault="009E6673" w:rsidP="00F675B4">
      <w:pPr>
        <w:spacing w:line="480" w:lineRule="auto"/>
        <w:jc w:val="both"/>
        <w:rPr>
          <w:rFonts w:ascii="Calibri" w:hAnsi="Calibri" w:cs="Calibri"/>
        </w:rPr>
      </w:pPr>
      <w:r w:rsidRPr="002A7128">
        <w:rPr>
          <w:rFonts w:ascii="Calibri" w:hAnsi="Calibri" w:cs="Calibri"/>
        </w:rPr>
        <w:t>Acrylamide/Bis-acrylamide, 30% solution (Sigma A3699), 1.5 M Tris-HCl, pH 8.8 (</w:t>
      </w:r>
      <w:proofErr w:type="spellStart"/>
      <w:r w:rsidRPr="002A7128">
        <w:rPr>
          <w:rFonts w:ascii="Calibri" w:hAnsi="Calibri" w:cs="Calibri"/>
        </w:rPr>
        <w:t>Teknova</w:t>
      </w:r>
      <w:proofErr w:type="spellEnd"/>
      <w:r w:rsidRPr="002A7128">
        <w:rPr>
          <w:rFonts w:ascii="Calibri" w:hAnsi="Calibri" w:cs="Calibri"/>
        </w:rPr>
        <w:t xml:space="preserve"> T1588), Tris HCl Buffer 0.5 M solution, sterile pH 6.8 (Bio Basic SD8122), Ammonium persulfate (Sigma A3678), </w:t>
      </w:r>
      <w:proofErr w:type="spellStart"/>
      <w:r w:rsidRPr="002A7128">
        <w:rPr>
          <w:rFonts w:ascii="Calibri" w:hAnsi="Calibri" w:cs="Calibri"/>
        </w:rPr>
        <w:t>UltraPure</w:t>
      </w:r>
      <w:proofErr w:type="spellEnd"/>
      <w:r w:rsidRPr="002A7128">
        <w:rPr>
          <w:rFonts w:ascii="Calibri" w:hAnsi="Calibri" w:cs="Calibri"/>
        </w:rPr>
        <w:t xml:space="preserve"> 10% SDS (Invitrogen 15553-027), TEMED (</w:t>
      </w:r>
      <w:proofErr w:type="spellStart"/>
      <w:r w:rsidRPr="002A7128">
        <w:rPr>
          <w:rFonts w:ascii="Calibri" w:hAnsi="Calibri" w:cs="Calibri"/>
        </w:rPr>
        <w:t>Thermo</w:t>
      </w:r>
      <w:proofErr w:type="spellEnd"/>
      <w:r w:rsidRPr="002A7128">
        <w:rPr>
          <w:rFonts w:ascii="Calibri" w:hAnsi="Calibri" w:cs="Calibri"/>
        </w:rPr>
        <w:t xml:space="preserve"> Fisher Scientific 17919), Dithiothreitol (DTT) (BIO-RAD 1610610) Tris Base (Fisher Bioreagents BP152), Glycine (Fisher Bioreagents BP381), 4x </w:t>
      </w:r>
      <w:proofErr w:type="spellStart"/>
      <w:r w:rsidRPr="002A7128">
        <w:rPr>
          <w:rFonts w:ascii="Calibri" w:hAnsi="Calibri" w:cs="Calibri"/>
        </w:rPr>
        <w:t>Laemmli</w:t>
      </w:r>
      <w:proofErr w:type="spellEnd"/>
      <w:r w:rsidRPr="002A7128">
        <w:rPr>
          <w:rFonts w:ascii="Calibri" w:hAnsi="Calibri" w:cs="Calibri"/>
        </w:rPr>
        <w:t xml:space="preserve"> sample buffer (BIO-RAD 1610747), TWEEN 20 (Sigma P9416), Mini Trans-Blot filter paper (BIO-RAD 1703932), Nitrocellulose Membranes 0.45 </w:t>
      </w:r>
      <w:r w:rsidRPr="00A86311">
        <w:rPr>
          <w:rFonts w:ascii="Symbol" w:hAnsi="Symbol" w:cs="Calibri"/>
        </w:rPr>
        <w:t>m</w:t>
      </w:r>
      <w:r w:rsidRPr="002A7128">
        <w:rPr>
          <w:rFonts w:ascii="Calibri" w:hAnsi="Calibri" w:cs="Calibri"/>
        </w:rPr>
        <w:t>m (BIO-RAD 1620115), Western Blotting Luminol Reagent (Santa Cruz sc-2048).</w:t>
      </w:r>
    </w:p>
    <w:p w14:paraId="655D3953" w14:textId="26EC504E" w:rsidR="00D70D84" w:rsidRPr="002A7128" w:rsidRDefault="009E6673">
      <w:pPr>
        <w:pStyle w:val="Heading2"/>
        <w:numPr>
          <w:ilvl w:val="3"/>
          <w:numId w:val="9"/>
        </w:numPr>
        <w:spacing w:line="480" w:lineRule="auto"/>
        <w:rPr>
          <w:rFonts w:ascii="Calibri" w:hAnsi="Calibri" w:cs="Calibri"/>
        </w:rPr>
      </w:pPr>
      <w:bookmarkStart w:id="217" w:name="_Toc120794234"/>
      <w:r w:rsidRPr="002A7128">
        <w:rPr>
          <w:rFonts w:ascii="Calibri" w:hAnsi="Calibri" w:cs="Calibri"/>
        </w:rPr>
        <w:lastRenderedPageBreak/>
        <w:t>Procedure</w:t>
      </w:r>
      <w:bookmarkEnd w:id="217"/>
    </w:p>
    <w:p w14:paraId="05B79DF2" w14:textId="0AD66DD8" w:rsidR="009E6673" w:rsidRPr="002A7128" w:rsidRDefault="009E6673" w:rsidP="00F675B4">
      <w:pPr>
        <w:spacing w:line="480" w:lineRule="auto"/>
        <w:jc w:val="both"/>
        <w:rPr>
          <w:rFonts w:ascii="Calibri" w:hAnsi="Calibri" w:cs="Calibri"/>
        </w:rPr>
      </w:pPr>
      <w:r w:rsidRPr="002A7128">
        <w:rPr>
          <w:rFonts w:ascii="Calibri" w:hAnsi="Calibri" w:cs="Calibri"/>
        </w:rPr>
        <w:t xml:space="preserve">Protein samples were diluted in </w:t>
      </w:r>
      <w:proofErr w:type="spellStart"/>
      <w:r w:rsidRPr="002A7128">
        <w:rPr>
          <w:rFonts w:ascii="Calibri" w:hAnsi="Calibri" w:cs="Calibri"/>
        </w:rPr>
        <w:t>Laemmli</w:t>
      </w:r>
      <w:proofErr w:type="spellEnd"/>
      <w:r w:rsidRPr="002A7128">
        <w:rPr>
          <w:rFonts w:ascii="Calibri" w:hAnsi="Calibri" w:cs="Calibri"/>
        </w:rPr>
        <w:t xml:space="preserve"> buffer and boiled for 5 min at 96 </w:t>
      </w:r>
      <w:r w:rsidRPr="002A7128">
        <w:rPr>
          <w:rFonts w:ascii="Calibri" w:hAnsi="Calibri" w:cs="Calibri"/>
        </w:rPr>
        <w:sym w:font="Symbol" w:char="F0B0"/>
      </w:r>
      <w:r w:rsidRPr="002A7128">
        <w:rPr>
          <w:rFonts w:ascii="Calibri" w:hAnsi="Calibri" w:cs="Calibri"/>
        </w:rPr>
        <w:t>C. Proteins were then separated by sodium dodecyl sulfate-polyacrylamide gel electrophoresis (SDS-PAGE) gels (15%) and transferred to nitrocellulose membranes. After transfer, the membranes were blocked in 5% milk in Tris Buffered Saline with 0.1% Tween 20 (TBST). Blots were then incubated with HMGB-1-HRP (</w:t>
      </w:r>
      <w:proofErr w:type="spellStart"/>
      <w:r w:rsidRPr="002A7128">
        <w:rPr>
          <w:rFonts w:ascii="Calibri" w:hAnsi="Calibri" w:cs="Calibri"/>
        </w:rPr>
        <w:t>BioLegend</w:t>
      </w:r>
      <w:proofErr w:type="spellEnd"/>
      <w:r w:rsidRPr="002A7128">
        <w:rPr>
          <w:rFonts w:ascii="Calibri" w:hAnsi="Calibri" w:cs="Calibri"/>
        </w:rPr>
        <w:t xml:space="preserve"> 651411) overnight. The next day blots were washed with TBST and incubated with HRP conjugated secondary antibodies. Lastly, western blotting luminol reagent solution was added to the membranes, and chemiluminescence signal was detected by Azure c600 Imaging Biosystems.</w:t>
      </w:r>
    </w:p>
    <w:p w14:paraId="3B1EB3D0" w14:textId="1B4BCFA3" w:rsidR="00D70D84" w:rsidRPr="002A7128" w:rsidRDefault="009E6673">
      <w:pPr>
        <w:pStyle w:val="Heading2"/>
        <w:numPr>
          <w:ilvl w:val="3"/>
          <w:numId w:val="9"/>
        </w:numPr>
        <w:spacing w:line="480" w:lineRule="auto"/>
        <w:rPr>
          <w:rFonts w:ascii="Calibri" w:hAnsi="Calibri" w:cs="Calibri"/>
        </w:rPr>
      </w:pPr>
      <w:bookmarkStart w:id="218" w:name="_Toc120794235"/>
      <w:r w:rsidRPr="002A7128">
        <w:rPr>
          <w:rFonts w:ascii="Calibri" w:hAnsi="Calibri" w:cs="Calibri"/>
        </w:rPr>
        <w:t>BMDC generation</w:t>
      </w:r>
      <w:bookmarkEnd w:id="218"/>
    </w:p>
    <w:p w14:paraId="6E5DFC9C" w14:textId="466961DA" w:rsidR="009E6673" w:rsidRPr="002A7128" w:rsidRDefault="009E6673" w:rsidP="00F675B4">
      <w:pPr>
        <w:spacing w:line="480" w:lineRule="auto"/>
        <w:jc w:val="both"/>
        <w:rPr>
          <w:rFonts w:ascii="Calibri" w:hAnsi="Calibri" w:cs="Calibri"/>
        </w:rPr>
      </w:pPr>
      <w:r w:rsidRPr="002A7128">
        <w:rPr>
          <w:rFonts w:ascii="Calibri" w:hAnsi="Calibri" w:cs="Calibri"/>
        </w:rPr>
        <w:t>Bone marrow was harvested from the femurs and tibia of an 8-week-old BALB/c mouse. Bones were flushed with a cold medium 2 times and centrifuged twice at 1500 rpm for 5 min. Cells were incubated with 20 ng/mL GMCSF (</w:t>
      </w:r>
      <w:proofErr w:type="spellStart"/>
      <w:r w:rsidRPr="002A7128">
        <w:rPr>
          <w:rFonts w:ascii="Calibri" w:hAnsi="Calibri" w:cs="Calibri"/>
        </w:rPr>
        <w:t>BioLegend</w:t>
      </w:r>
      <w:proofErr w:type="spellEnd"/>
      <w:r w:rsidRPr="002A7128">
        <w:rPr>
          <w:rFonts w:ascii="Calibri" w:hAnsi="Calibri" w:cs="Calibri"/>
        </w:rPr>
        <w:t xml:space="preserve"> 576304) at a density of 2 x 10</w:t>
      </w:r>
      <w:r w:rsidRPr="002A7128">
        <w:rPr>
          <w:rFonts w:ascii="Calibri" w:hAnsi="Calibri" w:cs="Calibri"/>
          <w:vertAlign w:val="superscript"/>
        </w:rPr>
        <w:t>6</w:t>
      </w:r>
      <w:r w:rsidRPr="002A7128">
        <w:rPr>
          <w:rFonts w:ascii="Calibri" w:hAnsi="Calibri" w:cs="Calibri"/>
        </w:rPr>
        <w:t xml:space="preserve"> cells for 8 days. On day 3, 20 ng/mL GMCSF in 10 mL is added and on day 6, 10 mL of cell solution was replaced with 10 mL fresh medium containing 20 ng/mL GMCSF. On day 8 loosely adhering BMDCs were collected through gentle pipetting.</w:t>
      </w:r>
    </w:p>
    <w:p w14:paraId="49B1FE77" w14:textId="616E5548" w:rsidR="00D70D84" w:rsidRPr="002A7128" w:rsidRDefault="009E6673">
      <w:pPr>
        <w:pStyle w:val="Heading2"/>
        <w:numPr>
          <w:ilvl w:val="3"/>
          <w:numId w:val="9"/>
        </w:numPr>
        <w:spacing w:line="480" w:lineRule="auto"/>
        <w:rPr>
          <w:rFonts w:ascii="Calibri" w:hAnsi="Calibri" w:cs="Calibri"/>
        </w:rPr>
      </w:pPr>
      <w:bookmarkStart w:id="219" w:name="_Toc120794236"/>
      <w:r w:rsidRPr="002A7128">
        <w:rPr>
          <w:rFonts w:ascii="Calibri" w:hAnsi="Calibri" w:cs="Calibri"/>
        </w:rPr>
        <w:t>Co-culture of spheroid conditioned medium with BMDCs</w:t>
      </w:r>
      <w:bookmarkEnd w:id="219"/>
    </w:p>
    <w:p w14:paraId="26B0F1D2" w14:textId="4C7C09C0" w:rsidR="009E6673" w:rsidRPr="002A7128" w:rsidRDefault="009E6673" w:rsidP="00F675B4">
      <w:pPr>
        <w:spacing w:line="480" w:lineRule="auto"/>
        <w:jc w:val="both"/>
        <w:rPr>
          <w:rFonts w:ascii="Calibri" w:hAnsi="Calibri" w:cs="Calibri"/>
        </w:rPr>
      </w:pPr>
      <w:r w:rsidRPr="002A7128">
        <w:rPr>
          <w:rFonts w:ascii="Calibri" w:hAnsi="Calibri" w:cs="Calibri"/>
        </w:rPr>
        <w:t>EMT6 spheroids were treated with [II] peptide, mitoxantrone, and cisplatin for 24h, and spheroid conditioned medium was mixed 1:1 (</w:t>
      </w:r>
      <w:proofErr w:type="spellStart"/>
      <w:proofErr w:type="gramStart"/>
      <w:r w:rsidRPr="002A7128">
        <w:rPr>
          <w:rFonts w:ascii="Calibri" w:hAnsi="Calibri" w:cs="Calibri"/>
        </w:rPr>
        <w:t>v:v</w:t>
      </w:r>
      <w:proofErr w:type="spellEnd"/>
      <w:proofErr w:type="gramEnd"/>
      <w:r w:rsidRPr="002A7128">
        <w:rPr>
          <w:rFonts w:ascii="Calibri" w:hAnsi="Calibri" w:cs="Calibri"/>
        </w:rPr>
        <w:t xml:space="preserve">) with BMDC medium, and BMDCs were incubated for 6 and 24h. </w:t>
      </w:r>
    </w:p>
    <w:p w14:paraId="6D39D695" w14:textId="77777777" w:rsidR="009E6673" w:rsidRPr="002A7128" w:rsidRDefault="009E6673" w:rsidP="00F675B4">
      <w:pPr>
        <w:spacing w:line="480" w:lineRule="auto"/>
        <w:jc w:val="both"/>
        <w:rPr>
          <w:rFonts w:ascii="Calibri" w:hAnsi="Calibri" w:cs="Calibri"/>
        </w:rPr>
      </w:pPr>
    </w:p>
    <w:p w14:paraId="139F90F6" w14:textId="506312B9" w:rsidR="00D70D84" w:rsidRPr="002A7128" w:rsidRDefault="009E6673">
      <w:pPr>
        <w:pStyle w:val="Heading2"/>
        <w:numPr>
          <w:ilvl w:val="3"/>
          <w:numId w:val="9"/>
        </w:numPr>
        <w:spacing w:line="480" w:lineRule="auto"/>
        <w:rPr>
          <w:rFonts w:ascii="Calibri" w:hAnsi="Calibri" w:cs="Calibri"/>
        </w:rPr>
      </w:pPr>
      <w:bookmarkStart w:id="220" w:name="_Toc120794237"/>
      <w:r w:rsidRPr="002A7128">
        <w:rPr>
          <w:rFonts w:ascii="Calibri" w:hAnsi="Calibri" w:cs="Calibri"/>
        </w:rPr>
        <w:lastRenderedPageBreak/>
        <w:t>Enzyme-Linked Immunosorbent Assay (ELISA)</w:t>
      </w:r>
      <w:bookmarkEnd w:id="220"/>
      <w:r w:rsidRPr="002A7128">
        <w:rPr>
          <w:rFonts w:ascii="Calibri" w:hAnsi="Calibri" w:cs="Calibri"/>
        </w:rPr>
        <w:t xml:space="preserve"> </w:t>
      </w:r>
    </w:p>
    <w:p w14:paraId="5EEA1567" w14:textId="53DBC687" w:rsidR="009E6673" w:rsidRDefault="009E6673" w:rsidP="00F675B4">
      <w:pPr>
        <w:spacing w:line="480" w:lineRule="auto"/>
        <w:jc w:val="both"/>
        <w:rPr>
          <w:rFonts w:ascii="Calibri" w:hAnsi="Calibri" w:cs="Calibri"/>
        </w:rPr>
      </w:pPr>
      <w:r w:rsidRPr="002A7128">
        <w:rPr>
          <w:rFonts w:ascii="Calibri" w:hAnsi="Calibri" w:cs="Calibri"/>
        </w:rPr>
        <w:t xml:space="preserve">Supernatants of BMDCs were collected after 6 and 24h incubation with spheroid conditioned mediums. Collected supernatants were centrifuged at 500g for 5 min at 4 </w:t>
      </w:r>
      <w:r w:rsidRPr="002A7128">
        <w:rPr>
          <w:rFonts w:ascii="Calibri" w:hAnsi="Calibri" w:cs="Calibri"/>
        </w:rPr>
        <w:sym w:font="Symbol" w:char="F0B0"/>
      </w:r>
      <w:r w:rsidRPr="002A7128">
        <w:rPr>
          <w:rFonts w:ascii="Calibri" w:hAnsi="Calibri" w:cs="Calibri"/>
        </w:rPr>
        <w:t>C and used in ELISA. Briefly, plates were coated with capture antibody overnight. The next day, plates were blocked and incubated with supernatants, followed by incubation with the detection antibodies. Lastly, plates were incubated with Avidin-HRP and developed with TMB substrate solution. Absorbance was measured at 450 nm and 570 nm. 570 nm value was subtracted, and values were calculated based on the standard curve for IL-6 (</w:t>
      </w:r>
      <w:proofErr w:type="spellStart"/>
      <w:r w:rsidRPr="002A7128">
        <w:rPr>
          <w:rFonts w:ascii="Calibri" w:hAnsi="Calibri" w:cs="Calibri"/>
        </w:rPr>
        <w:t>BioLegend</w:t>
      </w:r>
      <w:proofErr w:type="spellEnd"/>
      <w:r w:rsidRPr="002A7128">
        <w:rPr>
          <w:rFonts w:ascii="Calibri" w:hAnsi="Calibri" w:cs="Calibri"/>
        </w:rPr>
        <w:t xml:space="preserve"> 431315), Il-1</w:t>
      </w:r>
      <w:r w:rsidRPr="00CD1007">
        <w:rPr>
          <w:rFonts w:ascii="Symbol" w:hAnsi="Symbol" w:cs="Calibri"/>
        </w:rPr>
        <w:t>b</w:t>
      </w:r>
      <w:r w:rsidRPr="002A7128">
        <w:rPr>
          <w:rFonts w:ascii="Calibri" w:hAnsi="Calibri" w:cs="Calibri"/>
        </w:rPr>
        <w:t xml:space="preserve"> (</w:t>
      </w:r>
      <w:proofErr w:type="spellStart"/>
      <w:r w:rsidRPr="002A7128">
        <w:rPr>
          <w:rFonts w:ascii="Calibri" w:hAnsi="Calibri" w:cs="Calibri"/>
        </w:rPr>
        <w:t>BioLegend</w:t>
      </w:r>
      <w:proofErr w:type="spellEnd"/>
      <w:r w:rsidRPr="002A7128">
        <w:rPr>
          <w:rFonts w:ascii="Calibri" w:hAnsi="Calibri" w:cs="Calibri"/>
        </w:rPr>
        <w:t xml:space="preserve"> 432615), and IL</w:t>
      </w:r>
      <w:r w:rsidR="000F4001" w:rsidRPr="002A7128">
        <w:rPr>
          <w:rFonts w:ascii="Calibri" w:hAnsi="Calibri" w:cs="Calibri"/>
        </w:rPr>
        <w:t>-</w:t>
      </w:r>
      <w:r w:rsidRPr="002A7128">
        <w:rPr>
          <w:rFonts w:ascii="Calibri" w:hAnsi="Calibri" w:cs="Calibri"/>
        </w:rPr>
        <w:t>10 (</w:t>
      </w:r>
      <w:proofErr w:type="spellStart"/>
      <w:r w:rsidRPr="002A7128">
        <w:rPr>
          <w:rFonts w:ascii="Calibri" w:hAnsi="Calibri" w:cs="Calibri"/>
        </w:rPr>
        <w:t>BioLegend</w:t>
      </w:r>
      <w:proofErr w:type="spellEnd"/>
      <w:r w:rsidRPr="002A7128">
        <w:rPr>
          <w:rFonts w:ascii="Calibri" w:hAnsi="Calibri" w:cs="Calibri"/>
        </w:rPr>
        <w:t xml:space="preserve"> 431414). Lipopolysaccharide (LPS) (Millipore Sigma L2630) was used as a positive control for cytokine release. </w:t>
      </w:r>
    </w:p>
    <w:p w14:paraId="315C1D2F" w14:textId="35D85C62" w:rsidR="00C62AA6" w:rsidRDefault="00C62AA6" w:rsidP="00F675B4">
      <w:pPr>
        <w:spacing w:line="480" w:lineRule="auto"/>
        <w:jc w:val="both"/>
        <w:rPr>
          <w:rFonts w:ascii="Calibri" w:hAnsi="Calibri" w:cs="Calibri"/>
        </w:rPr>
      </w:pPr>
    </w:p>
    <w:p w14:paraId="485CD9F1" w14:textId="3D7A5464" w:rsidR="00C62AA6" w:rsidRDefault="00C62AA6" w:rsidP="00F675B4">
      <w:pPr>
        <w:spacing w:line="480" w:lineRule="auto"/>
        <w:jc w:val="both"/>
        <w:rPr>
          <w:rFonts w:ascii="Calibri" w:hAnsi="Calibri" w:cs="Calibri"/>
        </w:rPr>
      </w:pPr>
    </w:p>
    <w:p w14:paraId="19046688" w14:textId="2F5547E6" w:rsidR="00C62AA6" w:rsidRDefault="00C62AA6" w:rsidP="00F675B4">
      <w:pPr>
        <w:spacing w:line="480" w:lineRule="auto"/>
        <w:jc w:val="both"/>
        <w:rPr>
          <w:rFonts w:ascii="Calibri" w:hAnsi="Calibri" w:cs="Calibri"/>
        </w:rPr>
      </w:pPr>
    </w:p>
    <w:p w14:paraId="75B408AF" w14:textId="18BC2C1E" w:rsidR="00C62AA6" w:rsidRDefault="00C62AA6" w:rsidP="00F675B4">
      <w:pPr>
        <w:spacing w:line="480" w:lineRule="auto"/>
        <w:jc w:val="both"/>
        <w:rPr>
          <w:rFonts w:ascii="Calibri" w:hAnsi="Calibri" w:cs="Calibri"/>
        </w:rPr>
      </w:pPr>
    </w:p>
    <w:p w14:paraId="05F54801" w14:textId="214548D3" w:rsidR="00C62AA6" w:rsidRDefault="00C62AA6" w:rsidP="00F675B4">
      <w:pPr>
        <w:spacing w:line="480" w:lineRule="auto"/>
        <w:jc w:val="both"/>
        <w:rPr>
          <w:rFonts w:ascii="Calibri" w:hAnsi="Calibri" w:cs="Calibri"/>
        </w:rPr>
      </w:pPr>
    </w:p>
    <w:p w14:paraId="7A078344" w14:textId="574D9EFB" w:rsidR="00C62AA6" w:rsidRDefault="00C62AA6" w:rsidP="00F675B4">
      <w:pPr>
        <w:spacing w:line="480" w:lineRule="auto"/>
        <w:jc w:val="both"/>
        <w:rPr>
          <w:rFonts w:ascii="Calibri" w:hAnsi="Calibri" w:cs="Calibri"/>
        </w:rPr>
      </w:pPr>
    </w:p>
    <w:p w14:paraId="57D8EDCE" w14:textId="50CE6A23" w:rsidR="00C62AA6" w:rsidRDefault="00C62AA6" w:rsidP="00F675B4">
      <w:pPr>
        <w:spacing w:line="480" w:lineRule="auto"/>
        <w:jc w:val="both"/>
        <w:rPr>
          <w:rFonts w:ascii="Calibri" w:hAnsi="Calibri" w:cs="Calibri"/>
        </w:rPr>
      </w:pPr>
    </w:p>
    <w:p w14:paraId="19CA9D41" w14:textId="21A677AD" w:rsidR="00C62AA6" w:rsidRDefault="00C62AA6" w:rsidP="00F675B4">
      <w:pPr>
        <w:spacing w:line="480" w:lineRule="auto"/>
        <w:jc w:val="both"/>
        <w:rPr>
          <w:rFonts w:ascii="Calibri" w:hAnsi="Calibri" w:cs="Calibri"/>
        </w:rPr>
      </w:pPr>
    </w:p>
    <w:p w14:paraId="0A49E7EA" w14:textId="1074FE4A" w:rsidR="00C62AA6" w:rsidRDefault="00C62AA6" w:rsidP="00F675B4">
      <w:pPr>
        <w:spacing w:line="480" w:lineRule="auto"/>
        <w:jc w:val="both"/>
        <w:rPr>
          <w:rFonts w:ascii="Calibri" w:hAnsi="Calibri" w:cs="Calibri"/>
        </w:rPr>
      </w:pPr>
    </w:p>
    <w:p w14:paraId="734C1873" w14:textId="337D030A" w:rsidR="00C62AA6" w:rsidRDefault="00C62AA6" w:rsidP="00F675B4">
      <w:pPr>
        <w:spacing w:line="480" w:lineRule="auto"/>
        <w:jc w:val="both"/>
        <w:rPr>
          <w:rFonts w:ascii="Calibri" w:hAnsi="Calibri" w:cs="Calibri"/>
        </w:rPr>
      </w:pPr>
    </w:p>
    <w:p w14:paraId="5DEA5D70" w14:textId="77777777" w:rsidR="00C62AA6" w:rsidRPr="002A7128" w:rsidRDefault="00C62AA6" w:rsidP="00F675B4">
      <w:pPr>
        <w:spacing w:line="480" w:lineRule="auto"/>
        <w:jc w:val="both"/>
        <w:rPr>
          <w:rFonts w:ascii="Calibri" w:hAnsi="Calibri" w:cs="Calibri"/>
        </w:rPr>
      </w:pPr>
    </w:p>
    <w:p w14:paraId="02D3C262" w14:textId="30CEF61F" w:rsidR="004D5B6E" w:rsidRPr="002A7128" w:rsidRDefault="003D0E84" w:rsidP="003D0E84">
      <w:pPr>
        <w:pStyle w:val="Heading1"/>
        <w:rPr>
          <w:rFonts w:ascii="Calibri" w:hAnsi="Calibri" w:cs="Calibri"/>
        </w:rPr>
      </w:pPr>
      <w:bookmarkStart w:id="221" w:name="_Toc120794238"/>
      <w:r w:rsidRPr="002A7128">
        <w:rPr>
          <w:rFonts w:ascii="Calibri" w:hAnsi="Calibri" w:cs="Calibri"/>
        </w:rPr>
        <w:lastRenderedPageBreak/>
        <w:t>Chapter 5: Conclusions</w:t>
      </w:r>
      <w:r w:rsidR="00E80178" w:rsidRPr="002A7128">
        <w:rPr>
          <w:rFonts w:ascii="Calibri" w:hAnsi="Calibri" w:cs="Calibri"/>
        </w:rPr>
        <w:t xml:space="preserve"> and Future Perspectives</w:t>
      </w:r>
      <w:bookmarkEnd w:id="221"/>
    </w:p>
    <w:p w14:paraId="58DE627F" w14:textId="66759560" w:rsidR="003D0E84" w:rsidRPr="002A7128" w:rsidRDefault="003D0E84" w:rsidP="003D0E84">
      <w:pPr>
        <w:rPr>
          <w:rFonts w:ascii="Calibri" w:hAnsi="Calibri" w:cs="Calibri"/>
        </w:rPr>
      </w:pPr>
    </w:p>
    <w:p w14:paraId="47F06BA7" w14:textId="77777777" w:rsidR="003D0E84" w:rsidRPr="002A7128" w:rsidRDefault="003D0E84" w:rsidP="003D0E84">
      <w:pPr>
        <w:rPr>
          <w:rFonts w:ascii="Calibri" w:hAnsi="Calibri" w:cs="Calibri"/>
        </w:rPr>
      </w:pPr>
    </w:p>
    <w:p w14:paraId="41C4827D" w14:textId="6635D84D" w:rsidR="003D0E84" w:rsidRPr="002A7128" w:rsidRDefault="003D0E84" w:rsidP="00F675B4">
      <w:pPr>
        <w:spacing w:line="480" w:lineRule="auto"/>
        <w:jc w:val="both"/>
        <w:rPr>
          <w:rFonts w:ascii="Calibri" w:hAnsi="Calibri" w:cs="Calibri"/>
        </w:rPr>
      </w:pPr>
      <w:r w:rsidRPr="002A7128">
        <w:rPr>
          <w:rFonts w:ascii="Calibri" w:hAnsi="Calibri" w:cs="Calibri"/>
        </w:rPr>
        <w:t xml:space="preserve">In this dissertation, we introduced a tool inspired by the membrane damaging and DAMP release functionality of </w:t>
      </w:r>
      <w:r w:rsidR="000F4001" w:rsidRPr="002A7128">
        <w:rPr>
          <w:rFonts w:ascii="Calibri" w:hAnsi="Calibri" w:cs="Calibri"/>
        </w:rPr>
        <w:t>A</w:t>
      </w:r>
      <w:r w:rsidR="000F4001" w:rsidRPr="00CD1007">
        <w:rPr>
          <w:rFonts w:ascii="Symbol" w:hAnsi="Symbol" w:cs="Calibri"/>
        </w:rPr>
        <w:t>b</w:t>
      </w:r>
      <w:r w:rsidRPr="002A7128">
        <w:rPr>
          <w:rFonts w:ascii="Calibri" w:hAnsi="Calibri" w:cs="Calibri"/>
        </w:rPr>
        <w:t xml:space="preserve"> aggregation. [II] peptide aggregation induces ICD and DAMP release, and controllability of aggregation status offers modulation of</w:t>
      </w:r>
      <w:r w:rsidR="00586495" w:rsidRPr="002A7128">
        <w:rPr>
          <w:rFonts w:ascii="Calibri" w:hAnsi="Calibri" w:cs="Calibri"/>
        </w:rPr>
        <w:t xml:space="preserve"> the</w:t>
      </w:r>
      <w:r w:rsidRPr="002A7128">
        <w:rPr>
          <w:rFonts w:ascii="Calibri" w:hAnsi="Calibri" w:cs="Calibri"/>
        </w:rPr>
        <w:t xml:space="preserve"> immune system.</w:t>
      </w:r>
      <w:r w:rsidR="00586495" w:rsidRPr="002A7128">
        <w:rPr>
          <w:rFonts w:ascii="Calibri" w:hAnsi="Calibri" w:cs="Calibri"/>
        </w:rPr>
        <w:t xml:space="preserve"> Effectivity of [II] peptide to induce immune response was shown here in three different applications: a quadrivalent influenza vaccination platform, a breast cancer prophylactic vaccination model and 3D breast cancer spheroid model. [II] peptide-based protection ultimately relies on the utilization of endogenous DAMPs present within the host. This makes [II] peptide as a tool to induce cell death but a controllable adjuvant as well. When designing materials, safety is one of the primary concerns. We have shown that </w:t>
      </w:r>
      <w:r w:rsidRPr="002A7128">
        <w:rPr>
          <w:rFonts w:ascii="Calibri" w:hAnsi="Calibri" w:cs="Calibri"/>
        </w:rPr>
        <w:t xml:space="preserve">[II] peptide is a safe tool engaging DAMP release </w:t>
      </w:r>
      <w:r w:rsidR="00586495" w:rsidRPr="002A7128">
        <w:rPr>
          <w:rFonts w:ascii="Calibri" w:hAnsi="Calibri" w:cs="Calibri"/>
        </w:rPr>
        <w:t>and its activity is contained locally</w:t>
      </w:r>
      <w:r w:rsidRPr="002A7128">
        <w:rPr>
          <w:rFonts w:ascii="Calibri" w:hAnsi="Calibri" w:cs="Calibri"/>
        </w:rPr>
        <w:t xml:space="preserve">. It induces a controllable damage to the injection site, however, does not result in trauma or scar formation. Counterparts of [II] peptides are only 6 amino acids and therefore could not be presented by the APCs and do not elicit antibody formation against itself. </w:t>
      </w:r>
    </w:p>
    <w:p w14:paraId="0589D550" w14:textId="77777777" w:rsidR="00E80178" w:rsidRPr="002A7128" w:rsidRDefault="00E80178" w:rsidP="00E80178">
      <w:pPr>
        <w:spacing w:line="480" w:lineRule="auto"/>
        <w:jc w:val="both"/>
        <w:rPr>
          <w:rFonts w:ascii="Calibri" w:hAnsi="Calibri" w:cs="Calibri"/>
        </w:rPr>
      </w:pPr>
      <w:r w:rsidRPr="002A7128">
        <w:rPr>
          <w:rFonts w:ascii="Calibri" w:hAnsi="Calibri" w:cs="Calibri"/>
        </w:rPr>
        <w:t xml:space="preserve">DAMPs ultimately are the determinants of the immunogenicity of dying cells. The release of these molecules and their interactions with the immune cells are critical in almost every disease known. Their type and composition ultimately alter the progression of the diseases. Therefore, the ability to control the release of DAMPs holds the key to the development of effective therapies against many disease conditions, one of which is cancer. Currently, therapies are limited to, drug resistance, low to no immunogenicity induction within the tumor, and the patient’s genetic background. The development of anti-cancer vaccines might offer personalized treatment strategies for cancer patients. In this strategy, the patient’s cancer cells are obtained and killed in laboratory conditions and injected back into the patient. These dying cells provide DAMPs and </w:t>
      </w:r>
      <w:r w:rsidRPr="002A7128">
        <w:rPr>
          <w:rFonts w:ascii="Calibri" w:hAnsi="Calibri" w:cs="Calibri"/>
        </w:rPr>
        <w:lastRenderedPageBreak/>
        <w:t xml:space="preserve">tumor-associated antigens of that particular patient. The ultimate goal is to induce strong immunogenicity in the dying cells so that the patient’s immune system can attack the original tumor. However, mutations in tumors and drug resistance of cancer cells limit these applications severely and ultimately render them ineffective. Techniques that are limited with protein expression/mutations and ultimately drug resistance of a particular patient’s cancer cells.  Ideal tools for these applications are the tools that engage ICD and DAMP release through stress pathways that are conserved among all cell types. This eliminates the limitation of specific mutations or the patient’s background. [II] peptide aggregation, in this regard, would present a very unique application for personalized anti-cancer vaccine development. Controllability of the aggregation-induced cell stress, ICD, and DAMP release offers a wide range of immunogenic windows to be studied for individual patients. In this scenario, the best immunogenic window could be identified for each patient separately by studying aggregation and time-dependent DAMP release. Moreover, patients dying cells could be co-cultured with patient's own isolated DCs and immunogenicity can be determined from the DC activation. Furthermore, in addition to dying cancer cells, the patient's own DCs which are activated with the patient's own cancer cells can be injected back into the patient for the development of a personalized DC vaccine. </w:t>
      </w:r>
    </w:p>
    <w:p w14:paraId="13C909E6" w14:textId="77777777" w:rsidR="00E80178" w:rsidRPr="002A7128" w:rsidRDefault="00E80178" w:rsidP="00E80178">
      <w:pPr>
        <w:spacing w:line="480" w:lineRule="auto"/>
        <w:jc w:val="both"/>
        <w:rPr>
          <w:rFonts w:ascii="Calibri" w:hAnsi="Calibri" w:cs="Calibri"/>
        </w:rPr>
      </w:pPr>
      <w:r w:rsidRPr="002A7128">
        <w:rPr>
          <w:rFonts w:ascii="Calibri" w:hAnsi="Calibri" w:cs="Calibri"/>
        </w:rPr>
        <w:t xml:space="preserve">In the case of vaccinations against viral infections, the antigen is provided exogenously. Purified antigens are mixed with adjuvants and ultimately used to increase the production of antigen-specific antibody formation. However, one of the limitations is the diffusion of antigens upon injection. This reduces the local antigen amount and ultimately decreases the activation of APCs. [II] peptide can be aggregated using the antigen itself, thereby localizing the antigen to the injection area. This approach not only would lead to higher local antigen concentrations but </w:t>
      </w:r>
      <w:r w:rsidRPr="002A7128">
        <w:rPr>
          <w:rFonts w:ascii="Calibri" w:hAnsi="Calibri" w:cs="Calibri"/>
        </w:rPr>
        <w:lastRenderedPageBreak/>
        <w:t xml:space="preserve">attract immune cells due to the DAMP release effect of [II] peptide. Within this highly concentrated antigen-DAMP environment, the antigen itself could be slowly released and the local DAMPs would increase the activation. Localizing the antigen to a highly DAMP-present area might lead to the usage of fewer antigens to be able to induce protective immunity. Therefore, on the grand scale, the cost of antigen production would reduce, and ultimately more vaccinations can be done. Similarly, [II] peptide can be aggregated with the inactivated virus itself. This scenario would have both the DAMPs induced by [II] peptide aggregation but also the PAMPs from the inactivated virus. In this formulation, instead of just surface antigens such as HA, multiple different antigens of the virus would be presented to the immune system, increasing the protective capacity. Overall, engaging ICD and DAMP release is an emerging concept in both cancer treatment and development of new vaccinations strategies against viruses. Controlling the immunogenicity of dying cells by utilizing tools such as [II] have high potential to be translated in clinics for different treatment strategies. </w:t>
      </w:r>
    </w:p>
    <w:p w14:paraId="3150D861" w14:textId="77777777" w:rsidR="00E80178" w:rsidRPr="002A7128" w:rsidRDefault="00E80178" w:rsidP="00F675B4">
      <w:pPr>
        <w:spacing w:line="480" w:lineRule="auto"/>
        <w:jc w:val="both"/>
        <w:rPr>
          <w:rFonts w:ascii="Calibri" w:hAnsi="Calibri" w:cs="Calibri"/>
        </w:rPr>
      </w:pPr>
    </w:p>
    <w:p w14:paraId="04C1D2B6" w14:textId="1ABD471E" w:rsidR="004D5B6E" w:rsidRPr="002A7128" w:rsidRDefault="004D5B6E" w:rsidP="00F675B4">
      <w:pPr>
        <w:spacing w:line="480" w:lineRule="auto"/>
        <w:jc w:val="both"/>
        <w:rPr>
          <w:rFonts w:ascii="Calibri" w:hAnsi="Calibri" w:cs="Calibri"/>
        </w:rPr>
      </w:pPr>
    </w:p>
    <w:p w14:paraId="6A5E09CF" w14:textId="34AB4814" w:rsidR="004D5B6E" w:rsidRPr="002A7128" w:rsidRDefault="004D5B6E" w:rsidP="00F675B4">
      <w:pPr>
        <w:spacing w:line="480" w:lineRule="auto"/>
        <w:jc w:val="both"/>
        <w:rPr>
          <w:rFonts w:ascii="Calibri" w:hAnsi="Calibri" w:cs="Calibri"/>
        </w:rPr>
      </w:pPr>
    </w:p>
    <w:p w14:paraId="29F9071A" w14:textId="51923022" w:rsidR="004D5B6E" w:rsidRPr="002A7128" w:rsidRDefault="004D5B6E" w:rsidP="00F675B4">
      <w:pPr>
        <w:spacing w:line="480" w:lineRule="auto"/>
        <w:jc w:val="both"/>
        <w:rPr>
          <w:rFonts w:ascii="Calibri" w:hAnsi="Calibri" w:cs="Calibri"/>
        </w:rPr>
      </w:pPr>
    </w:p>
    <w:p w14:paraId="704D7153" w14:textId="66016959" w:rsidR="004D5B6E" w:rsidRPr="002A7128" w:rsidRDefault="004D5B6E" w:rsidP="00F675B4">
      <w:pPr>
        <w:spacing w:line="480" w:lineRule="auto"/>
        <w:jc w:val="both"/>
        <w:rPr>
          <w:rFonts w:ascii="Calibri" w:hAnsi="Calibri" w:cs="Calibri"/>
        </w:rPr>
      </w:pPr>
    </w:p>
    <w:p w14:paraId="5F336042" w14:textId="5100B784" w:rsidR="004D5B6E" w:rsidRPr="002A7128" w:rsidRDefault="004D5B6E" w:rsidP="00F675B4">
      <w:pPr>
        <w:spacing w:line="480" w:lineRule="auto"/>
        <w:jc w:val="both"/>
        <w:rPr>
          <w:rFonts w:ascii="Calibri" w:hAnsi="Calibri" w:cs="Calibri"/>
        </w:rPr>
      </w:pPr>
    </w:p>
    <w:p w14:paraId="238D203E" w14:textId="781AA377" w:rsidR="004D5B6E" w:rsidRPr="002A7128" w:rsidRDefault="004D5B6E" w:rsidP="00F675B4">
      <w:pPr>
        <w:spacing w:line="480" w:lineRule="auto"/>
        <w:jc w:val="both"/>
        <w:rPr>
          <w:rFonts w:ascii="Calibri" w:hAnsi="Calibri" w:cs="Calibri"/>
        </w:rPr>
      </w:pPr>
    </w:p>
    <w:p w14:paraId="30FE0E3B" w14:textId="1D74CCF8" w:rsidR="004D5B6E" w:rsidRPr="002A7128" w:rsidRDefault="004D5B6E" w:rsidP="00F675B4">
      <w:pPr>
        <w:spacing w:line="480" w:lineRule="auto"/>
        <w:jc w:val="both"/>
        <w:rPr>
          <w:rFonts w:ascii="Calibri" w:hAnsi="Calibri" w:cs="Calibri"/>
        </w:rPr>
      </w:pPr>
    </w:p>
    <w:p w14:paraId="7E4FF98D" w14:textId="77777777" w:rsidR="00FA204E" w:rsidRPr="00530717" w:rsidRDefault="00FA204E" w:rsidP="004D5B6E">
      <w:pPr>
        <w:spacing w:line="480" w:lineRule="auto"/>
        <w:jc w:val="both"/>
        <w:rPr>
          <w:rFonts w:ascii="Calibri" w:hAnsi="Calibri" w:cs="Calibri"/>
          <w:color w:val="000000" w:themeColor="text1"/>
        </w:rPr>
      </w:pPr>
    </w:p>
    <w:p w14:paraId="0DD88A36" w14:textId="0F7279F8" w:rsidR="00FA204E" w:rsidRPr="00FA204E" w:rsidRDefault="00FA204E" w:rsidP="00FA204E">
      <w:pPr>
        <w:pStyle w:val="Caption"/>
        <w:keepNext/>
        <w:rPr>
          <w:rFonts w:ascii="Calibri" w:hAnsi="Calibri" w:cs="Calibri"/>
          <w:i w:val="0"/>
          <w:iCs w:val="0"/>
          <w:color w:val="000000" w:themeColor="text1"/>
          <w:sz w:val="24"/>
          <w:szCs w:val="24"/>
        </w:rPr>
      </w:pPr>
      <w:bookmarkStart w:id="222" w:name="_Toc120787085"/>
      <w:r w:rsidRPr="00FA204E">
        <w:rPr>
          <w:rFonts w:ascii="Calibri" w:hAnsi="Calibri" w:cs="Calibri"/>
          <w:b/>
          <w:bCs/>
          <w:i w:val="0"/>
          <w:iCs w:val="0"/>
          <w:color w:val="000000" w:themeColor="text1"/>
          <w:sz w:val="24"/>
          <w:szCs w:val="24"/>
        </w:rPr>
        <w:lastRenderedPageBreak/>
        <w:t xml:space="preserve">Table </w:t>
      </w:r>
      <w:r w:rsidRPr="00FA204E">
        <w:rPr>
          <w:rFonts w:ascii="Calibri" w:hAnsi="Calibri" w:cs="Calibri"/>
          <w:b/>
          <w:bCs/>
          <w:i w:val="0"/>
          <w:iCs w:val="0"/>
          <w:color w:val="000000" w:themeColor="text1"/>
          <w:sz w:val="24"/>
          <w:szCs w:val="24"/>
        </w:rPr>
        <w:fldChar w:fldCharType="begin"/>
      </w:r>
      <w:r w:rsidRPr="00FA204E">
        <w:rPr>
          <w:rFonts w:ascii="Calibri" w:hAnsi="Calibri" w:cs="Calibri"/>
          <w:b/>
          <w:bCs/>
          <w:i w:val="0"/>
          <w:iCs w:val="0"/>
          <w:color w:val="000000" w:themeColor="text1"/>
          <w:sz w:val="24"/>
          <w:szCs w:val="24"/>
        </w:rPr>
        <w:instrText xml:space="preserve"> SEQ Table \* ARABIC </w:instrText>
      </w:r>
      <w:r w:rsidRPr="00FA204E">
        <w:rPr>
          <w:rFonts w:ascii="Calibri" w:hAnsi="Calibri" w:cs="Calibri"/>
          <w:b/>
          <w:bCs/>
          <w:i w:val="0"/>
          <w:iCs w:val="0"/>
          <w:color w:val="000000" w:themeColor="text1"/>
          <w:sz w:val="24"/>
          <w:szCs w:val="24"/>
        </w:rPr>
        <w:fldChar w:fldCharType="separate"/>
      </w:r>
      <w:r w:rsidRPr="00FA204E">
        <w:rPr>
          <w:rFonts w:ascii="Calibri" w:hAnsi="Calibri" w:cs="Calibri"/>
          <w:b/>
          <w:bCs/>
          <w:i w:val="0"/>
          <w:iCs w:val="0"/>
          <w:noProof/>
          <w:color w:val="000000" w:themeColor="text1"/>
          <w:sz w:val="24"/>
          <w:szCs w:val="24"/>
        </w:rPr>
        <w:t>3</w:t>
      </w:r>
      <w:r w:rsidRPr="00FA204E">
        <w:rPr>
          <w:rFonts w:ascii="Calibri" w:hAnsi="Calibri" w:cs="Calibri"/>
          <w:b/>
          <w:bCs/>
          <w:i w:val="0"/>
          <w:iCs w:val="0"/>
          <w:color w:val="000000" w:themeColor="text1"/>
          <w:sz w:val="24"/>
          <w:szCs w:val="24"/>
        </w:rPr>
        <w:fldChar w:fldCharType="end"/>
      </w:r>
      <w:r w:rsidRPr="00FA204E">
        <w:rPr>
          <w:rFonts w:ascii="Calibri" w:hAnsi="Calibri" w:cs="Calibri"/>
          <w:i w:val="0"/>
          <w:iCs w:val="0"/>
          <w:color w:val="000000" w:themeColor="text1"/>
          <w:sz w:val="24"/>
          <w:szCs w:val="24"/>
        </w:rPr>
        <w:t xml:space="preserve"> List of acronyms</w:t>
      </w:r>
      <w:bookmarkEnd w:id="222"/>
    </w:p>
    <w:tbl>
      <w:tblPr>
        <w:tblStyle w:val="TableGrid"/>
        <w:tblW w:w="0" w:type="auto"/>
        <w:tblLook w:val="04A0" w:firstRow="1" w:lastRow="0" w:firstColumn="1" w:lastColumn="0" w:noHBand="0" w:noVBand="1"/>
      </w:tblPr>
      <w:tblGrid>
        <w:gridCol w:w="1885"/>
        <w:gridCol w:w="7465"/>
      </w:tblGrid>
      <w:tr w:rsidR="00530717" w:rsidRPr="00530717" w14:paraId="47DDB695" w14:textId="77777777" w:rsidTr="00530717">
        <w:tc>
          <w:tcPr>
            <w:tcW w:w="1885" w:type="dxa"/>
          </w:tcPr>
          <w:p w14:paraId="0CC56E8A" w14:textId="31F40428" w:rsidR="00B12634" w:rsidRPr="00530717" w:rsidRDefault="00054DF0" w:rsidP="00F675B4">
            <w:pPr>
              <w:spacing w:line="480" w:lineRule="auto"/>
              <w:rPr>
                <w:rFonts w:ascii="Calibri" w:hAnsi="Calibri" w:cs="Calibri"/>
                <w:color w:val="000000" w:themeColor="text1"/>
              </w:rPr>
            </w:pPr>
            <w:r w:rsidRPr="00530717">
              <w:rPr>
                <w:rFonts w:ascii="Calibri" w:hAnsi="Calibri" w:cs="Calibri"/>
                <w:color w:val="000000" w:themeColor="text1"/>
              </w:rPr>
              <w:t>Abbreviation</w:t>
            </w:r>
          </w:p>
        </w:tc>
        <w:tc>
          <w:tcPr>
            <w:tcW w:w="7465" w:type="dxa"/>
          </w:tcPr>
          <w:p w14:paraId="0D2E64CD" w14:textId="6D5DE941" w:rsidR="00B12634" w:rsidRPr="00530717" w:rsidRDefault="00054DF0" w:rsidP="00F675B4">
            <w:pPr>
              <w:spacing w:line="480" w:lineRule="auto"/>
              <w:rPr>
                <w:rFonts w:ascii="Calibri" w:hAnsi="Calibri" w:cs="Calibri"/>
                <w:color w:val="000000" w:themeColor="text1"/>
              </w:rPr>
            </w:pPr>
            <w:r w:rsidRPr="00530717">
              <w:rPr>
                <w:rFonts w:ascii="Calibri" w:hAnsi="Calibri" w:cs="Calibri"/>
                <w:color w:val="000000" w:themeColor="text1"/>
              </w:rPr>
              <w:t>Meaning</w:t>
            </w:r>
          </w:p>
        </w:tc>
      </w:tr>
      <w:tr w:rsidR="00530717" w:rsidRPr="00530717" w14:paraId="570E4317" w14:textId="77777777" w:rsidTr="00530717">
        <w:tc>
          <w:tcPr>
            <w:tcW w:w="1885" w:type="dxa"/>
          </w:tcPr>
          <w:p w14:paraId="2D72B9A0" w14:textId="5930BE9E" w:rsidR="0035149A" w:rsidRPr="00530717" w:rsidRDefault="0035149A" w:rsidP="00F675B4">
            <w:pPr>
              <w:spacing w:line="480" w:lineRule="auto"/>
              <w:jc w:val="center"/>
              <w:rPr>
                <w:rFonts w:ascii="Calibri" w:hAnsi="Calibri" w:cs="Calibri"/>
                <w:color w:val="000000" w:themeColor="text1"/>
              </w:rPr>
            </w:pPr>
            <w:r w:rsidRPr="00530717">
              <w:rPr>
                <w:rFonts w:ascii="Calibri" w:hAnsi="Calibri" w:cs="Calibri"/>
                <w:color w:val="000000" w:themeColor="text1"/>
              </w:rPr>
              <w:t>A</w:t>
            </w:r>
          </w:p>
        </w:tc>
        <w:tc>
          <w:tcPr>
            <w:tcW w:w="7465" w:type="dxa"/>
          </w:tcPr>
          <w:p w14:paraId="254805AB" w14:textId="77777777" w:rsidR="0035149A" w:rsidRPr="00530717" w:rsidRDefault="0035149A" w:rsidP="00F675B4">
            <w:pPr>
              <w:spacing w:line="480" w:lineRule="auto"/>
              <w:rPr>
                <w:rFonts w:ascii="Calibri" w:hAnsi="Calibri" w:cs="Calibri"/>
                <w:color w:val="000000" w:themeColor="text1"/>
              </w:rPr>
            </w:pPr>
          </w:p>
        </w:tc>
      </w:tr>
      <w:tr w:rsidR="00530717" w:rsidRPr="00530717" w14:paraId="41019EE8" w14:textId="77777777" w:rsidTr="00530717">
        <w:tc>
          <w:tcPr>
            <w:tcW w:w="1885" w:type="dxa"/>
          </w:tcPr>
          <w:p w14:paraId="3C83AE96" w14:textId="2A3B90C1" w:rsidR="00B458EA" w:rsidRPr="00530717" w:rsidRDefault="00B458EA" w:rsidP="00F675B4">
            <w:pPr>
              <w:spacing w:line="480" w:lineRule="auto"/>
              <w:rPr>
                <w:rFonts w:ascii="Calibri" w:hAnsi="Calibri" w:cs="Calibri"/>
                <w:color w:val="000000" w:themeColor="text1"/>
              </w:rPr>
            </w:pPr>
            <w:r w:rsidRPr="00530717">
              <w:rPr>
                <w:rFonts w:ascii="Calibri" w:hAnsi="Calibri" w:cs="Calibri"/>
                <w:color w:val="000000" w:themeColor="text1"/>
              </w:rPr>
              <w:t>AD</w:t>
            </w:r>
          </w:p>
        </w:tc>
        <w:tc>
          <w:tcPr>
            <w:tcW w:w="7465" w:type="dxa"/>
          </w:tcPr>
          <w:p w14:paraId="22CD8204" w14:textId="287AE935" w:rsidR="00B458EA" w:rsidRPr="00530717" w:rsidRDefault="00B458EA" w:rsidP="00F675B4">
            <w:pPr>
              <w:spacing w:line="480" w:lineRule="auto"/>
              <w:rPr>
                <w:rFonts w:ascii="Calibri" w:hAnsi="Calibri" w:cs="Calibri"/>
                <w:color w:val="000000" w:themeColor="text1"/>
              </w:rPr>
            </w:pPr>
            <w:r w:rsidRPr="00530717">
              <w:rPr>
                <w:rFonts w:ascii="Calibri" w:hAnsi="Calibri" w:cs="Calibri"/>
                <w:color w:val="000000" w:themeColor="text1"/>
              </w:rPr>
              <w:t>Alzheimer’s disease</w:t>
            </w:r>
          </w:p>
        </w:tc>
      </w:tr>
      <w:tr w:rsidR="00530717" w:rsidRPr="00530717" w14:paraId="7DF6D0AB" w14:textId="77777777" w:rsidTr="00530717">
        <w:tc>
          <w:tcPr>
            <w:tcW w:w="1885" w:type="dxa"/>
          </w:tcPr>
          <w:p w14:paraId="0BA2F2D0" w14:textId="1BDAB4ED" w:rsidR="00B458EA" w:rsidRPr="00530717" w:rsidRDefault="00B458EA" w:rsidP="00F675B4">
            <w:pPr>
              <w:spacing w:line="480" w:lineRule="auto"/>
              <w:rPr>
                <w:rFonts w:ascii="Calibri" w:hAnsi="Calibri" w:cs="Calibri"/>
                <w:color w:val="000000" w:themeColor="text1"/>
              </w:rPr>
            </w:pPr>
            <w:r w:rsidRPr="00530717">
              <w:rPr>
                <w:rFonts w:ascii="Calibri" w:hAnsi="Calibri" w:cs="Calibri"/>
                <w:color w:val="000000" w:themeColor="text1"/>
              </w:rPr>
              <w:t>AFM</w:t>
            </w:r>
          </w:p>
        </w:tc>
        <w:tc>
          <w:tcPr>
            <w:tcW w:w="7465" w:type="dxa"/>
          </w:tcPr>
          <w:p w14:paraId="0549DED9" w14:textId="338699CB" w:rsidR="00B458EA" w:rsidRPr="00530717" w:rsidRDefault="00B458EA" w:rsidP="00F675B4">
            <w:pPr>
              <w:spacing w:line="480" w:lineRule="auto"/>
              <w:rPr>
                <w:rFonts w:ascii="Calibri" w:hAnsi="Calibri" w:cs="Calibri"/>
                <w:color w:val="000000" w:themeColor="text1"/>
              </w:rPr>
            </w:pPr>
            <w:r w:rsidRPr="00530717">
              <w:rPr>
                <w:rFonts w:ascii="Calibri" w:hAnsi="Calibri" w:cs="Calibri"/>
                <w:color w:val="000000" w:themeColor="text1"/>
              </w:rPr>
              <w:t>Atomic force microscopy</w:t>
            </w:r>
          </w:p>
        </w:tc>
      </w:tr>
      <w:tr w:rsidR="00530717" w:rsidRPr="00530717" w14:paraId="7F404461" w14:textId="77777777" w:rsidTr="00530717">
        <w:tc>
          <w:tcPr>
            <w:tcW w:w="1885" w:type="dxa"/>
          </w:tcPr>
          <w:p w14:paraId="78022615" w14:textId="2454303F" w:rsidR="00B458EA" w:rsidRPr="00530717" w:rsidRDefault="00B458EA" w:rsidP="00F675B4">
            <w:pPr>
              <w:spacing w:line="480" w:lineRule="auto"/>
              <w:rPr>
                <w:rFonts w:ascii="Calibri" w:hAnsi="Calibri" w:cs="Calibri"/>
                <w:color w:val="000000" w:themeColor="text1"/>
              </w:rPr>
            </w:pPr>
            <w:r w:rsidRPr="00530717">
              <w:rPr>
                <w:rFonts w:ascii="Calibri" w:hAnsi="Calibri" w:cs="Calibri"/>
                <w:color w:val="000000" w:themeColor="text1"/>
              </w:rPr>
              <w:t>A</w:t>
            </w:r>
            <w:r w:rsidRPr="00530717">
              <w:rPr>
                <w:rFonts w:ascii="Symbol" w:hAnsi="Symbol" w:cs="Calibri"/>
                <w:color w:val="000000" w:themeColor="text1"/>
              </w:rPr>
              <w:t>b</w:t>
            </w:r>
          </w:p>
        </w:tc>
        <w:tc>
          <w:tcPr>
            <w:tcW w:w="7465" w:type="dxa"/>
          </w:tcPr>
          <w:p w14:paraId="057BF3AF" w14:textId="1A92F94F" w:rsidR="00B458EA" w:rsidRPr="00530717" w:rsidRDefault="00B458EA" w:rsidP="00F675B4">
            <w:pPr>
              <w:spacing w:line="480" w:lineRule="auto"/>
              <w:rPr>
                <w:rFonts w:ascii="Calibri" w:hAnsi="Calibri" w:cs="Calibri"/>
                <w:color w:val="000000" w:themeColor="text1"/>
              </w:rPr>
            </w:pPr>
            <w:r w:rsidRPr="00530717">
              <w:rPr>
                <w:rFonts w:ascii="Calibri" w:hAnsi="Calibri" w:cs="Calibri"/>
                <w:color w:val="000000" w:themeColor="text1"/>
              </w:rPr>
              <w:t>Amyloid beta</w:t>
            </w:r>
          </w:p>
        </w:tc>
      </w:tr>
      <w:tr w:rsidR="00530717" w:rsidRPr="00530717" w14:paraId="208CD10F" w14:textId="77777777" w:rsidTr="00530717">
        <w:tc>
          <w:tcPr>
            <w:tcW w:w="1885" w:type="dxa"/>
          </w:tcPr>
          <w:p w14:paraId="2539BE1E" w14:textId="583444F4" w:rsidR="00B458EA" w:rsidRPr="00530717" w:rsidRDefault="00B458EA" w:rsidP="00F675B4">
            <w:pPr>
              <w:spacing w:line="480" w:lineRule="auto"/>
              <w:rPr>
                <w:rFonts w:ascii="Calibri" w:hAnsi="Calibri" w:cs="Calibri"/>
                <w:color w:val="000000" w:themeColor="text1"/>
              </w:rPr>
            </w:pPr>
            <w:r w:rsidRPr="00530717">
              <w:rPr>
                <w:rFonts w:ascii="Calibri" w:hAnsi="Calibri" w:cs="Calibri"/>
                <w:color w:val="000000" w:themeColor="text1"/>
              </w:rPr>
              <w:t>APC</w:t>
            </w:r>
          </w:p>
        </w:tc>
        <w:tc>
          <w:tcPr>
            <w:tcW w:w="7465" w:type="dxa"/>
          </w:tcPr>
          <w:p w14:paraId="333F5AD8" w14:textId="684621C6" w:rsidR="00B458EA" w:rsidRPr="00530717" w:rsidRDefault="00B458EA" w:rsidP="00F675B4">
            <w:pPr>
              <w:spacing w:line="480" w:lineRule="auto"/>
              <w:rPr>
                <w:rFonts w:ascii="Calibri" w:hAnsi="Calibri" w:cs="Calibri"/>
                <w:color w:val="000000" w:themeColor="text1"/>
              </w:rPr>
            </w:pPr>
            <w:r w:rsidRPr="00530717">
              <w:rPr>
                <w:rFonts w:ascii="Calibri" w:hAnsi="Calibri" w:cs="Calibri"/>
                <w:color w:val="000000" w:themeColor="text1"/>
              </w:rPr>
              <w:t>Antigen presenting cell</w:t>
            </w:r>
          </w:p>
        </w:tc>
      </w:tr>
      <w:tr w:rsidR="00530717" w:rsidRPr="00530717" w14:paraId="15C55B2A" w14:textId="77777777" w:rsidTr="00530717">
        <w:tc>
          <w:tcPr>
            <w:tcW w:w="1885" w:type="dxa"/>
          </w:tcPr>
          <w:p w14:paraId="17C8F61E" w14:textId="3E0D9781" w:rsidR="00AE16A7" w:rsidRPr="00530717" w:rsidRDefault="0035149A" w:rsidP="00F675B4">
            <w:pPr>
              <w:spacing w:line="480" w:lineRule="auto"/>
              <w:jc w:val="center"/>
              <w:rPr>
                <w:rFonts w:ascii="Calibri" w:hAnsi="Calibri" w:cs="Calibri"/>
                <w:color w:val="000000" w:themeColor="text1"/>
              </w:rPr>
            </w:pPr>
            <w:r w:rsidRPr="00530717">
              <w:rPr>
                <w:rFonts w:ascii="Calibri" w:hAnsi="Calibri" w:cs="Calibri"/>
                <w:color w:val="000000" w:themeColor="text1"/>
              </w:rPr>
              <w:t>B</w:t>
            </w:r>
          </w:p>
        </w:tc>
        <w:tc>
          <w:tcPr>
            <w:tcW w:w="7465" w:type="dxa"/>
          </w:tcPr>
          <w:p w14:paraId="1396A85B" w14:textId="77777777" w:rsidR="00AE16A7" w:rsidRPr="00530717" w:rsidRDefault="00AE16A7" w:rsidP="00F675B4">
            <w:pPr>
              <w:spacing w:line="480" w:lineRule="auto"/>
              <w:rPr>
                <w:rFonts w:ascii="Calibri" w:hAnsi="Calibri" w:cs="Calibri"/>
                <w:color w:val="000000" w:themeColor="text1"/>
              </w:rPr>
            </w:pPr>
          </w:p>
        </w:tc>
      </w:tr>
      <w:tr w:rsidR="00530717" w:rsidRPr="00530717" w14:paraId="46A832EB" w14:textId="77777777" w:rsidTr="00530717">
        <w:tc>
          <w:tcPr>
            <w:tcW w:w="1885" w:type="dxa"/>
          </w:tcPr>
          <w:p w14:paraId="37640327" w14:textId="4AB936E8"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BMDC</w:t>
            </w:r>
          </w:p>
        </w:tc>
        <w:tc>
          <w:tcPr>
            <w:tcW w:w="7465" w:type="dxa"/>
          </w:tcPr>
          <w:p w14:paraId="12D9C005" w14:textId="3E7C39DF"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Bone marrow derived dendritic cells</w:t>
            </w:r>
          </w:p>
        </w:tc>
      </w:tr>
      <w:tr w:rsidR="00530717" w:rsidRPr="00530717" w14:paraId="3EBA0A17" w14:textId="77777777" w:rsidTr="00530717">
        <w:tc>
          <w:tcPr>
            <w:tcW w:w="1885" w:type="dxa"/>
          </w:tcPr>
          <w:p w14:paraId="41521F3D" w14:textId="794C3F5B"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BSA</w:t>
            </w:r>
          </w:p>
        </w:tc>
        <w:tc>
          <w:tcPr>
            <w:tcW w:w="7465" w:type="dxa"/>
          </w:tcPr>
          <w:p w14:paraId="0685311E" w14:textId="5CD50E6D"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Bovine serum albumin</w:t>
            </w:r>
          </w:p>
        </w:tc>
      </w:tr>
      <w:tr w:rsidR="00530717" w:rsidRPr="00530717" w14:paraId="27C87EE1" w14:textId="77777777" w:rsidTr="00530717">
        <w:tc>
          <w:tcPr>
            <w:tcW w:w="1885" w:type="dxa"/>
          </w:tcPr>
          <w:p w14:paraId="258E621B" w14:textId="2A7DBBAB" w:rsidR="0035149A" w:rsidRPr="00530717" w:rsidRDefault="0035149A" w:rsidP="00F675B4">
            <w:pPr>
              <w:spacing w:line="480" w:lineRule="auto"/>
              <w:jc w:val="center"/>
              <w:rPr>
                <w:rFonts w:ascii="Calibri" w:hAnsi="Calibri" w:cs="Calibri"/>
                <w:color w:val="000000" w:themeColor="text1"/>
              </w:rPr>
            </w:pPr>
            <w:r w:rsidRPr="00530717">
              <w:rPr>
                <w:rFonts w:ascii="Calibri" w:hAnsi="Calibri" w:cs="Calibri"/>
                <w:color w:val="000000" w:themeColor="text1"/>
              </w:rPr>
              <w:t>C</w:t>
            </w:r>
          </w:p>
        </w:tc>
        <w:tc>
          <w:tcPr>
            <w:tcW w:w="7465" w:type="dxa"/>
          </w:tcPr>
          <w:p w14:paraId="6256675E" w14:textId="77777777" w:rsidR="0035149A" w:rsidRPr="00530717" w:rsidRDefault="0035149A" w:rsidP="00F675B4">
            <w:pPr>
              <w:spacing w:line="480" w:lineRule="auto"/>
              <w:rPr>
                <w:rFonts w:ascii="Calibri" w:hAnsi="Calibri" w:cs="Calibri"/>
                <w:color w:val="000000" w:themeColor="text1"/>
              </w:rPr>
            </w:pPr>
          </w:p>
        </w:tc>
      </w:tr>
      <w:tr w:rsidR="00530717" w:rsidRPr="00530717" w14:paraId="79B90F5D" w14:textId="77777777" w:rsidTr="00530717">
        <w:tc>
          <w:tcPr>
            <w:tcW w:w="1885" w:type="dxa"/>
          </w:tcPr>
          <w:p w14:paraId="4E0AD940" w14:textId="7FC1F20A"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CAC</w:t>
            </w:r>
          </w:p>
        </w:tc>
        <w:tc>
          <w:tcPr>
            <w:tcW w:w="7465" w:type="dxa"/>
          </w:tcPr>
          <w:p w14:paraId="113D5A2C" w14:textId="4E6F717A"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Critical aggregation concentration</w:t>
            </w:r>
          </w:p>
        </w:tc>
      </w:tr>
      <w:tr w:rsidR="00530717" w:rsidRPr="00530717" w14:paraId="6EE9B8CC" w14:textId="77777777" w:rsidTr="00530717">
        <w:tc>
          <w:tcPr>
            <w:tcW w:w="1885" w:type="dxa"/>
          </w:tcPr>
          <w:p w14:paraId="33130579" w14:textId="2987EFA4" w:rsidR="00AE16A7" w:rsidRPr="00530717" w:rsidRDefault="00AE16A7" w:rsidP="00F675B4">
            <w:pPr>
              <w:spacing w:line="480" w:lineRule="auto"/>
              <w:rPr>
                <w:rFonts w:ascii="Calibri" w:hAnsi="Calibri" w:cs="Calibri"/>
                <w:color w:val="000000" w:themeColor="text1"/>
              </w:rPr>
            </w:pPr>
            <w:proofErr w:type="spellStart"/>
            <w:r w:rsidRPr="00530717">
              <w:rPr>
                <w:rFonts w:ascii="Calibri" w:hAnsi="Calibri" w:cs="Calibri"/>
                <w:color w:val="000000" w:themeColor="text1"/>
              </w:rPr>
              <w:t>CoOP</w:t>
            </w:r>
            <w:proofErr w:type="spellEnd"/>
          </w:p>
        </w:tc>
        <w:tc>
          <w:tcPr>
            <w:tcW w:w="7465" w:type="dxa"/>
          </w:tcPr>
          <w:p w14:paraId="7BC5D0D7" w14:textId="5F013E2B"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Co-assembly of oppositely charged peptides</w:t>
            </w:r>
          </w:p>
        </w:tc>
      </w:tr>
      <w:tr w:rsidR="00530717" w:rsidRPr="00530717" w14:paraId="56ED76B2" w14:textId="77777777" w:rsidTr="00530717">
        <w:tc>
          <w:tcPr>
            <w:tcW w:w="1885" w:type="dxa"/>
          </w:tcPr>
          <w:p w14:paraId="6CFDD7E3" w14:textId="66F90379" w:rsidR="0035149A" w:rsidRPr="00530717" w:rsidRDefault="0035149A" w:rsidP="00F675B4">
            <w:pPr>
              <w:spacing w:line="480" w:lineRule="auto"/>
              <w:jc w:val="center"/>
              <w:rPr>
                <w:rFonts w:ascii="Calibri" w:hAnsi="Calibri" w:cs="Calibri"/>
                <w:color w:val="000000" w:themeColor="text1"/>
              </w:rPr>
            </w:pPr>
            <w:r w:rsidRPr="00530717">
              <w:rPr>
                <w:rFonts w:ascii="Calibri" w:hAnsi="Calibri" w:cs="Calibri"/>
                <w:color w:val="000000" w:themeColor="text1"/>
              </w:rPr>
              <w:t>D</w:t>
            </w:r>
          </w:p>
        </w:tc>
        <w:tc>
          <w:tcPr>
            <w:tcW w:w="7465" w:type="dxa"/>
          </w:tcPr>
          <w:p w14:paraId="61500C1C" w14:textId="77777777" w:rsidR="0035149A" w:rsidRPr="00530717" w:rsidRDefault="0035149A" w:rsidP="00F675B4">
            <w:pPr>
              <w:spacing w:line="480" w:lineRule="auto"/>
              <w:rPr>
                <w:rFonts w:ascii="Calibri" w:hAnsi="Calibri" w:cs="Calibri"/>
                <w:color w:val="000000" w:themeColor="text1"/>
              </w:rPr>
            </w:pPr>
          </w:p>
        </w:tc>
      </w:tr>
      <w:tr w:rsidR="00530717" w:rsidRPr="00530717" w14:paraId="47A6E30A" w14:textId="77777777" w:rsidTr="00530717">
        <w:tc>
          <w:tcPr>
            <w:tcW w:w="1885" w:type="dxa"/>
          </w:tcPr>
          <w:p w14:paraId="17634B25" w14:textId="7655F0B7"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DAMP</w:t>
            </w:r>
          </w:p>
        </w:tc>
        <w:tc>
          <w:tcPr>
            <w:tcW w:w="7465" w:type="dxa"/>
          </w:tcPr>
          <w:p w14:paraId="5746869C" w14:textId="5A009C3B"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Damage associated molecular pattern</w:t>
            </w:r>
          </w:p>
        </w:tc>
      </w:tr>
      <w:tr w:rsidR="00530717" w:rsidRPr="00530717" w14:paraId="55C8ADBC" w14:textId="77777777" w:rsidTr="00530717">
        <w:tc>
          <w:tcPr>
            <w:tcW w:w="1885" w:type="dxa"/>
          </w:tcPr>
          <w:p w14:paraId="1DAF95AE" w14:textId="28CF293A"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DC</w:t>
            </w:r>
          </w:p>
        </w:tc>
        <w:tc>
          <w:tcPr>
            <w:tcW w:w="7465" w:type="dxa"/>
          </w:tcPr>
          <w:p w14:paraId="740DF04D" w14:textId="27B9A68A"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Dendritic cell</w:t>
            </w:r>
          </w:p>
        </w:tc>
      </w:tr>
      <w:tr w:rsidR="00530717" w:rsidRPr="00530717" w14:paraId="38A4B793" w14:textId="77777777" w:rsidTr="00530717">
        <w:tc>
          <w:tcPr>
            <w:tcW w:w="1885" w:type="dxa"/>
          </w:tcPr>
          <w:p w14:paraId="258ABC79" w14:textId="6435CB27"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DLS</w:t>
            </w:r>
          </w:p>
        </w:tc>
        <w:tc>
          <w:tcPr>
            <w:tcW w:w="7465" w:type="dxa"/>
          </w:tcPr>
          <w:p w14:paraId="566D42B3" w14:textId="07A0795A"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Dynamic light scattering</w:t>
            </w:r>
          </w:p>
        </w:tc>
      </w:tr>
      <w:tr w:rsidR="00530717" w:rsidRPr="00530717" w14:paraId="787DA9FF" w14:textId="77777777" w:rsidTr="00530717">
        <w:tc>
          <w:tcPr>
            <w:tcW w:w="1885" w:type="dxa"/>
          </w:tcPr>
          <w:p w14:paraId="1FB24F1E" w14:textId="0AC5E690"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DMEM</w:t>
            </w:r>
          </w:p>
        </w:tc>
        <w:tc>
          <w:tcPr>
            <w:tcW w:w="7465" w:type="dxa"/>
          </w:tcPr>
          <w:p w14:paraId="1691F556" w14:textId="746DD911"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Dulbecco's Modified Eagle Medium</w:t>
            </w:r>
          </w:p>
        </w:tc>
      </w:tr>
      <w:tr w:rsidR="00530717" w:rsidRPr="00530717" w14:paraId="23C18837" w14:textId="77777777" w:rsidTr="00530717">
        <w:tc>
          <w:tcPr>
            <w:tcW w:w="1885" w:type="dxa"/>
          </w:tcPr>
          <w:p w14:paraId="0215A98A" w14:textId="038DBB62"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DPH</w:t>
            </w:r>
          </w:p>
        </w:tc>
        <w:tc>
          <w:tcPr>
            <w:tcW w:w="7465" w:type="dxa"/>
          </w:tcPr>
          <w:p w14:paraId="1415CF61" w14:textId="727CA1CF"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1,6-diphenyl-1,3,5-hexatriene</w:t>
            </w:r>
          </w:p>
        </w:tc>
      </w:tr>
      <w:tr w:rsidR="00530717" w:rsidRPr="00530717" w14:paraId="41BAA69F" w14:textId="77777777" w:rsidTr="00530717">
        <w:tc>
          <w:tcPr>
            <w:tcW w:w="1885" w:type="dxa"/>
          </w:tcPr>
          <w:p w14:paraId="4A8E05D6" w14:textId="30970677" w:rsidR="0035149A" w:rsidRPr="00530717" w:rsidRDefault="0035149A" w:rsidP="00F675B4">
            <w:pPr>
              <w:spacing w:line="480" w:lineRule="auto"/>
              <w:jc w:val="center"/>
              <w:rPr>
                <w:rFonts w:ascii="Calibri" w:hAnsi="Calibri" w:cs="Calibri"/>
                <w:color w:val="000000" w:themeColor="text1"/>
              </w:rPr>
            </w:pPr>
            <w:r w:rsidRPr="00530717">
              <w:rPr>
                <w:rFonts w:ascii="Calibri" w:hAnsi="Calibri" w:cs="Calibri"/>
                <w:color w:val="000000" w:themeColor="text1"/>
              </w:rPr>
              <w:t>E</w:t>
            </w:r>
          </w:p>
        </w:tc>
        <w:tc>
          <w:tcPr>
            <w:tcW w:w="7465" w:type="dxa"/>
          </w:tcPr>
          <w:p w14:paraId="4582B085" w14:textId="77777777" w:rsidR="0035149A" w:rsidRPr="00530717" w:rsidRDefault="0035149A" w:rsidP="00F675B4">
            <w:pPr>
              <w:spacing w:line="480" w:lineRule="auto"/>
              <w:rPr>
                <w:rFonts w:ascii="Calibri" w:hAnsi="Calibri" w:cs="Calibri"/>
                <w:color w:val="000000" w:themeColor="text1"/>
              </w:rPr>
            </w:pPr>
          </w:p>
        </w:tc>
      </w:tr>
      <w:tr w:rsidR="00530717" w:rsidRPr="00530717" w14:paraId="2093236A" w14:textId="77777777" w:rsidTr="00530717">
        <w:tc>
          <w:tcPr>
            <w:tcW w:w="1885" w:type="dxa"/>
          </w:tcPr>
          <w:p w14:paraId="07EF9FF7" w14:textId="52AC0ECB"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ECM</w:t>
            </w:r>
          </w:p>
        </w:tc>
        <w:tc>
          <w:tcPr>
            <w:tcW w:w="7465" w:type="dxa"/>
          </w:tcPr>
          <w:p w14:paraId="0ED871D1" w14:textId="1F2045C4"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Extracellular matrix</w:t>
            </w:r>
          </w:p>
        </w:tc>
      </w:tr>
      <w:tr w:rsidR="00530717" w:rsidRPr="00530717" w14:paraId="0CE0301E" w14:textId="77777777" w:rsidTr="00530717">
        <w:tc>
          <w:tcPr>
            <w:tcW w:w="1885" w:type="dxa"/>
          </w:tcPr>
          <w:p w14:paraId="772D9688" w14:textId="7CD53561"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lastRenderedPageBreak/>
              <w:t>eIF2</w:t>
            </w:r>
            <w:r w:rsidRPr="005140F7">
              <w:rPr>
                <w:rFonts w:ascii="Symbol" w:hAnsi="Symbol" w:cs="Calibri"/>
                <w:color w:val="000000" w:themeColor="text1"/>
              </w:rPr>
              <w:t>a</w:t>
            </w:r>
          </w:p>
        </w:tc>
        <w:tc>
          <w:tcPr>
            <w:tcW w:w="7465" w:type="dxa"/>
          </w:tcPr>
          <w:p w14:paraId="2AF4D01A" w14:textId="32DE3439"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Eukaryotic initiation factor 2 alpha</w:t>
            </w:r>
          </w:p>
        </w:tc>
      </w:tr>
      <w:tr w:rsidR="00530717" w:rsidRPr="00530717" w14:paraId="0D5FF62B" w14:textId="77777777" w:rsidTr="00530717">
        <w:tc>
          <w:tcPr>
            <w:tcW w:w="1885" w:type="dxa"/>
          </w:tcPr>
          <w:p w14:paraId="24CD48B5" w14:textId="54EA5C95"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ELISA</w:t>
            </w:r>
          </w:p>
        </w:tc>
        <w:tc>
          <w:tcPr>
            <w:tcW w:w="7465" w:type="dxa"/>
          </w:tcPr>
          <w:p w14:paraId="726AFC5A" w14:textId="64636BDD"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Enzyme linked immunosorbent assay</w:t>
            </w:r>
          </w:p>
        </w:tc>
      </w:tr>
      <w:tr w:rsidR="00530717" w:rsidRPr="00530717" w14:paraId="0AE49AD9" w14:textId="77777777" w:rsidTr="00530717">
        <w:tc>
          <w:tcPr>
            <w:tcW w:w="1885" w:type="dxa"/>
          </w:tcPr>
          <w:p w14:paraId="73532F4A" w14:textId="1ED05819"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EMT</w:t>
            </w:r>
          </w:p>
        </w:tc>
        <w:tc>
          <w:tcPr>
            <w:tcW w:w="7465" w:type="dxa"/>
          </w:tcPr>
          <w:p w14:paraId="594A1A6D" w14:textId="592EB6AF"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Epithelial mesenchymal transition</w:t>
            </w:r>
          </w:p>
        </w:tc>
      </w:tr>
      <w:tr w:rsidR="00530717" w:rsidRPr="00530717" w14:paraId="57D85105" w14:textId="77777777" w:rsidTr="00530717">
        <w:tc>
          <w:tcPr>
            <w:tcW w:w="1885" w:type="dxa"/>
          </w:tcPr>
          <w:p w14:paraId="7F1522BD" w14:textId="17CDE35C"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EOC</w:t>
            </w:r>
          </w:p>
        </w:tc>
        <w:tc>
          <w:tcPr>
            <w:tcW w:w="7465" w:type="dxa"/>
          </w:tcPr>
          <w:p w14:paraId="68E2976E" w14:textId="345F5C17"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Epithelial ovarian cancer</w:t>
            </w:r>
          </w:p>
        </w:tc>
      </w:tr>
      <w:tr w:rsidR="00530717" w:rsidRPr="00530717" w14:paraId="4F89EC42" w14:textId="77777777" w:rsidTr="00530717">
        <w:tc>
          <w:tcPr>
            <w:tcW w:w="1885" w:type="dxa"/>
          </w:tcPr>
          <w:p w14:paraId="3AB782DA" w14:textId="79399084" w:rsidR="0035149A" w:rsidRPr="00530717" w:rsidRDefault="0035149A" w:rsidP="00F675B4">
            <w:pPr>
              <w:spacing w:line="480" w:lineRule="auto"/>
              <w:jc w:val="center"/>
              <w:rPr>
                <w:rFonts w:ascii="Calibri" w:hAnsi="Calibri" w:cs="Calibri"/>
                <w:color w:val="000000" w:themeColor="text1"/>
              </w:rPr>
            </w:pPr>
            <w:r w:rsidRPr="00530717">
              <w:rPr>
                <w:rFonts w:ascii="Calibri" w:hAnsi="Calibri" w:cs="Calibri"/>
                <w:color w:val="000000" w:themeColor="text1"/>
              </w:rPr>
              <w:t>F</w:t>
            </w:r>
          </w:p>
        </w:tc>
        <w:tc>
          <w:tcPr>
            <w:tcW w:w="7465" w:type="dxa"/>
          </w:tcPr>
          <w:p w14:paraId="2D23C003" w14:textId="77777777" w:rsidR="0035149A" w:rsidRPr="00530717" w:rsidRDefault="0035149A" w:rsidP="00F675B4">
            <w:pPr>
              <w:spacing w:line="480" w:lineRule="auto"/>
              <w:rPr>
                <w:rFonts w:ascii="Calibri" w:hAnsi="Calibri" w:cs="Calibri"/>
                <w:color w:val="000000" w:themeColor="text1"/>
              </w:rPr>
            </w:pPr>
          </w:p>
        </w:tc>
      </w:tr>
      <w:tr w:rsidR="00530717" w:rsidRPr="00530717" w14:paraId="3F431C5E" w14:textId="77777777" w:rsidTr="00530717">
        <w:tc>
          <w:tcPr>
            <w:tcW w:w="1885" w:type="dxa"/>
          </w:tcPr>
          <w:p w14:paraId="35C20F37" w14:textId="0C9D3837"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FBS</w:t>
            </w:r>
          </w:p>
        </w:tc>
        <w:tc>
          <w:tcPr>
            <w:tcW w:w="7465" w:type="dxa"/>
          </w:tcPr>
          <w:p w14:paraId="70CE8EA4" w14:textId="59189036"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Fetal bovine serum</w:t>
            </w:r>
          </w:p>
        </w:tc>
      </w:tr>
      <w:tr w:rsidR="00530717" w:rsidRPr="00530717" w14:paraId="5004992E" w14:textId="77777777" w:rsidTr="00530717">
        <w:tc>
          <w:tcPr>
            <w:tcW w:w="1885" w:type="dxa"/>
          </w:tcPr>
          <w:p w14:paraId="57403665" w14:textId="655B1174" w:rsidR="00AE16A7"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G</w:t>
            </w:r>
          </w:p>
        </w:tc>
        <w:tc>
          <w:tcPr>
            <w:tcW w:w="7465" w:type="dxa"/>
          </w:tcPr>
          <w:p w14:paraId="5573A16C" w14:textId="77777777" w:rsidR="00AE16A7" w:rsidRPr="00530717" w:rsidRDefault="00AE16A7" w:rsidP="00F675B4">
            <w:pPr>
              <w:spacing w:line="480" w:lineRule="auto"/>
              <w:rPr>
                <w:rFonts w:ascii="Calibri" w:hAnsi="Calibri" w:cs="Calibri"/>
                <w:color w:val="000000" w:themeColor="text1"/>
              </w:rPr>
            </w:pPr>
          </w:p>
        </w:tc>
      </w:tr>
      <w:tr w:rsidR="00530717" w:rsidRPr="00530717" w14:paraId="3914CB7D" w14:textId="77777777" w:rsidTr="00530717">
        <w:tc>
          <w:tcPr>
            <w:tcW w:w="1885" w:type="dxa"/>
          </w:tcPr>
          <w:p w14:paraId="60A44B90" w14:textId="0142E32A"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GMCSF</w:t>
            </w:r>
          </w:p>
        </w:tc>
        <w:tc>
          <w:tcPr>
            <w:tcW w:w="7465" w:type="dxa"/>
          </w:tcPr>
          <w:p w14:paraId="19F3CD39" w14:textId="7A822C7E"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Granulocyte macrophage colony stimulating factor</w:t>
            </w:r>
          </w:p>
        </w:tc>
      </w:tr>
      <w:tr w:rsidR="00530717" w:rsidRPr="00530717" w14:paraId="07E689ED" w14:textId="77777777" w:rsidTr="00530717">
        <w:tc>
          <w:tcPr>
            <w:tcW w:w="1885" w:type="dxa"/>
          </w:tcPr>
          <w:p w14:paraId="2838AB1F" w14:textId="1B7EDEF0"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GSDMD</w:t>
            </w:r>
          </w:p>
        </w:tc>
        <w:tc>
          <w:tcPr>
            <w:tcW w:w="7465" w:type="dxa"/>
          </w:tcPr>
          <w:p w14:paraId="210996AF" w14:textId="4360FC94"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Gasdermin D</w:t>
            </w:r>
          </w:p>
        </w:tc>
      </w:tr>
      <w:tr w:rsidR="00530717" w:rsidRPr="00530717" w14:paraId="78B4497E" w14:textId="77777777" w:rsidTr="00530717">
        <w:tc>
          <w:tcPr>
            <w:tcW w:w="1885" w:type="dxa"/>
          </w:tcPr>
          <w:p w14:paraId="27D78E65" w14:textId="0073F0B6"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GSDME</w:t>
            </w:r>
          </w:p>
        </w:tc>
        <w:tc>
          <w:tcPr>
            <w:tcW w:w="7465" w:type="dxa"/>
          </w:tcPr>
          <w:p w14:paraId="137E8B57" w14:textId="38A06920"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Gasdermin E</w:t>
            </w:r>
          </w:p>
        </w:tc>
      </w:tr>
      <w:tr w:rsidR="00530717" w:rsidRPr="00530717" w14:paraId="70E63790" w14:textId="77777777" w:rsidTr="00530717">
        <w:tc>
          <w:tcPr>
            <w:tcW w:w="1885" w:type="dxa"/>
          </w:tcPr>
          <w:p w14:paraId="320D7EEE" w14:textId="442E47BE" w:rsidR="00AE16A7"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H</w:t>
            </w:r>
          </w:p>
        </w:tc>
        <w:tc>
          <w:tcPr>
            <w:tcW w:w="7465" w:type="dxa"/>
          </w:tcPr>
          <w:p w14:paraId="4ACB3612" w14:textId="77777777" w:rsidR="00AE16A7" w:rsidRPr="00530717" w:rsidRDefault="00AE16A7" w:rsidP="00F675B4">
            <w:pPr>
              <w:spacing w:line="480" w:lineRule="auto"/>
              <w:rPr>
                <w:rFonts w:ascii="Calibri" w:hAnsi="Calibri" w:cs="Calibri"/>
                <w:color w:val="000000" w:themeColor="text1"/>
              </w:rPr>
            </w:pPr>
          </w:p>
        </w:tc>
      </w:tr>
      <w:tr w:rsidR="00530717" w:rsidRPr="00530717" w14:paraId="466A18E7" w14:textId="77777777" w:rsidTr="00530717">
        <w:tc>
          <w:tcPr>
            <w:tcW w:w="1885" w:type="dxa"/>
          </w:tcPr>
          <w:p w14:paraId="5050C42D" w14:textId="4D0C11F4"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HA</w:t>
            </w:r>
          </w:p>
        </w:tc>
        <w:tc>
          <w:tcPr>
            <w:tcW w:w="7465" w:type="dxa"/>
          </w:tcPr>
          <w:p w14:paraId="4582CFC9" w14:textId="0C26DF3A"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 xml:space="preserve">Hemagglutinin </w:t>
            </w:r>
          </w:p>
        </w:tc>
      </w:tr>
      <w:tr w:rsidR="00530717" w:rsidRPr="00530717" w14:paraId="25650CBF" w14:textId="77777777" w:rsidTr="00530717">
        <w:tc>
          <w:tcPr>
            <w:tcW w:w="1885" w:type="dxa"/>
          </w:tcPr>
          <w:p w14:paraId="1A37BAED" w14:textId="5A96BF1C"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HSP</w:t>
            </w:r>
          </w:p>
        </w:tc>
        <w:tc>
          <w:tcPr>
            <w:tcW w:w="7465" w:type="dxa"/>
          </w:tcPr>
          <w:p w14:paraId="670AD39D" w14:textId="642E7C59"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Heat shock protein</w:t>
            </w:r>
          </w:p>
        </w:tc>
      </w:tr>
      <w:tr w:rsidR="00530717" w:rsidRPr="00530717" w14:paraId="49E3BC4C" w14:textId="77777777" w:rsidTr="00530717">
        <w:tc>
          <w:tcPr>
            <w:tcW w:w="1885" w:type="dxa"/>
          </w:tcPr>
          <w:p w14:paraId="534DC027" w14:textId="666540BD"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HMGB-1</w:t>
            </w:r>
          </w:p>
        </w:tc>
        <w:tc>
          <w:tcPr>
            <w:tcW w:w="7465" w:type="dxa"/>
          </w:tcPr>
          <w:p w14:paraId="68D18B8E" w14:textId="55718DC4"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High mobility group box 1</w:t>
            </w:r>
          </w:p>
        </w:tc>
      </w:tr>
      <w:tr w:rsidR="00530717" w:rsidRPr="00530717" w14:paraId="02D29365" w14:textId="77777777" w:rsidTr="00530717">
        <w:tc>
          <w:tcPr>
            <w:tcW w:w="1885" w:type="dxa"/>
          </w:tcPr>
          <w:p w14:paraId="4032AC44" w14:textId="3E832F8C" w:rsidR="00AE16A7"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I</w:t>
            </w:r>
          </w:p>
        </w:tc>
        <w:tc>
          <w:tcPr>
            <w:tcW w:w="7465" w:type="dxa"/>
          </w:tcPr>
          <w:p w14:paraId="730786FD" w14:textId="77777777" w:rsidR="00AE16A7" w:rsidRPr="00530717" w:rsidRDefault="00AE16A7" w:rsidP="00F675B4">
            <w:pPr>
              <w:spacing w:line="480" w:lineRule="auto"/>
              <w:rPr>
                <w:rFonts w:ascii="Calibri" w:hAnsi="Calibri" w:cs="Calibri"/>
                <w:color w:val="000000" w:themeColor="text1"/>
              </w:rPr>
            </w:pPr>
          </w:p>
        </w:tc>
      </w:tr>
      <w:tr w:rsidR="00530717" w:rsidRPr="00530717" w14:paraId="75C264B7" w14:textId="77777777" w:rsidTr="00530717">
        <w:tc>
          <w:tcPr>
            <w:tcW w:w="1885" w:type="dxa"/>
          </w:tcPr>
          <w:p w14:paraId="711D5B63" w14:textId="12BE868B"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ICD</w:t>
            </w:r>
          </w:p>
        </w:tc>
        <w:tc>
          <w:tcPr>
            <w:tcW w:w="7465" w:type="dxa"/>
          </w:tcPr>
          <w:p w14:paraId="0E47DBA8" w14:textId="323C4BB4"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Immunogenic cell death</w:t>
            </w:r>
          </w:p>
        </w:tc>
      </w:tr>
      <w:tr w:rsidR="00530717" w:rsidRPr="00530717" w14:paraId="5C6CB398" w14:textId="77777777" w:rsidTr="00530717">
        <w:tc>
          <w:tcPr>
            <w:tcW w:w="1885" w:type="dxa"/>
          </w:tcPr>
          <w:p w14:paraId="6F4A2950" w14:textId="3E4BD8AD"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IgG</w:t>
            </w:r>
          </w:p>
        </w:tc>
        <w:tc>
          <w:tcPr>
            <w:tcW w:w="7465" w:type="dxa"/>
          </w:tcPr>
          <w:p w14:paraId="0B1FC246" w14:textId="7ACA26A7"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Immunoglobulin G</w:t>
            </w:r>
          </w:p>
        </w:tc>
      </w:tr>
      <w:tr w:rsidR="00530717" w:rsidRPr="00530717" w14:paraId="05258BA7" w14:textId="77777777" w:rsidTr="00530717">
        <w:tc>
          <w:tcPr>
            <w:tcW w:w="1885" w:type="dxa"/>
          </w:tcPr>
          <w:p w14:paraId="298955BE" w14:textId="097EC67A"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IL</w:t>
            </w:r>
          </w:p>
        </w:tc>
        <w:tc>
          <w:tcPr>
            <w:tcW w:w="7465" w:type="dxa"/>
          </w:tcPr>
          <w:p w14:paraId="14AB27E0" w14:textId="179F2FBE"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 xml:space="preserve">Interleukin </w:t>
            </w:r>
          </w:p>
        </w:tc>
      </w:tr>
      <w:tr w:rsidR="00530717" w:rsidRPr="00530717" w14:paraId="4327F7BF" w14:textId="77777777" w:rsidTr="00530717">
        <w:tc>
          <w:tcPr>
            <w:tcW w:w="1885" w:type="dxa"/>
          </w:tcPr>
          <w:p w14:paraId="47EDECFE" w14:textId="49C3DA70" w:rsidR="00AE16A7"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L</w:t>
            </w:r>
          </w:p>
        </w:tc>
        <w:tc>
          <w:tcPr>
            <w:tcW w:w="7465" w:type="dxa"/>
          </w:tcPr>
          <w:p w14:paraId="0DA9B8EC" w14:textId="7E892470" w:rsidR="00AE16A7" w:rsidRPr="00530717" w:rsidRDefault="00AE16A7" w:rsidP="00F675B4">
            <w:pPr>
              <w:spacing w:line="480" w:lineRule="auto"/>
              <w:rPr>
                <w:rFonts w:ascii="Calibri" w:hAnsi="Calibri" w:cs="Calibri"/>
                <w:color w:val="000000" w:themeColor="text1"/>
              </w:rPr>
            </w:pPr>
          </w:p>
        </w:tc>
      </w:tr>
      <w:tr w:rsidR="00530717" w:rsidRPr="00530717" w14:paraId="200CE771" w14:textId="77777777" w:rsidTr="00530717">
        <w:tc>
          <w:tcPr>
            <w:tcW w:w="1885" w:type="dxa"/>
          </w:tcPr>
          <w:p w14:paraId="6DCCBE8C" w14:textId="44037421"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LDH</w:t>
            </w:r>
          </w:p>
        </w:tc>
        <w:tc>
          <w:tcPr>
            <w:tcW w:w="7465" w:type="dxa"/>
          </w:tcPr>
          <w:p w14:paraId="62B6F61F" w14:textId="13DDEED4"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Lactate dehydrogenase</w:t>
            </w:r>
          </w:p>
        </w:tc>
      </w:tr>
      <w:tr w:rsidR="00530717" w:rsidRPr="00530717" w14:paraId="4A5D21DD" w14:textId="77777777" w:rsidTr="00530717">
        <w:tc>
          <w:tcPr>
            <w:tcW w:w="1885" w:type="dxa"/>
          </w:tcPr>
          <w:p w14:paraId="57E05BDB" w14:textId="04A230F9"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LOT</w:t>
            </w:r>
          </w:p>
        </w:tc>
        <w:tc>
          <w:tcPr>
            <w:tcW w:w="7465" w:type="dxa"/>
          </w:tcPr>
          <w:p w14:paraId="5530C0B1" w14:textId="6549FE02"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Liquid overlay technique</w:t>
            </w:r>
          </w:p>
        </w:tc>
      </w:tr>
      <w:tr w:rsidR="00530717" w:rsidRPr="00530717" w14:paraId="3EBB1917" w14:textId="77777777" w:rsidTr="00530717">
        <w:tc>
          <w:tcPr>
            <w:tcW w:w="1885" w:type="dxa"/>
          </w:tcPr>
          <w:p w14:paraId="2A17AE46" w14:textId="3A04037B"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lastRenderedPageBreak/>
              <w:t>LPS</w:t>
            </w:r>
          </w:p>
        </w:tc>
        <w:tc>
          <w:tcPr>
            <w:tcW w:w="7465" w:type="dxa"/>
          </w:tcPr>
          <w:p w14:paraId="69856D32" w14:textId="2716BAB5"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Lipopolysaccharide</w:t>
            </w:r>
          </w:p>
        </w:tc>
      </w:tr>
      <w:tr w:rsidR="00530717" w:rsidRPr="00530717" w14:paraId="306B551A" w14:textId="77777777" w:rsidTr="00530717">
        <w:tc>
          <w:tcPr>
            <w:tcW w:w="1885" w:type="dxa"/>
          </w:tcPr>
          <w:p w14:paraId="2ABE5FD9" w14:textId="799FC696" w:rsidR="00AE16A7"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M</w:t>
            </w:r>
          </w:p>
        </w:tc>
        <w:tc>
          <w:tcPr>
            <w:tcW w:w="7465" w:type="dxa"/>
          </w:tcPr>
          <w:p w14:paraId="646FCF29" w14:textId="41BAD950" w:rsidR="00AE16A7" w:rsidRPr="00530717" w:rsidRDefault="00AE16A7" w:rsidP="00F675B4">
            <w:pPr>
              <w:spacing w:line="480" w:lineRule="auto"/>
              <w:rPr>
                <w:rFonts w:ascii="Calibri" w:hAnsi="Calibri" w:cs="Calibri"/>
                <w:color w:val="000000" w:themeColor="text1"/>
              </w:rPr>
            </w:pPr>
          </w:p>
        </w:tc>
      </w:tr>
      <w:tr w:rsidR="00530717" w:rsidRPr="00530717" w14:paraId="563C0DF3" w14:textId="77777777" w:rsidTr="00530717">
        <w:tc>
          <w:tcPr>
            <w:tcW w:w="1885" w:type="dxa"/>
          </w:tcPr>
          <w:p w14:paraId="461988CF" w14:textId="4F2780D1"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MCTS</w:t>
            </w:r>
          </w:p>
        </w:tc>
        <w:tc>
          <w:tcPr>
            <w:tcW w:w="7465" w:type="dxa"/>
          </w:tcPr>
          <w:p w14:paraId="5CA2379B" w14:textId="5AA68899"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Multicellular tumor spheroid</w:t>
            </w:r>
          </w:p>
        </w:tc>
      </w:tr>
      <w:tr w:rsidR="00530717" w:rsidRPr="00530717" w14:paraId="11018140" w14:textId="77777777" w:rsidTr="00530717">
        <w:tc>
          <w:tcPr>
            <w:tcW w:w="1885" w:type="dxa"/>
          </w:tcPr>
          <w:p w14:paraId="2173C92E" w14:textId="52A4033C"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MSA</w:t>
            </w:r>
          </w:p>
        </w:tc>
        <w:tc>
          <w:tcPr>
            <w:tcW w:w="7465" w:type="dxa"/>
          </w:tcPr>
          <w:p w14:paraId="71F9A37A" w14:textId="570D1785"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Mouse serum albumin</w:t>
            </w:r>
          </w:p>
        </w:tc>
      </w:tr>
      <w:tr w:rsidR="00530717" w:rsidRPr="00530717" w14:paraId="7A5D95F0" w14:textId="77777777" w:rsidTr="00530717">
        <w:tc>
          <w:tcPr>
            <w:tcW w:w="1885" w:type="dxa"/>
          </w:tcPr>
          <w:p w14:paraId="62AF71AA" w14:textId="019268C6" w:rsidR="00AE16A7"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P</w:t>
            </w:r>
          </w:p>
        </w:tc>
        <w:tc>
          <w:tcPr>
            <w:tcW w:w="7465" w:type="dxa"/>
          </w:tcPr>
          <w:p w14:paraId="7FA865FD" w14:textId="19AA7D0A" w:rsidR="00AE16A7" w:rsidRPr="00530717" w:rsidRDefault="00AE16A7" w:rsidP="00F675B4">
            <w:pPr>
              <w:spacing w:line="480" w:lineRule="auto"/>
              <w:rPr>
                <w:rFonts w:ascii="Calibri" w:hAnsi="Calibri" w:cs="Calibri"/>
                <w:color w:val="000000" w:themeColor="text1"/>
              </w:rPr>
            </w:pPr>
          </w:p>
        </w:tc>
      </w:tr>
      <w:tr w:rsidR="00530717" w:rsidRPr="00530717" w14:paraId="29E83B24" w14:textId="77777777" w:rsidTr="00530717">
        <w:tc>
          <w:tcPr>
            <w:tcW w:w="1885" w:type="dxa"/>
          </w:tcPr>
          <w:p w14:paraId="091500E8" w14:textId="49A41665"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PAMP</w:t>
            </w:r>
          </w:p>
        </w:tc>
        <w:tc>
          <w:tcPr>
            <w:tcW w:w="7465" w:type="dxa"/>
          </w:tcPr>
          <w:p w14:paraId="05D07A15" w14:textId="3A970B11"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Pathogen associated molecular patterns</w:t>
            </w:r>
          </w:p>
        </w:tc>
      </w:tr>
      <w:tr w:rsidR="00530717" w:rsidRPr="00530717" w14:paraId="3660CF87" w14:textId="77777777" w:rsidTr="00530717">
        <w:tc>
          <w:tcPr>
            <w:tcW w:w="1885" w:type="dxa"/>
          </w:tcPr>
          <w:p w14:paraId="5441EF36" w14:textId="0DE0F3E3"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PBS</w:t>
            </w:r>
          </w:p>
        </w:tc>
        <w:tc>
          <w:tcPr>
            <w:tcW w:w="7465" w:type="dxa"/>
          </w:tcPr>
          <w:p w14:paraId="0082D638" w14:textId="70ECEE7F"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Phosphate buffer saline</w:t>
            </w:r>
          </w:p>
        </w:tc>
      </w:tr>
      <w:tr w:rsidR="00530717" w:rsidRPr="00530717" w14:paraId="3A20ADB0" w14:textId="77777777" w:rsidTr="00530717">
        <w:tc>
          <w:tcPr>
            <w:tcW w:w="1885" w:type="dxa"/>
          </w:tcPr>
          <w:p w14:paraId="40307E8E" w14:textId="55BDFB6F"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PFA</w:t>
            </w:r>
          </w:p>
        </w:tc>
        <w:tc>
          <w:tcPr>
            <w:tcW w:w="7465" w:type="dxa"/>
          </w:tcPr>
          <w:p w14:paraId="1F73D78B" w14:textId="67F4DB38"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 xml:space="preserve">Paraformaldehyde </w:t>
            </w:r>
          </w:p>
        </w:tc>
      </w:tr>
      <w:tr w:rsidR="00530717" w:rsidRPr="00530717" w14:paraId="149F1126" w14:textId="77777777" w:rsidTr="00530717">
        <w:tc>
          <w:tcPr>
            <w:tcW w:w="1885" w:type="dxa"/>
          </w:tcPr>
          <w:p w14:paraId="4EFEBF75" w14:textId="7463A311"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PI</w:t>
            </w:r>
          </w:p>
        </w:tc>
        <w:tc>
          <w:tcPr>
            <w:tcW w:w="7465" w:type="dxa"/>
          </w:tcPr>
          <w:p w14:paraId="1E03D8C0" w14:textId="56593C68"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Propidium iodide</w:t>
            </w:r>
          </w:p>
        </w:tc>
      </w:tr>
      <w:tr w:rsidR="00530717" w:rsidRPr="00530717" w14:paraId="5744F5A9" w14:textId="77777777" w:rsidTr="00530717">
        <w:tc>
          <w:tcPr>
            <w:tcW w:w="1885" w:type="dxa"/>
          </w:tcPr>
          <w:p w14:paraId="7188B81C" w14:textId="2D73C9E6" w:rsidR="00AE16A7" w:rsidRPr="00530717" w:rsidRDefault="00AE16A7" w:rsidP="00F675B4">
            <w:pPr>
              <w:spacing w:line="480" w:lineRule="auto"/>
              <w:rPr>
                <w:rFonts w:ascii="Calibri" w:hAnsi="Calibri" w:cs="Calibri"/>
                <w:color w:val="000000" w:themeColor="text1"/>
              </w:rPr>
            </w:pPr>
            <w:r w:rsidRPr="00530717">
              <w:rPr>
                <w:rFonts w:ascii="Calibri" w:hAnsi="Calibri" w:cs="Calibri"/>
                <w:color w:val="000000" w:themeColor="text1"/>
              </w:rPr>
              <w:t>PMA</w:t>
            </w:r>
          </w:p>
        </w:tc>
        <w:tc>
          <w:tcPr>
            <w:tcW w:w="7465" w:type="dxa"/>
          </w:tcPr>
          <w:p w14:paraId="250BF865" w14:textId="4D2FE23B" w:rsidR="00AE16A7"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Phorbol-12-myristate-13-acetate</w:t>
            </w:r>
          </w:p>
        </w:tc>
      </w:tr>
      <w:tr w:rsidR="00530717" w:rsidRPr="00530717" w14:paraId="166F3686" w14:textId="77777777" w:rsidTr="00530717">
        <w:tc>
          <w:tcPr>
            <w:tcW w:w="1885" w:type="dxa"/>
          </w:tcPr>
          <w:p w14:paraId="4D31A0CE" w14:textId="3468BC07"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PRR</w:t>
            </w:r>
          </w:p>
        </w:tc>
        <w:tc>
          <w:tcPr>
            <w:tcW w:w="7465" w:type="dxa"/>
          </w:tcPr>
          <w:p w14:paraId="03F2D8AE" w14:textId="31023648"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Pattern recognition receptor</w:t>
            </w:r>
          </w:p>
        </w:tc>
      </w:tr>
      <w:tr w:rsidR="00530717" w:rsidRPr="00530717" w14:paraId="09C86F42" w14:textId="77777777" w:rsidTr="00530717">
        <w:tc>
          <w:tcPr>
            <w:tcW w:w="1885" w:type="dxa"/>
          </w:tcPr>
          <w:p w14:paraId="07DE7B70" w14:textId="68CA2634" w:rsidR="003B3413"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R</w:t>
            </w:r>
          </w:p>
        </w:tc>
        <w:tc>
          <w:tcPr>
            <w:tcW w:w="7465" w:type="dxa"/>
          </w:tcPr>
          <w:p w14:paraId="7D323281" w14:textId="77777777" w:rsidR="003B3413" w:rsidRPr="00530717" w:rsidRDefault="003B3413" w:rsidP="00F675B4">
            <w:pPr>
              <w:spacing w:line="480" w:lineRule="auto"/>
              <w:rPr>
                <w:rFonts w:ascii="Calibri" w:hAnsi="Calibri" w:cs="Calibri"/>
                <w:color w:val="000000" w:themeColor="text1"/>
              </w:rPr>
            </w:pPr>
          </w:p>
        </w:tc>
      </w:tr>
      <w:tr w:rsidR="00530717" w:rsidRPr="00530717" w14:paraId="2B8EEE7C" w14:textId="77777777" w:rsidTr="00530717">
        <w:tc>
          <w:tcPr>
            <w:tcW w:w="1885" w:type="dxa"/>
          </w:tcPr>
          <w:p w14:paraId="7979E425" w14:textId="7DC7EFA9"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RPMI</w:t>
            </w:r>
          </w:p>
        </w:tc>
        <w:tc>
          <w:tcPr>
            <w:tcW w:w="7465" w:type="dxa"/>
          </w:tcPr>
          <w:p w14:paraId="54325FB8" w14:textId="0F2087D1"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 xml:space="preserve">Roswell Park Memorial Institute (RPMI) 1640 </w:t>
            </w:r>
          </w:p>
        </w:tc>
      </w:tr>
      <w:tr w:rsidR="00530717" w:rsidRPr="00530717" w14:paraId="32E4CEF0" w14:textId="77777777" w:rsidTr="00530717">
        <w:tc>
          <w:tcPr>
            <w:tcW w:w="1885" w:type="dxa"/>
          </w:tcPr>
          <w:p w14:paraId="438B65B5" w14:textId="2E289486" w:rsidR="003B3413"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S</w:t>
            </w:r>
          </w:p>
        </w:tc>
        <w:tc>
          <w:tcPr>
            <w:tcW w:w="7465" w:type="dxa"/>
          </w:tcPr>
          <w:p w14:paraId="55C99EFA" w14:textId="1B166FA2" w:rsidR="003B3413" w:rsidRPr="00530717" w:rsidRDefault="003B3413" w:rsidP="00F675B4">
            <w:pPr>
              <w:spacing w:line="480" w:lineRule="auto"/>
              <w:rPr>
                <w:rFonts w:ascii="Calibri" w:hAnsi="Calibri" w:cs="Calibri"/>
                <w:color w:val="000000" w:themeColor="text1"/>
              </w:rPr>
            </w:pPr>
          </w:p>
        </w:tc>
      </w:tr>
      <w:tr w:rsidR="00530717" w:rsidRPr="00530717" w14:paraId="2287D927" w14:textId="77777777" w:rsidTr="00530717">
        <w:tc>
          <w:tcPr>
            <w:tcW w:w="1885" w:type="dxa"/>
          </w:tcPr>
          <w:p w14:paraId="29395699" w14:textId="7876BE40"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SDS</w:t>
            </w:r>
          </w:p>
        </w:tc>
        <w:tc>
          <w:tcPr>
            <w:tcW w:w="7465" w:type="dxa"/>
          </w:tcPr>
          <w:p w14:paraId="17BC013A" w14:textId="522DCE73"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 xml:space="preserve">Sodium dodecyl sulfate </w:t>
            </w:r>
          </w:p>
        </w:tc>
      </w:tr>
      <w:tr w:rsidR="00530717" w:rsidRPr="00530717" w14:paraId="37541335" w14:textId="77777777" w:rsidTr="00530717">
        <w:tc>
          <w:tcPr>
            <w:tcW w:w="1885" w:type="dxa"/>
          </w:tcPr>
          <w:p w14:paraId="50A260CB" w14:textId="58EEBC9B"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SEM</w:t>
            </w:r>
          </w:p>
        </w:tc>
        <w:tc>
          <w:tcPr>
            <w:tcW w:w="7465" w:type="dxa"/>
          </w:tcPr>
          <w:p w14:paraId="00682B5C" w14:textId="0B07DBC9"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Scanning electron microscopy</w:t>
            </w:r>
          </w:p>
        </w:tc>
      </w:tr>
      <w:tr w:rsidR="00530717" w:rsidRPr="00530717" w14:paraId="163E0349" w14:textId="77777777" w:rsidTr="00530717">
        <w:tc>
          <w:tcPr>
            <w:tcW w:w="1885" w:type="dxa"/>
          </w:tcPr>
          <w:p w14:paraId="67654619" w14:textId="65D6B2BE" w:rsidR="003B3413"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T</w:t>
            </w:r>
          </w:p>
        </w:tc>
        <w:tc>
          <w:tcPr>
            <w:tcW w:w="7465" w:type="dxa"/>
          </w:tcPr>
          <w:p w14:paraId="333F160F" w14:textId="77777777" w:rsidR="003B3413" w:rsidRPr="00530717" w:rsidRDefault="003B3413" w:rsidP="00F675B4">
            <w:pPr>
              <w:spacing w:line="480" w:lineRule="auto"/>
              <w:rPr>
                <w:rFonts w:ascii="Calibri" w:hAnsi="Calibri" w:cs="Calibri"/>
                <w:color w:val="000000" w:themeColor="text1"/>
              </w:rPr>
            </w:pPr>
          </w:p>
        </w:tc>
      </w:tr>
      <w:tr w:rsidR="00530717" w:rsidRPr="00530717" w14:paraId="2998F45E" w14:textId="77777777" w:rsidTr="00530717">
        <w:tc>
          <w:tcPr>
            <w:tcW w:w="1885" w:type="dxa"/>
          </w:tcPr>
          <w:p w14:paraId="00FBD9E9" w14:textId="01AC1136" w:rsidR="003B3413" w:rsidRPr="00530717" w:rsidRDefault="000A7E50" w:rsidP="00F675B4">
            <w:pPr>
              <w:spacing w:line="480" w:lineRule="auto"/>
              <w:rPr>
                <w:rFonts w:ascii="Calibri" w:hAnsi="Calibri" w:cs="Calibri"/>
                <w:color w:val="000000" w:themeColor="text1"/>
              </w:rPr>
            </w:pPr>
            <w:r w:rsidRPr="00530717">
              <w:rPr>
                <w:rFonts w:ascii="Calibri" w:hAnsi="Calibri" w:cs="Calibri"/>
                <w:color w:val="000000" w:themeColor="text1"/>
              </w:rPr>
              <w:t>TBS</w:t>
            </w:r>
          </w:p>
        </w:tc>
        <w:tc>
          <w:tcPr>
            <w:tcW w:w="7465" w:type="dxa"/>
          </w:tcPr>
          <w:p w14:paraId="58E378AA" w14:textId="71649CB7" w:rsidR="003B3413" w:rsidRPr="00530717" w:rsidRDefault="00EC73D7" w:rsidP="00F675B4">
            <w:pPr>
              <w:spacing w:line="480" w:lineRule="auto"/>
              <w:rPr>
                <w:rFonts w:ascii="Calibri" w:hAnsi="Calibri" w:cs="Calibri"/>
                <w:color w:val="000000" w:themeColor="text1"/>
              </w:rPr>
            </w:pPr>
            <w:r w:rsidRPr="00530717">
              <w:rPr>
                <w:rFonts w:ascii="Calibri" w:hAnsi="Calibri" w:cs="Calibri"/>
                <w:color w:val="000000" w:themeColor="text1"/>
              </w:rPr>
              <w:t>Tris-buffered saline</w:t>
            </w:r>
          </w:p>
        </w:tc>
      </w:tr>
      <w:tr w:rsidR="00530717" w:rsidRPr="00530717" w14:paraId="23F286F4" w14:textId="77777777" w:rsidTr="00530717">
        <w:tc>
          <w:tcPr>
            <w:tcW w:w="1885" w:type="dxa"/>
          </w:tcPr>
          <w:p w14:paraId="2F857DFD" w14:textId="75E3EBE1" w:rsidR="000A7E50" w:rsidRPr="00530717" w:rsidRDefault="000A7E50" w:rsidP="00F675B4">
            <w:pPr>
              <w:spacing w:line="480" w:lineRule="auto"/>
              <w:rPr>
                <w:rFonts w:ascii="Calibri" w:hAnsi="Calibri" w:cs="Calibri"/>
                <w:color w:val="000000" w:themeColor="text1"/>
              </w:rPr>
            </w:pPr>
            <w:r w:rsidRPr="00530717">
              <w:rPr>
                <w:rFonts w:ascii="Calibri" w:hAnsi="Calibri" w:cs="Calibri"/>
                <w:color w:val="000000" w:themeColor="text1"/>
              </w:rPr>
              <w:t>TBST</w:t>
            </w:r>
          </w:p>
        </w:tc>
        <w:tc>
          <w:tcPr>
            <w:tcW w:w="7465" w:type="dxa"/>
          </w:tcPr>
          <w:p w14:paraId="2F3F2170" w14:textId="3A9CB6DD" w:rsidR="000A7E50" w:rsidRPr="00530717" w:rsidRDefault="00EC73D7" w:rsidP="00F675B4">
            <w:pPr>
              <w:spacing w:line="480" w:lineRule="auto"/>
              <w:rPr>
                <w:rFonts w:ascii="Calibri" w:hAnsi="Calibri" w:cs="Calibri"/>
                <w:color w:val="000000" w:themeColor="text1"/>
              </w:rPr>
            </w:pPr>
            <w:r w:rsidRPr="00530717">
              <w:rPr>
                <w:rFonts w:ascii="Calibri" w:hAnsi="Calibri" w:cs="Calibri"/>
                <w:color w:val="000000" w:themeColor="text1"/>
              </w:rPr>
              <w:t>Tris-buffered saline tween</w:t>
            </w:r>
          </w:p>
        </w:tc>
      </w:tr>
      <w:tr w:rsidR="00530717" w:rsidRPr="00530717" w14:paraId="6AC306BD" w14:textId="77777777" w:rsidTr="00530717">
        <w:tc>
          <w:tcPr>
            <w:tcW w:w="1885" w:type="dxa"/>
          </w:tcPr>
          <w:p w14:paraId="2F71A73B" w14:textId="5F6F5548" w:rsidR="003B3413" w:rsidRPr="00530717" w:rsidRDefault="000A7E50" w:rsidP="00F675B4">
            <w:pPr>
              <w:spacing w:line="480" w:lineRule="auto"/>
              <w:rPr>
                <w:rFonts w:ascii="Calibri" w:hAnsi="Calibri" w:cs="Calibri"/>
                <w:color w:val="000000" w:themeColor="text1"/>
              </w:rPr>
            </w:pPr>
            <w:r w:rsidRPr="00530717">
              <w:rPr>
                <w:rFonts w:ascii="Calibri" w:hAnsi="Calibri" w:cs="Calibri"/>
                <w:color w:val="000000" w:themeColor="text1"/>
              </w:rPr>
              <w:t>TEM</w:t>
            </w:r>
          </w:p>
        </w:tc>
        <w:tc>
          <w:tcPr>
            <w:tcW w:w="7465" w:type="dxa"/>
          </w:tcPr>
          <w:p w14:paraId="36295588" w14:textId="2BC02E14" w:rsidR="003B3413" w:rsidRPr="00530717" w:rsidRDefault="000A7E50" w:rsidP="00F675B4">
            <w:pPr>
              <w:spacing w:line="480" w:lineRule="auto"/>
              <w:rPr>
                <w:rFonts w:ascii="Calibri" w:hAnsi="Calibri" w:cs="Calibri"/>
                <w:color w:val="000000" w:themeColor="text1"/>
              </w:rPr>
            </w:pPr>
            <w:r w:rsidRPr="00530717">
              <w:rPr>
                <w:rFonts w:ascii="Calibri" w:hAnsi="Calibri" w:cs="Calibri"/>
                <w:color w:val="000000" w:themeColor="text1"/>
              </w:rPr>
              <w:t>Transmission electron microscopy</w:t>
            </w:r>
          </w:p>
        </w:tc>
      </w:tr>
      <w:tr w:rsidR="00530717" w:rsidRPr="00530717" w14:paraId="636D16A3" w14:textId="77777777" w:rsidTr="00530717">
        <w:tc>
          <w:tcPr>
            <w:tcW w:w="1885" w:type="dxa"/>
          </w:tcPr>
          <w:p w14:paraId="56E673AD" w14:textId="09F15343" w:rsidR="003B3413" w:rsidRPr="00530717" w:rsidRDefault="003B3413" w:rsidP="00F675B4">
            <w:pPr>
              <w:spacing w:line="480" w:lineRule="auto"/>
              <w:rPr>
                <w:rFonts w:ascii="Calibri" w:hAnsi="Calibri" w:cs="Calibri"/>
                <w:color w:val="000000" w:themeColor="text1"/>
              </w:rPr>
            </w:pPr>
            <w:proofErr w:type="spellStart"/>
            <w:r w:rsidRPr="00530717">
              <w:rPr>
                <w:rFonts w:ascii="Calibri" w:hAnsi="Calibri" w:cs="Calibri"/>
                <w:color w:val="000000" w:themeColor="text1"/>
              </w:rPr>
              <w:t>ThT</w:t>
            </w:r>
            <w:proofErr w:type="spellEnd"/>
          </w:p>
        </w:tc>
        <w:tc>
          <w:tcPr>
            <w:tcW w:w="7465" w:type="dxa"/>
          </w:tcPr>
          <w:p w14:paraId="61F086B7" w14:textId="0A13D4A2" w:rsidR="003B3413" w:rsidRPr="00530717" w:rsidRDefault="003B3413" w:rsidP="00F675B4">
            <w:pPr>
              <w:spacing w:line="480" w:lineRule="auto"/>
              <w:rPr>
                <w:rFonts w:ascii="Calibri" w:hAnsi="Calibri" w:cs="Calibri"/>
                <w:color w:val="000000" w:themeColor="text1"/>
              </w:rPr>
            </w:pPr>
            <w:r w:rsidRPr="00530717">
              <w:rPr>
                <w:rFonts w:ascii="Calibri" w:hAnsi="Calibri" w:cs="Calibri"/>
                <w:color w:val="000000" w:themeColor="text1"/>
              </w:rPr>
              <w:t>Thioflavin T</w:t>
            </w:r>
          </w:p>
        </w:tc>
      </w:tr>
      <w:tr w:rsidR="00530717" w:rsidRPr="00530717" w14:paraId="044B8E26" w14:textId="77777777" w:rsidTr="00530717">
        <w:tc>
          <w:tcPr>
            <w:tcW w:w="1885" w:type="dxa"/>
          </w:tcPr>
          <w:p w14:paraId="6B0A443A" w14:textId="787A494B" w:rsidR="003B3413" w:rsidRPr="00530717" w:rsidRDefault="000A7E50" w:rsidP="00F675B4">
            <w:pPr>
              <w:spacing w:line="480" w:lineRule="auto"/>
              <w:rPr>
                <w:rFonts w:ascii="Calibri" w:hAnsi="Calibri" w:cs="Calibri"/>
                <w:color w:val="000000" w:themeColor="text1"/>
              </w:rPr>
            </w:pPr>
            <w:r w:rsidRPr="00530717">
              <w:rPr>
                <w:rFonts w:ascii="Calibri" w:hAnsi="Calibri" w:cs="Calibri"/>
                <w:color w:val="000000" w:themeColor="text1"/>
              </w:rPr>
              <w:lastRenderedPageBreak/>
              <w:t>TME</w:t>
            </w:r>
          </w:p>
        </w:tc>
        <w:tc>
          <w:tcPr>
            <w:tcW w:w="7465" w:type="dxa"/>
          </w:tcPr>
          <w:p w14:paraId="03E85D2F" w14:textId="622EA12B" w:rsidR="003B3413" w:rsidRPr="00530717" w:rsidRDefault="000A7E50" w:rsidP="00F675B4">
            <w:pPr>
              <w:spacing w:line="480" w:lineRule="auto"/>
              <w:rPr>
                <w:rFonts w:ascii="Calibri" w:hAnsi="Calibri" w:cs="Calibri"/>
                <w:color w:val="000000" w:themeColor="text1"/>
              </w:rPr>
            </w:pPr>
            <w:r w:rsidRPr="00530717">
              <w:rPr>
                <w:rFonts w:ascii="Calibri" w:hAnsi="Calibri" w:cs="Calibri"/>
                <w:color w:val="000000" w:themeColor="text1"/>
              </w:rPr>
              <w:t>Tumor microenvironment</w:t>
            </w:r>
          </w:p>
        </w:tc>
      </w:tr>
      <w:tr w:rsidR="00530717" w:rsidRPr="00530717" w14:paraId="64FF9B32" w14:textId="77777777" w:rsidTr="00530717">
        <w:tc>
          <w:tcPr>
            <w:tcW w:w="1885" w:type="dxa"/>
          </w:tcPr>
          <w:p w14:paraId="6198F283" w14:textId="4CBFB3B2" w:rsidR="000A7E50" w:rsidRPr="00530717" w:rsidRDefault="000A7E50" w:rsidP="00F675B4">
            <w:pPr>
              <w:spacing w:line="480" w:lineRule="auto"/>
              <w:rPr>
                <w:rFonts w:ascii="Calibri" w:hAnsi="Calibri" w:cs="Calibri"/>
                <w:color w:val="000000" w:themeColor="text1"/>
              </w:rPr>
            </w:pPr>
            <w:r w:rsidRPr="00530717">
              <w:rPr>
                <w:rFonts w:ascii="Calibri" w:hAnsi="Calibri" w:cs="Calibri"/>
                <w:color w:val="000000" w:themeColor="text1"/>
              </w:rPr>
              <w:t>TLR</w:t>
            </w:r>
          </w:p>
        </w:tc>
        <w:tc>
          <w:tcPr>
            <w:tcW w:w="7465" w:type="dxa"/>
          </w:tcPr>
          <w:p w14:paraId="439C79F6" w14:textId="715D8E66" w:rsidR="000A7E50" w:rsidRPr="00530717" w:rsidRDefault="000A7E50" w:rsidP="00F675B4">
            <w:pPr>
              <w:spacing w:line="480" w:lineRule="auto"/>
              <w:rPr>
                <w:rFonts w:ascii="Calibri" w:hAnsi="Calibri" w:cs="Calibri"/>
                <w:color w:val="000000" w:themeColor="text1"/>
              </w:rPr>
            </w:pPr>
            <w:r w:rsidRPr="00530717">
              <w:rPr>
                <w:rFonts w:ascii="Calibri" w:hAnsi="Calibri" w:cs="Calibri"/>
                <w:color w:val="000000" w:themeColor="text1"/>
              </w:rPr>
              <w:t>Toll like receptor</w:t>
            </w:r>
          </w:p>
        </w:tc>
      </w:tr>
      <w:tr w:rsidR="00530717" w:rsidRPr="00530717" w14:paraId="036E2E21" w14:textId="77777777" w:rsidTr="00530717">
        <w:tc>
          <w:tcPr>
            <w:tcW w:w="1885" w:type="dxa"/>
          </w:tcPr>
          <w:p w14:paraId="4526CE5B" w14:textId="78940999" w:rsidR="00EC73D7" w:rsidRPr="00530717" w:rsidRDefault="007D4F8C" w:rsidP="00F675B4">
            <w:pPr>
              <w:spacing w:line="480" w:lineRule="auto"/>
              <w:jc w:val="center"/>
              <w:rPr>
                <w:rFonts w:ascii="Calibri" w:hAnsi="Calibri" w:cs="Calibri"/>
                <w:color w:val="000000" w:themeColor="text1"/>
              </w:rPr>
            </w:pPr>
            <w:r w:rsidRPr="00530717">
              <w:rPr>
                <w:rFonts w:ascii="Calibri" w:hAnsi="Calibri" w:cs="Calibri"/>
                <w:color w:val="000000" w:themeColor="text1"/>
              </w:rPr>
              <w:t>Y</w:t>
            </w:r>
          </w:p>
        </w:tc>
        <w:tc>
          <w:tcPr>
            <w:tcW w:w="7465" w:type="dxa"/>
          </w:tcPr>
          <w:p w14:paraId="7CC7434F" w14:textId="77777777" w:rsidR="00EC73D7" w:rsidRPr="00530717" w:rsidRDefault="00EC73D7" w:rsidP="00F675B4">
            <w:pPr>
              <w:spacing w:line="480" w:lineRule="auto"/>
              <w:rPr>
                <w:rFonts w:ascii="Calibri" w:hAnsi="Calibri" w:cs="Calibri"/>
                <w:color w:val="000000" w:themeColor="text1"/>
              </w:rPr>
            </w:pPr>
          </w:p>
        </w:tc>
      </w:tr>
      <w:tr w:rsidR="00530717" w:rsidRPr="00530717" w14:paraId="348B6F30" w14:textId="77777777" w:rsidTr="00530717">
        <w:tc>
          <w:tcPr>
            <w:tcW w:w="1885" w:type="dxa"/>
          </w:tcPr>
          <w:p w14:paraId="0B075D81" w14:textId="61366D4F" w:rsidR="00EC73D7" w:rsidRPr="00530717" w:rsidRDefault="00EC73D7" w:rsidP="00F675B4">
            <w:pPr>
              <w:spacing w:line="480" w:lineRule="auto"/>
              <w:rPr>
                <w:rFonts w:ascii="Calibri" w:hAnsi="Calibri" w:cs="Calibri"/>
                <w:color w:val="000000" w:themeColor="text1"/>
              </w:rPr>
            </w:pPr>
            <w:r w:rsidRPr="00530717">
              <w:rPr>
                <w:rFonts w:ascii="Calibri" w:hAnsi="Calibri" w:cs="Calibri"/>
                <w:color w:val="000000" w:themeColor="text1"/>
              </w:rPr>
              <w:t>YAP</w:t>
            </w:r>
          </w:p>
        </w:tc>
        <w:tc>
          <w:tcPr>
            <w:tcW w:w="7465" w:type="dxa"/>
          </w:tcPr>
          <w:p w14:paraId="349ADFE0" w14:textId="0E4CE472" w:rsidR="00EC73D7" w:rsidRPr="00530717" w:rsidRDefault="00EC73D7" w:rsidP="00F675B4">
            <w:pPr>
              <w:spacing w:line="480" w:lineRule="auto"/>
              <w:rPr>
                <w:rFonts w:ascii="Calibri" w:hAnsi="Calibri" w:cs="Calibri"/>
                <w:color w:val="000000" w:themeColor="text1"/>
              </w:rPr>
            </w:pPr>
            <w:proofErr w:type="gramStart"/>
            <w:r w:rsidRPr="00530717">
              <w:rPr>
                <w:rFonts w:ascii="Calibri" w:hAnsi="Calibri" w:cs="Calibri"/>
                <w:color w:val="000000" w:themeColor="text1"/>
              </w:rPr>
              <w:t>Yes</w:t>
            </w:r>
            <w:proofErr w:type="gramEnd"/>
            <w:r w:rsidRPr="00530717">
              <w:rPr>
                <w:rFonts w:ascii="Calibri" w:hAnsi="Calibri" w:cs="Calibri"/>
                <w:color w:val="000000" w:themeColor="text1"/>
              </w:rPr>
              <w:t xml:space="preserve"> associated protein</w:t>
            </w:r>
          </w:p>
        </w:tc>
      </w:tr>
    </w:tbl>
    <w:p w14:paraId="7705C67D" w14:textId="77777777" w:rsidR="00B12634" w:rsidRPr="00530717" w:rsidRDefault="00B12634" w:rsidP="00F675B4">
      <w:pPr>
        <w:spacing w:line="480" w:lineRule="auto"/>
        <w:rPr>
          <w:rFonts w:ascii="Calibri" w:hAnsi="Calibri" w:cs="Calibri"/>
          <w:color w:val="000000" w:themeColor="text1"/>
        </w:rPr>
      </w:pPr>
    </w:p>
    <w:p w14:paraId="2908A294" w14:textId="4B51DD69" w:rsidR="009E6673" w:rsidRPr="00530717" w:rsidRDefault="009E6673" w:rsidP="00F675B4">
      <w:pPr>
        <w:spacing w:line="480" w:lineRule="auto"/>
        <w:jc w:val="both"/>
        <w:rPr>
          <w:rFonts w:ascii="Palatino Linotype" w:hAnsi="Palatino Linotype"/>
          <w:color w:val="000000" w:themeColor="text1"/>
        </w:rPr>
      </w:pPr>
    </w:p>
    <w:p w14:paraId="1EA7D03A" w14:textId="77777777" w:rsidR="009E6673" w:rsidRDefault="009E6673" w:rsidP="00F675B4">
      <w:pPr>
        <w:spacing w:line="480" w:lineRule="auto"/>
        <w:jc w:val="both"/>
        <w:rPr>
          <w:rFonts w:ascii="Palatino Linotype" w:hAnsi="Palatino Linotype"/>
        </w:rPr>
      </w:pPr>
    </w:p>
    <w:p w14:paraId="20CB73D6" w14:textId="5CA88D84" w:rsidR="000711C0" w:rsidRDefault="000711C0" w:rsidP="00F675B4">
      <w:pPr>
        <w:keepNext/>
        <w:spacing w:line="480" w:lineRule="auto"/>
      </w:pPr>
    </w:p>
    <w:p w14:paraId="3827AEC3" w14:textId="77777777" w:rsidR="000711C0" w:rsidRDefault="000711C0" w:rsidP="00F675B4">
      <w:pPr>
        <w:pStyle w:val="Caption"/>
        <w:spacing w:line="480" w:lineRule="auto"/>
      </w:pPr>
    </w:p>
    <w:p w14:paraId="69FBAC70" w14:textId="000615E9" w:rsidR="000711C0" w:rsidRDefault="000711C0" w:rsidP="00F675B4">
      <w:pPr>
        <w:pStyle w:val="Caption"/>
        <w:keepNext/>
        <w:spacing w:line="480" w:lineRule="auto"/>
      </w:pPr>
    </w:p>
    <w:p w14:paraId="34AC2586" w14:textId="77777777" w:rsidR="000711C0" w:rsidRPr="00623BA4" w:rsidRDefault="000711C0" w:rsidP="00F675B4">
      <w:pPr>
        <w:spacing w:line="480" w:lineRule="auto"/>
        <w:jc w:val="both"/>
        <w:rPr>
          <w:rFonts w:ascii="Palatino Linotype" w:hAnsi="Palatino Linotype"/>
        </w:rPr>
      </w:pPr>
    </w:p>
    <w:p w14:paraId="4B2860B8" w14:textId="55A06986" w:rsidR="000711C0" w:rsidRDefault="000711C0" w:rsidP="003D04F1">
      <w:pPr>
        <w:spacing w:line="276" w:lineRule="auto"/>
        <w:jc w:val="both"/>
        <w:rPr>
          <w:rFonts w:ascii="Palatino Linotype" w:hAnsi="Palatino Linotype"/>
        </w:rPr>
      </w:pPr>
    </w:p>
    <w:p w14:paraId="05FD2C19" w14:textId="5C917C91" w:rsidR="00074127" w:rsidRDefault="00074127" w:rsidP="003D04F1">
      <w:pPr>
        <w:spacing w:line="276" w:lineRule="auto"/>
        <w:jc w:val="both"/>
        <w:rPr>
          <w:rFonts w:ascii="Palatino Linotype" w:hAnsi="Palatino Linotype"/>
        </w:rPr>
      </w:pPr>
    </w:p>
    <w:p w14:paraId="5464BD70" w14:textId="37C447B5" w:rsidR="00074127" w:rsidRDefault="00074127" w:rsidP="003D04F1">
      <w:pPr>
        <w:spacing w:line="276" w:lineRule="auto"/>
        <w:jc w:val="both"/>
        <w:rPr>
          <w:rFonts w:ascii="Palatino Linotype" w:hAnsi="Palatino Linotype"/>
        </w:rPr>
      </w:pPr>
    </w:p>
    <w:p w14:paraId="7FFFB24F" w14:textId="6DA36276" w:rsidR="00074127" w:rsidRDefault="00074127" w:rsidP="003D04F1">
      <w:pPr>
        <w:spacing w:line="276" w:lineRule="auto"/>
        <w:jc w:val="both"/>
        <w:rPr>
          <w:rFonts w:ascii="Palatino Linotype" w:hAnsi="Palatino Linotype"/>
        </w:rPr>
      </w:pPr>
    </w:p>
    <w:p w14:paraId="300537C1" w14:textId="5338AB39" w:rsidR="00C62AA6" w:rsidRDefault="00C62AA6" w:rsidP="003D04F1">
      <w:pPr>
        <w:spacing w:line="276" w:lineRule="auto"/>
        <w:jc w:val="both"/>
        <w:rPr>
          <w:rFonts w:ascii="Palatino Linotype" w:hAnsi="Palatino Linotype"/>
        </w:rPr>
      </w:pPr>
    </w:p>
    <w:p w14:paraId="400D87D1" w14:textId="62203C28" w:rsidR="00C62AA6" w:rsidRDefault="00C62AA6" w:rsidP="003D04F1">
      <w:pPr>
        <w:spacing w:line="276" w:lineRule="auto"/>
        <w:jc w:val="both"/>
        <w:rPr>
          <w:rFonts w:ascii="Palatino Linotype" w:hAnsi="Palatino Linotype"/>
        </w:rPr>
      </w:pPr>
    </w:p>
    <w:p w14:paraId="09B0C591" w14:textId="5D9808E4" w:rsidR="00C62AA6" w:rsidRDefault="00C62AA6" w:rsidP="003D04F1">
      <w:pPr>
        <w:spacing w:line="276" w:lineRule="auto"/>
        <w:jc w:val="both"/>
        <w:rPr>
          <w:rFonts w:ascii="Palatino Linotype" w:hAnsi="Palatino Linotype"/>
        </w:rPr>
      </w:pPr>
    </w:p>
    <w:p w14:paraId="2C99FC07" w14:textId="2A667348" w:rsidR="00C62AA6" w:rsidRDefault="00C62AA6" w:rsidP="003D04F1">
      <w:pPr>
        <w:spacing w:line="276" w:lineRule="auto"/>
        <w:jc w:val="both"/>
        <w:rPr>
          <w:rFonts w:ascii="Palatino Linotype" w:hAnsi="Palatino Linotype"/>
        </w:rPr>
      </w:pPr>
    </w:p>
    <w:p w14:paraId="376169B9" w14:textId="2F21AC82" w:rsidR="00C62AA6" w:rsidRDefault="00C62AA6" w:rsidP="003D04F1">
      <w:pPr>
        <w:spacing w:line="276" w:lineRule="auto"/>
        <w:jc w:val="both"/>
        <w:rPr>
          <w:rFonts w:ascii="Palatino Linotype" w:hAnsi="Palatino Linotype"/>
        </w:rPr>
      </w:pPr>
    </w:p>
    <w:p w14:paraId="39E3C9F3" w14:textId="72C73721" w:rsidR="00C62AA6" w:rsidRDefault="00C62AA6" w:rsidP="003D04F1">
      <w:pPr>
        <w:spacing w:line="276" w:lineRule="auto"/>
        <w:jc w:val="both"/>
        <w:rPr>
          <w:rFonts w:ascii="Palatino Linotype" w:hAnsi="Palatino Linotype"/>
        </w:rPr>
      </w:pPr>
    </w:p>
    <w:p w14:paraId="5F9AF49B" w14:textId="56A6D5D1" w:rsidR="00C62AA6" w:rsidRDefault="00C62AA6" w:rsidP="003D04F1">
      <w:pPr>
        <w:spacing w:line="276" w:lineRule="auto"/>
        <w:jc w:val="both"/>
        <w:rPr>
          <w:rFonts w:ascii="Palatino Linotype" w:hAnsi="Palatino Linotype"/>
        </w:rPr>
      </w:pPr>
    </w:p>
    <w:p w14:paraId="5965A843" w14:textId="2BF4FD6A" w:rsidR="00C62AA6" w:rsidRDefault="00C62AA6" w:rsidP="003D04F1">
      <w:pPr>
        <w:spacing w:line="276" w:lineRule="auto"/>
        <w:jc w:val="both"/>
        <w:rPr>
          <w:rFonts w:ascii="Palatino Linotype" w:hAnsi="Palatino Linotype"/>
        </w:rPr>
      </w:pPr>
    </w:p>
    <w:p w14:paraId="70AA94A3" w14:textId="5B1515D8" w:rsidR="00C62AA6" w:rsidRDefault="00C62AA6" w:rsidP="003D04F1">
      <w:pPr>
        <w:spacing w:line="276" w:lineRule="auto"/>
        <w:jc w:val="both"/>
        <w:rPr>
          <w:rFonts w:ascii="Palatino Linotype" w:hAnsi="Palatino Linotype"/>
        </w:rPr>
      </w:pPr>
    </w:p>
    <w:p w14:paraId="52F3D735" w14:textId="77777777" w:rsidR="00C62AA6" w:rsidRDefault="00C62AA6" w:rsidP="003D04F1">
      <w:pPr>
        <w:spacing w:line="276" w:lineRule="auto"/>
        <w:jc w:val="both"/>
        <w:rPr>
          <w:rFonts w:ascii="Palatino Linotype" w:hAnsi="Palatino Linotype"/>
        </w:rPr>
      </w:pPr>
    </w:p>
    <w:p w14:paraId="72B3C2C1" w14:textId="77777777" w:rsidR="00317E7D" w:rsidRDefault="00317E7D" w:rsidP="003D04F1">
      <w:pPr>
        <w:spacing w:line="276" w:lineRule="auto"/>
        <w:rPr>
          <w:rFonts w:ascii="Palatino Linotype" w:hAnsi="Palatino Linotype"/>
        </w:rPr>
      </w:pPr>
    </w:p>
    <w:p w14:paraId="03FB0472" w14:textId="72138A76" w:rsidR="000711C0" w:rsidRPr="00453128" w:rsidRDefault="00317E7D" w:rsidP="00453128">
      <w:pPr>
        <w:pStyle w:val="Heading1"/>
      </w:pPr>
      <w:bookmarkStart w:id="223" w:name="_Toc120794239"/>
      <w:r w:rsidRPr="00453128">
        <w:lastRenderedPageBreak/>
        <w:t>References</w:t>
      </w:r>
      <w:bookmarkEnd w:id="223"/>
    </w:p>
    <w:p w14:paraId="1DC56EB5" w14:textId="77777777" w:rsidR="000711C0" w:rsidRDefault="000711C0" w:rsidP="003D04F1">
      <w:pPr>
        <w:spacing w:line="276" w:lineRule="auto"/>
        <w:rPr>
          <w:rFonts w:ascii="Palatino Linotype" w:hAnsi="Palatino Linotype"/>
        </w:rPr>
      </w:pPr>
    </w:p>
    <w:p w14:paraId="3A34DD16" w14:textId="77777777" w:rsidR="000711C0" w:rsidRDefault="000711C0" w:rsidP="003D04F1">
      <w:pPr>
        <w:spacing w:line="276" w:lineRule="auto"/>
        <w:rPr>
          <w:rFonts w:ascii="Palatino Linotype" w:hAnsi="Palatino Linotype"/>
        </w:rPr>
      </w:pPr>
    </w:p>
    <w:p w14:paraId="2B034B5E" w14:textId="77777777" w:rsidR="00317E7D" w:rsidRPr="00317E7D" w:rsidRDefault="009D125F" w:rsidP="00317E7D">
      <w:pPr>
        <w:pStyle w:val="Bibliography"/>
        <w:rPr>
          <w:rFonts w:ascii="Calibri" w:cs="Calibri"/>
        </w:rPr>
      </w:pPr>
      <w:r>
        <w:rPr>
          <w:rFonts w:ascii="Palatino Linotype" w:hAnsi="Palatino Linotype"/>
        </w:rPr>
        <w:fldChar w:fldCharType="begin"/>
      </w:r>
      <w:r w:rsidR="00317E7D">
        <w:rPr>
          <w:rFonts w:ascii="Palatino Linotype" w:hAnsi="Palatino Linotype"/>
        </w:rPr>
        <w:instrText xml:space="preserve"> ADDIN ZOTERO_BIBL {"uncited":[],"omitted":[],"custom":[]} CSL_BIBLIOGRAPHY </w:instrText>
      </w:r>
      <w:r>
        <w:rPr>
          <w:rFonts w:ascii="Palatino Linotype" w:hAnsi="Palatino Linotype"/>
        </w:rPr>
        <w:fldChar w:fldCharType="separate"/>
      </w:r>
      <w:r w:rsidR="00317E7D" w:rsidRPr="00317E7D">
        <w:rPr>
          <w:rFonts w:ascii="Calibri" w:cs="Calibri"/>
        </w:rPr>
        <w:t>1.</w:t>
      </w:r>
      <w:r w:rsidR="00317E7D" w:rsidRPr="00317E7D">
        <w:rPr>
          <w:rFonts w:ascii="Calibri" w:cs="Calibri"/>
        </w:rPr>
        <w:tab/>
        <w:t xml:space="preserve">Thiery, J. </w:t>
      </w:r>
      <w:r w:rsidR="00317E7D" w:rsidRPr="00317E7D">
        <w:rPr>
          <w:rFonts w:ascii="Calibri" w:cs="Calibri"/>
          <w:i/>
          <w:iCs/>
        </w:rPr>
        <w:t>et al.</w:t>
      </w:r>
      <w:r w:rsidR="00317E7D" w:rsidRPr="00317E7D">
        <w:rPr>
          <w:rFonts w:ascii="Calibri" w:cs="Calibri"/>
        </w:rPr>
        <w:t xml:space="preserve"> Perforin pores in the endosomal membrane trigger the release of endocytosed granzyme B into the cytosol of target cells. </w:t>
      </w:r>
      <w:r w:rsidR="00317E7D" w:rsidRPr="00317E7D">
        <w:rPr>
          <w:rFonts w:ascii="Calibri" w:cs="Calibri"/>
          <w:i/>
          <w:iCs/>
        </w:rPr>
        <w:t>Nat Immunol</w:t>
      </w:r>
      <w:r w:rsidR="00317E7D" w:rsidRPr="00317E7D">
        <w:rPr>
          <w:rFonts w:ascii="Calibri" w:cs="Calibri"/>
        </w:rPr>
        <w:t xml:space="preserve"> </w:t>
      </w:r>
      <w:r w:rsidR="00317E7D" w:rsidRPr="00317E7D">
        <w:rPr>
          <w:rFonts w:ascii="Calibri" w:cs="Calibri"/>
          <w:b/>
          <w:bCs/>
        </w:rPr>
        <w:t>12</w:t>
      </w:r>
      <w:r w:rsidR="00317E7D" w:rsidRPr="00317E7D">
        <w:rPr>
          <w:rFonts w:ascii="Calibri" w:cs="Calibri"/>
        </w:rPr>
        <w:t>, 770–777 (2011).</w:t>
      </w:r>
    </w:p>
    <w:p w14:paraId="386F2C84" w14:textId="77777777" w:rsidR="00317E7D" w:rsidRPr="00317E7D" w:rsidRDefault="00317E7D" w:rsidP="00317E7D">
      <w:pPr>
        <w:pStyle w:val="Bibliography"/>
        <w:rPr>
          <w:rFonts w:ascii="Calibri" w:cs="Calibri"/>
        </w:rPr>
      </w:pPr>
      <w:r w:rsidRPr="00317E7D">
        <w:rPr>
          <w:rFonts w:ascii="Calibri" w:cs="Calibri"/>
        </w:rPr>
        <w:t>2.</w:t>
      </w:r>
      <w:r w:rsidRPr="00317E7D">
        <w:rPr>
          <w:rFonts w:ascii="Calibri" w:cs="Calibri"/>
        </w:rPr>
        <w:tab/>
        <w:t xml:space="preserve">Dunkelberger, J. R. &amp; Song, W.-C. Complement and its role in innate and adaptive immune responses. </w:t>
      </w:r>
      <w:r w:rsidRPr="00317E7D">
        <w:rPr>
          <w:rFonts w:ascii="Calibri" w:cs="Calibri"/>
          <w:i/>
          <w:iCs/>
        </w:rPr>
        <w:t>Cell Res</w:t>
      </w:r>
      <w:r w:rsidRPr="00317E7D">
        <w:rPr>
          <w:rFonts w:ascii="Calibri" w:cs="Calibri"/>
        </w:rPr>
        <w:t xml:space="preserve"> </w:t>
      </w:r>
      <w:r w:rsidRPr="00317E7D">
        <w:rPr>
          <w:rFonts w:ascii="Calibri" w:cs="Calibri"/>
          <w:b/>
          <w:bCs/>
        </w:rPr>
        <w:t>20</w:t>
      </w:r>
      <w:r w:rsidRPr="00317E7D">
        <w:rPr>
          <w:rFonts w:ascii="Calibri" w:cs="Calibri"/>
        </w:rPr>
        <w:t>, 34–50 (2010).</w:t>
      </w:r>
    </w:p>
    <w:p w14:paraId="1C0B95DA" w14:textId="77777777" w:rsidR="00317E7D" w:rsidRPr="00317E7D" w:rsidRDefault="00317E7D" w:rsidP="00317E7D">
      <w:pPr>
        <w:pStyle w:val="Bibliography"/>
        <w:rPr>
          <w:rFonts w:ascii="Calibri" w:cs="Calibri"/>
        </w:rPr>
      </w:pPr>
      <w:r w:rsidRPr="00317E7D">
        <w:rPr>
          <w:rFonts w:ascii="Calibri" w:cs="Calibri"/>
        </w:rPr>
        <w:t>3.</w:t>
      </w:r>
      <w:r w:rsidRPr="00317E7D">
        <w:rPr>
          <w:rFonts w:ascii="Calibri" w:cs="Calibri"/>
        </w:rPr>
        <w:tab/>
        <w:t xml:space="preserve">Vidarsson, G., Dekkers, G. &amp; Rispens, T. IgG Subclasses and Allotypes: From Structure to Effector Functions. </w:t>
      </w:r>
      <w:r w:rsidRPr="00317E7D">
        <w:rPr>
          <w:rFonts w:ascii="Calibri" w:cs="Calibri"/>
          <w:i/>
          <w:iCs/>
        </w:rPr>
        <w:t>Front Immunol</w:t>
      </w:r>
      <w:r w:rsidRPr="00317E7D">
        <w:rPr>
          <w:rFonts w:ascii="Calibri" w:cs="Calibri"/>
        </w:rPr>
        <w:t xml:space="preserve"> </w:t>
      </w:r>
      <w:r w:rsidRPr="00317E7D">
        <w:rPr>
          <w:rFonts w:ascii="Calibri" w:cs="Calibri"/>
          <w:b/>
          <w:bCs/>
        </w:rPr>
        <w:t>5</w:t>
      </w:r>
      <w:r w:rsidRPr="00317E7D">
        <w:rPr>
          <w:rFonts w:ascii="Calibri" w:cs="Calibri"/>
        </w:rPr>
        <w:t>, 520 (2014).</w:t>
      </w:r>
    </w:p>
    <w:p w14:paraId="03809421" w14:textId="77777777" w:rsidR="00317E7D" w:rsidRPr="00317E7D" w:rsidRDefault="00317E7D" w:rsidP="00317E7D">
      <w:pPr>
        <w:pStyle w:val="Bibliography"/>
        <w:rPr>
          <w:rFonts w:ascii="Calibri" w:cs="Calibri"/>
        </w:rPr>
      </w:pPr>
      <w:r w:rsidRPr="00317E7D">
        <w:rPr>
          <w:rFonts w:ascii="Calibri" w:cs="Calibri"/>
        </w:rPr>
        <w:t>4.</w:t>
      </w:r>
      <w:r w:rsidRPr="00317E7D">
        <w:rPr>
          <w:rFonts w:ascii="Calibri" w:cs="Calibri"/>
        </w:rPr>
        <w:tab/>
        <w:t xml:space="preserve">Jegaskanda, S., Reading, P. C. &amp; Kent, S. J. Influenza-Specific Antibody-Dependent Cellular Cytotoxicity: Toward a Universal Influenza Vaccine. </w:t>
      </w:r>
      <w:r w:rsidRPr="00317E7D">
        <w:rPr>
          <w:rFonts w:ascii="Calibri" w:cs="Calibri"/>
          <w:i/>
          <w:iCs/>
        </w:rPr>
        <w:t>J.I.</w:t>
      </w:r>
      <w:r w:rsidRPr="00317E7D">
        <w:rPr>
          <w:rFonts w:ascii="Calibri" w:cs="Calibri"/>
        </w:rPr>
        <w:t xml:space="preserve"> </w:t>
      </w:r>
      <w:r w:rsidRPr="00317E7D">
        <w:rPr>
          <w:rFonts w:ascii="Calibri" w:cs="Calibri"/>
          <w:b/>
          <w:bCs/>
        </w:rPr>
        <w:t>193</w:t>
      </w:r>
      <w:r w:rsidRPr="00317E7D">
        <w:rPr>
          <w:rFonts w:ascii="Calibri" w:cs="Calibri"/>
        </w:rPr>
        <w:t>, 469–475 (2014).</w:t>
      </w:r>
    </w:p>
    <w:p w14:paraId="76BF77D9" w14:textId="77777777" w:rsidR="00317E7D" w:rsidRPr="00317E7D" w:rsidRDefault="00317E7D" w:rsidP="00317E7D">
      <w:pPr>
        <w:pStyle w:val="Bibliography"/>
        <w:rPr>
          <w:rFonts w:ascii="Calibri" w:cs="Calibri"/>
        </w:rPr>
      </w:pPr>
      <w:r w:rsidRPr="00317E7D">
        <w:rPr>
          <w:rFonts w:ascii="Calibri" w:cs="Calibri"/>
        </w:rPr>
        <w:t>5.</w:t>
      </w:r>
      <w:r w:rsidRPr="00317E7D">
        <w:rPr>
          <w:rFonts w:ascii="Calibri" w:cs="Calibri"/>
        </w:rPr>
        <w:tab/>
        <w:t xml:space="preserve">Nimmerjahn, F. Divergent Immunoglobulin G Subclass Activity Through Selective Fc Receptor Binding. </w:t>
      </w:r>
      <w:r w:rsidRPr="00317E7D">
        <w:rPr>
          <w:rFonts w:ascii="Calibri" w:cs="Calibri"/>
          <w:i/>
          <w:iCs/>
        </w:rPr>
        <w:t>Science</w:t>
      </w:r>
      <w:r w:rsidRPr="00317E7D">
        <w:rPr>
          <w:rFonts w:ascii="Calibri" w:cs="Calibri"/>
        </w:rPr>
        <w:t xml:space="preserve"> </w:t>
      </w:r>
      <w:r w:rsidRPr="00317E7D">
        <w:rPr>
          <w:rFonts w:ascii="Calibri" w:cs="Calibri"/>
          <w:b/>
          <w:bCs/>
        </w:rPr>
        <w:t>310</w:t>
      </w:r>
      <w:r w:rsidRPr="00317E7D">
        <w:rPr>
          <w:rFonts w:ascii="Calibri" w:cs="Calibri"/>
        </w:rPr>
        <w:t>, 1510–1512 (2005).</w:t>
      </w:r>
    </w:p>
    <w:p w14:paraId="2A65B313" w14:textId="77777777" w:rsidR="00317E7D" w:rsidRPr="00317E7D" w:rsidRDefault="00317E7D" w:rsidP="00317E7D">
      <w:pPr>
        <w:pStyle w:val="Bibliography"/>
        <w:rPr>
          <w:rFonts w:ascii="Calibri" w:cs="Calibri"/>
        </w:rPr>
      </w:pPr>
      <w:r w:rsidRPr="00317E7D">
        <w:rPr>
          <w:rFonts w:ascii="Calibri" w:cs="Calibri"/>
        </w:rPr>
        <w:t>6.</w:t>
      </w:r>
      <w:r w:rsidRPr="00317E7D">
        <w:rPr>
          <w:rFonts w:ascii="Calibri" w:cs="Calibri"/>
        </w:rPr>
        <w:tab/>
        <w:t xml:space="preserve">Zhang, J. &amp; Tao, A. Antigenicity, Immunogenicity, Allergenicity. in </w:t>
      </w:r>
      <w:r w:rsidRPr="00317E7D">
        <w:rPr>
          <w:rFonts w:ascii="Calibri" w:cs="Calibri"/>
          <w:i/>
          <w:iCs/>
        </w:rPr>
        <w:t>Allergy Bioinformatics</w:t>
      </w:r>
      <w:r w:rsidRPr="00317E7D">
        <w:rPr>
          <w:rFonts w:ascii="Calibri" w:cs="Calibri"/>
        </w:rPr>
        <w:t xml:space="preserve"> (eds. Tao, A. &amp; Raz, E.) vol. 8 175–186 (Springer Netherlands, 2015).</w:t>
      </w:r>
    </w:p>
    <w:p w14:paraId="1A93A178" w14:textId="77777777" w:rsidR="00317E7D" w:rsidRPr="00317E7D" w:rsidRDefault="00317E7D" w:rsidP="00317E7D">
      <w:pPr>
        <w:pStyle w:val="Bibliography"/>
        <w:rPr>
          <w:rFonts w:ascii="Calibri" w:cs="Calibri"/>
        </w:rPr>
      </w:pPr>
      <w:r w:rsidRPr="00317E7D">
        <w:rPr>
          <w:rFonts w:ascii="Calibri" w:cs="Calibri"/>
        </w:rPr>
        <w:t>7.</w:t>
      </w:r>
      <w:r w:rsidRPr="00317E7D">
        <w:rPr>
          <w:rFonts w:ascii="Calibri" w:cs="Calibri"/>
        </w:rPr>
        <w:tab/>
        <w:t xml:space="preserve">Ilinskaya, A. N. &amp; Dobrovolskaia, M. A. Understanding the immunogenicity and antigenicity of nanomaterials: Past, present and future. </w:t>
      </w:r>
      <w:r w:rsidRPr="00317E7D">
        <w:rPr>
          <w:rFonts w:ascii="Calibri" w:cs="Calibri"/>
          <w:i/>
          <w:iCs/>
        </w:rPr>
        <w:t>Toxicology and Applied Pharmacology</w:t>
      </w:r>
      <w:r w:rsidRPr="00317E7D">
        <w:rPr>
          <w:rFonts w:ascii="Calibri" w:cs="Calibri"/>
        </w:rPr>
        <w:t xml:space="preserve"> </w:t>
      </w:r>
      <w:r w:rsidRPr="00317E7D">
        <w:rPr>
          <w:rFonts w:ascii="Calibri" w:cs="Calibri"/>
          <w:b/>
          <w:bCs/>
        </w:rPr>
        <w:t>299</w:t>
      </w:r>
      <w:r w:rsidRPr="00317E7D">
        <w:rPr>
          <w:rFonts w:ascii="Calibri" w:cs="Calibri"/>
        </w:rPr>
        <w:t>, 70–77 (2016).</w:t>
      </w:r>
    </w:p>
    <w:p w14:paraId="2CA62999" w14:textId="77777777" w:rsidR="00317E7D" w:rsidRPr="00317E7D" w:rsidRDefault="00317E7D" w:rsidP="00317E7D">
      <w:pPr>
        <w:pStyle w:val="Bibliography"/>
        <w:rPr>
          <w:rFonts w:ascii="Calibri" w:cs="Calibri"/>
        </w:rPr>
      </w:pPr>
      <w:r w:rsidRPr="00317E7D">
        <w:rPr>
          <w:rFonts w:ascii="Calibri" w:cs="Calibri"/>
        </w:rPr>
        <w:t>8.</w:t>
      </w:r>
      <w:r w:rsidRPr="00317E7D">
        <w:rPr>
          <w:rFonts w:ascii="Calibri" w:cs="Calibri"/>
        </w:rPr>
        <w:tab/>
        <w:t xml:space="preserve">Kroemer, G., Galassi, C., Zitvogel, L. &amp; Galluzzi, L. Immunogenic cell stress and death. </w:t>
      </w:r>
      <w:r w:rsidRPr="00317E7D">
        <w:rPr>
          <w:rFonts w:ascii="Calibri" w:cs="Calibri"/>
          <w:i/>
          <w:iCs/>
        </w:rPr>
        <w:t>Nat Immunol</w:t>
      </w:r>
      <w:r w:rsidRPr="00317E7D">
        <w:rPr>
          <w:rFonts w:ascii="Calibri" w:cs="Calibri"/>
        </w:rPr>
        <w:t xml:space="preserve"> </w:t>
      </w:r>
      <w:r w:rsidRPr="00317E7D">
        <w:rPr>
          <w:rFonts w:ascii="Calibri" w:cs="Calibri"/>
          <w:b/>
          <w:bCs/>
        </w:rPr>
        <w:t>23</w:t>
      </w:r>
      <w:r w:rsidRPr="00317E7D">
        <w:rPr>
          <w:rFonts w:ascii="Calibri" w:cs="Calibri"/>
        </w:rPr>
        <w:t>, 487–500 (2022).</w:t>
      </w:r>
    </w:p>
    <w:p w14:paraId="7D96A47A" w14:textId="77777777" w:rsidR="00317E7D" w:rsidRPr="00317E7D" w:rsidRDefault="00317E7D" w:rsidP="00317E7D">
      <w:pPr>
        <w:pStyle w:val="Bibliography"/>
        <w:rPr>
          <w:rFonts w:ascii="Calibri" w:cs="Calibri"/>
        </w:rPr>
      </w:pPr>
      <w:r w:rsidRPr="00317E7D">
        <w:rPr>
          <w:rFonts w:ascii="Calibri" w:cs="Calibri"/>
        </w:rPr>
        <w:t>9.</w:t>
      </w:r>
      <w:r w:rsidRPr="00317E7D">
        <w:rPr>
          <w:rFonts w:ascii="Calibri" w:cs="Calibri"/>
        </w:rPr>
        <w:tab/>
        <w:t xml:space="preserve">Jhunjhunwala, S., Hammer, C. &amp; Delamarre, L. Antigen presentation in cancer: insights into tumour immunogenicity and immune evasion. </w:t>
      </w:r>
      <w:r w:rsidRPr="00317E7D">
        <w:rPr>
          <w:rFonts w:ascii="Calibri" w:cs="Calibri"/>
          <w:i/>
          <w:iCs/>
        </w:rPr>
        <w:t>Nat Rev Cancer</w:t>
      </w:r>
      <w:r w:rsidRPr="00317E7D">
        <w:rPr>
          <w:rFonts w:ascii="Calibri" w:cs="Calibri"/>
        </w:rPr>
        <w:t xml:space="preserve"> </w:t>
      </w:r>
      <w:r w:rsidRPr="00317E7D">
        <w:rPr>
          <w:rFonts w:ascii="Calibri" w:cs="Calibri"/>
          <w:b/>
          <w:bCs/>
        </w:rPr>
        <w:t>21</w:t>
      </w:r>
      <w:r w:rsidRPr="00317E7D">
        <w:rPr>
          <w:rFonts w:ascii="Calibri" w:cs="Calibri"/>
        </w:rPr>
        <w:t>, 298–312 (2021).</w:t>
      </w:r>
    </w:p>
    <w:p w14:paraId="1730CA9E" w14:textId="77777777" w:rsidR="00317E7D" w:rsidRPr="00317E7D" w:rsidRDefault="00317E7D" w:rsidP="00317E7D">
      <w:pPr>
        <w:pStyle w:val="Bibliography"/>
        <w:rPr>
          <w:rFonts w:ascii="Calibri" w:cs="Calibri"/>
        </w:rPr>
      </w:pPr>
      <w:r w:rsidRPr="00317E7D">
        <w:rPr>
          <w:rFonts w:ascii="Calibri" w:cs="Calibri"/>
        </w:rPr>
        <w:lastRenderedPageBreak/>
        <w:t>10.</w:t>
      </w:r>
      <w:r w:rsidRPr="00317E7D">
        <w:rPr>
          <w:rFonts w:ascii="Calibri" w:cs="Calibri"/>
        </w:rPr>
        <w:tab/>
        <w:t xml:space="preserve">Hubo, M. </w:t>
      </w:r>
      <w:r w:rsidRPr="00317E7D">
        <w:rPr>
          <w:rFonts w:ascii="Calibri" w:cs="Calibri"/>
          <w:i/>
          <w:iCs/>
        </w:rPr>
        <w:t>et al.</w:t>
      </w:r>
      <w:r w:rsidRPr="00317E7D">
        <w:rPr>
          <w:rFonts w:ascii="Calibri" w:cs="Calibri"/>
        </w:rPr>
        <w:t xml:space="preserve"> Costimulatory Molecules on Immunogenic Versus Tolerogenic Human Dendritic Cells. </w:t>
      </w:r>
      <w:r w:rsidRPr="00317E7D">
        <w:rPr>
          <w:rFonts w:ascii="Calibri" w:cs="Calibri"/>
          <w:i/>
          <w:iCs/>
        </w:rPr>
        <w:t>Front. Immunol.</w:t>
      </w:r>
      <w:r w:rsidRPr="00317E7D">
        <w:rPr>
          <w:rFonts w:ascii="Calibri" w:cs="Calibri"/>
        </w:rPr>
        <w:t xml:space="preserve"> </w:t>
      </w:r>
      <w:r w:rsidRPr="00317E7D">
        <w:rPr>
          <w:rFonts w:ascii="Calibri" w:cs="Calibri"/>
          <w:b/>
          <w:bCs/>
        </w:rPr>
        <w:t>4</w:t>
      </w:r>
      <w:r w:rsidRPr="00317E7D">
        <w:rPr>
          <w:rFonts w:ascii="Calibri" w:cs="Calibri"/>
        </w:rPr>
        <w:t>, (2013).</w:t>
      </w:r>
    </w:p>
    <w:p w14:paraId="45D9D143" w14:textId="77777777" w:rsidR="00317E7D" w:rsidRPr="00317E7D" w:rsidRDefault="00317E7D" w:rsidP="00317E7D">
      <w:pPr>
        <w:pStyle w:val="Bibliography"/>
        <w:rPr>
          <w:rFonts w:ascii="Calibri" w:cs="Calibri"/>
        </w:rPr>
      </w:pPr>
      <w:r w:rsidRPr="00317E7D">
        <w:rPr>
          <w:rFonts w:ascii="Calibri" w:cs="Calibri"/>
        </w:rPr>
        <w:t>11.</w:t>
      </w:r>
      <w:r w:rsidRPr="00317E7D">
        <w:rPr>
          <w:rFonts w:ascii="Calibri" w:cs="Calibri"/>
        </w:rPr>
        <w:tab/>
        <w:t xml:space="preserve">Goronzy, J. J. &amp; Weyand, C. M. T-cell co-stimulatory pathways in autoimmunity. </w:t>
      </w:r>
      <w:r w:rsidRPr="00317E7D">
        <w:rPr>
          <w:rFonts w:ascii="Calibri" w:cs="Calibri"/>
          <w:i/>
          <w:iCs/>
        </w:rPr>
        <w:t>Arthritis Res Ther</w:t>
      </w:r>
      <w:r w:rsidRPr="00317E7D">
        <w:rPr>
          <w:rFonts w:ascii="Calibri" w:cs="Calibri"/>
        </w:rPr>
        <w:t xml:space="preserve"> </w:t>
      </w:r>
      <w:r w:rsidRPr="00317E7D">
        <w:rPr>
          <w:rFonts w:ascii="Calibri" w:cs="Calibri"/>
          <w:b/>
          <w:bCs/>
        </w:rPr>
        <w:t>10</w:t>
      </w:r>
      <w:r w:rsidRPr="00317E7D">
        <w:rPr>
          <w:rFonts w:ascii="Calibri" w:cs="Calibri"/>
        </w:rPr>
        <w:t>, S3 (2008).</w:t>
      </w:r>
    </w:p>
    <w:p w14:paraId="503DC437" w14:textId="77777777" w:rsidR="00317E7D" w:rsidRPr="00317E7D" w:rsidRDefault="00317E7D" w:rsidP="00317E7D">
      <w:pPr>
        <w:pStyle w:val="Bibliography"/>
        <w:rPr>
          <w:rFonts w:ascii="Calibri" w:cs="Calibri"/>
        </w:rPr>
      </w:pPr>
      <w:r w:rsidRPr="00317E7D">
        <w:rPr>
          <w:rFonts w:ascii="Calibri" w:cs="Calibri"/>
        </w:rPr>
        <w:t>12.</w:t>
      </w:r>
      <w:r w:rsidRPr="00317E7D">
        <w:rPr>
          <w:rFonts w:ascii="Calibri" w:cs="Calibri"/>
        </w:rPr>
        <w:tab/>
        <w:t xml:space="preserve">Gong, T., Liu, L., Jiang, W. &amp; Zhou, R. DAMP-sensing receptors in sterile inflammation and inflammatory diseases. </w:t>
      </w:r>
      <w:r w:rsidRPr="00317E7D">
        <w:rPr>
          <w:rFonts w:ascii="Calibri" w:cs="Calibri"/>
          <w:i/>
          <w:iCs/>
        </w:rPr>
        <w:t>Nat Rev Immunol</w:t>
      </w:r>
      <w:r w:rsidRPr="00317E7D">
        <w:rPr>
          <w:rFonts w:ascii="Calibri" w:cs="Calibri"/>
        </w:rPr>
        <w:t xml:space="preserve"> </w:t>
      </w:r>
      <w:r w:rsidRPr="00317E7D">
        <w:rPr>
          <w:rFonts w:ascii="Calibri" w:cs="Calibri"/>
          <w:b/>
          <w:bCs/>
        </w:rPr>
        <w:t>20</w:t>
      </w:r>
      <w:r w:rsidRPr="00317E7D">
        <w:rPr>
          <w:rFonts w:ascii="Calibri" w:cs="Calibri"/>
        </w:rPr>
        <w:t>, 95–112 (2020).</w:t>
      </w:r>
    </w:p>
    <w:p w14:paraId="6C9D59C1" w14:textId="77777777" w:rsidR="00317E7D" w:rsidRPr="00317E7D" w:rsidRDefault="00317E7D" w:rsidP="00317E7D">
      <w:pPr>
        <w:pStyle w:val="Bibliography"/>
        <w:rPr>
          <w:rFonts w:ascii="Calibri" w:cs="Calibri"/>
        </w:rPr>
      </w:pPr>
      <w:r w:rsidRPr="00317E7D">
        <w:rPr>
          <w:rFonts w:ascii="Calibri" w:cs="Calibri"/>
        </w:rPr>
        <w:t>13.</w:t>
      </w:r>
      <w:r w:rsidRPr="00317E7D">
        <w:rPr>
          <w:rFonts w:ascii="Calibri" w:cs="Calibri"/>
        </w:rPr>
        <w:tab/>
        <w:t xml:space="preserve">Matzinger, P. Tolerance, Danger, and the Extended Family. </w:t>
      </w:r>
      <w:r w:rsidRPr="00317E7D">
        <w:rPr>
          <w:rFonts w:ascii="Calibri" w:cs="Calibri"/>
          <w:i/>
          <w:iCs/>
        </w:rPr>
        <w:t>Annual Review of Immunology</w:t>
      </w:r>
      <w:r w:rsidRPr="00317E7D">
        <w:rPr>
          <w:rFonts w:ascii="Calibri" w:cs="Calibri"/>
        </w:rPr>
        <w:t xml:space="preserve"> </w:t>
      </w:r>
      <w:r w:rsidRPr="00317E7D">
        <w:rPr>
          <w:rFonts w:ascii="Calibri" w:cs="Calibri"/>
          <w:b/>
          <w:bCs/>
        </w:rPr>
        <w:t>12</w:t>
      </w:r>
      <w:r w:rsidRPr="00317E7D">
        <w:rPr>
          <w:rFonts w:ascii="Calibri" w:cs="Calibri"/>
        </w:rPr>
        <w:t>, 991–1045 (1994).</w:t>
      </w:r>
    </w:p>
    <w:p w14:paraId="6B8930E7" w14:textId="77777777" w:rsidR="00317E7D" w:rsidRPr="00317E7D" w:rsidRDefault="00317E7D" w:rsidP="00317E7D">
      <w:pPr>
        <w:pStyle w:val="Bibliography"/>
        <w:rPr>
          <w:rFonts w:ascii="Calibri" w:cs="Calibri"/>
        </w:rPr>
      </w:pPr>
      <w:r w:rsidRPr="00317E7D">
        <w:rPr>
          <w:rFonts w:ascii="Calibri" w:cs="Calibri"/>
        </w:rPr>
        <w:t>14.</w:t>
      </w:r>
      <w:r w:rsidRPr="00317E7D">
        <w:rPr>
          <w:rFonts w:ascii="Calibri" w:cs="Calibri"/>
        </w:rPr>
        <w:tab/>
        <w:t xml:space="preserve">Galluzzi, L. </w:t>
      </w:r>
      <w:r w:rsidRPr="00317E7D">
        <w:rPr>
          <w:rFonts w:ascii="Calibri" w:cs="Calibri"/>
          <w:i/>
          <w:iCs/>
        </w:rPr>
        <w:t>et al.</w:t>
      </w:r>
      <w:r w:rsidRPr="00317E7D">
        <w:rPr>
          <w:rFonts w:ascii="Calibri" w:cs="Calibri"/>
        </w:rPr>
        <w:t xml:space="preserve"> Molecular mechanisms of cell death: recommendations of the Nomenclature Committee on Cell Death 2018. </w:t>
      </w:r>
      <w:r w:rsidRPr="00317E7D">
        <w:rPr>
          <w:rFonts w:ascii="Calibri" w:cs="Calibri"/>
          <w:i/>
          <w:iCs/>
        </w:rPr>
        <w:t>Cell Death Differ</w:t>
      </w:r>
      <w:r w:rsidRPr="00317E7D">
        <w:rPr>
          <w:rFonts w:ascii="Calibri" w:cs="Calibri"/>
        </w:rPr>
        <w:t xml:space="preserve"> </w:t>
      </w:r>
      <w:r w:rsidRPr="00317E7D">
        <w:rPr>
          <w:rFonts w:ascii="Calibri" w:cs="Calibri"/>
          <w:b/>
          <w:bCs/>
        </w:rPr>
        <w:t>25</w:t>
      </w:r>
      <w:r w:rsidRPr="00317E7D">
        <w:rPr>
          <w:rFonts w:ascii="Calibri" w:cs="Calibri"/>
        </w:rPr>
        <w:t>, 486–541 (2018).</w:t>
      </w:r>
    </w:p>
    <w:p w14:paraId="09260E6C" w14:textId="77777777" w:rsidR="00317E7D" w:rsidRPr="00317E7D" w:rsidRDefault="00317E7D" w:rsidP="00317E7D">
      <w:pPr>
        <w:pStyle w:val="Bibliography"/>
        <w:rPr>
          <w:rFonts w:ascii="Calibri" w:cs="Calibri"/>
        </w:rPr>
      </w:pPr>
      <w:r w:rsidRPr="00317E7D">
        <w:rPr>
          <w:rFonts w:ascii="Calibri" w:cs="Calibri"/>
        </w:rPr>
        <w:t>15.</w:t>
      </w:r>
      <w:r w:rsidRPr="00317E7D">
        <w:rPr>
          <w:rFonts w:ascii="Calibri" w:cs="Calibri"/>
        </w:rPr>
        <w:tab/>
        <w:t xml:space="preserve">Tang, R. </w:t>
      </w:r>
      <w:r w:rsidRPr="00317E7D">
        <w:rPr>
          <w:rFonts w:ascii="Calibri" w:cs="Calibri"/>
          <w:i/>
          <w:iCs/>
        </w:rPr>
        <w:t>et al.</w:t>
      </w:r>
      <w:r w:rsidRPr="00317E7D">
        <w:rPr>
          <w:rFonts w:ascii="Calibri" w:cs="Calibri"/>
        </w:rPr>
        <w:t xml:space="preserve"> Ferroptosis, necroptosis, and pyroptosis in anticancer immunity. </w:t>
      </w:r>
      <w:r w:rsidRPr="00317E7D">
        <w:rPr>
          <w:rFonts w:ascii="Calibri" w:cs="Calibri"/>
          <w:i/>
          <w:iCs/>
        </w:rPr>
        <w:t>Journal of Hematology &amp; Oncology</w:t>
      </w:r>
      <w:r w:rsidRPr="00317E7D">
        <w:rPr>
          <w:rFonts w:ascii="Calibri" w:cs="Calibri"/>
        </w:rPr>
        <w:t xml:space="preserve"> </w:t>
      </w:r>
      <w:r w:rsidRPr="00317E7D">
        <w:rPr>
          <w:rFonts w:ascii="Calibri" w:cs="Calibri"/>
          <w:b/>
          <w:bCs/>
        </w:rPr>
        <w:t>13</w:t>
      </w:r>
      <w:r w:rsidRPr="00317E7D">
        <w:rPr>
          <w:rFonts w:ascii="Calibri" w:cs="Calibri"/>
        </w:rPr>
        <w:t>, 110 (2020).</w:t>
      </w:r>
    </w:p>
    <w:p w14:paraId="14040C7F" w14:textId="77777777" w:rsidR="00317E7D" w:rsidRPr="00317E7D" w:rsidRDefault="00317E7D" w:rsidP="00317E7D">
      <w:pPr>
        <w:pStyle w:val="Bibliography"/>
        <w:rPr>
          <w:rFonts w:ascii="Calibri" w:cs="Calibri"/>
        </w:rPr>
      </w:pPr>
      <w:r w:rsidRPr="00317E7D">
        <w:rPr>
          <w:rFonts w:ascii="Calibri" w:cs="Calibri"/>
        </w:rPr>
        <w:t>16.</w:t>
      </w:r>
      <w:r w:rsidRPr="00317E7D">
        <w:rPr>
          <w:rFonts w:ascii="Calibri" w:cs="Calibri"/>
        </w:rPr>
        <w:tab/>
        <w:t xml:space="preserve">Green, D. R. The Coming Decade of Cell Death Research: Five Riddles. </w:t>
      </w:r>
      <w:r w:rsidRPr="00317E7D">
        <w:rPr>
          <w:rFonts w:ascii="Calibri" w:cs="Calibri"/>
          <w:i/>
          <w:iCs/>
        </w:rPr>
        <w:t>Cell</w:t>
      </w:r>
      <w:r w:rsidRPr="00317E7D">
        <w:rPr>
          <w:rFonts w:ascii="Calibri" w:cs="Calibri"/>
        </w:rPr>
        <w:t xml:space="preserve"> </w:t>
      </w:r>
      <w:r w:rsidRPr="00317E7D">
        <w:rPr>
          <w:rFonts w:ascii="Calibri" w:cs="Calibri"/>
          <w:b/>
          <w:bCs/>
        </w:rPr>
        <w:t>177</w:t>
      </w:r>
      <w:r w:rsidRPr="00317E7D">
        <w:rPr>
          <w:rFonts w:ascii="Calibri" w:cs="Calibri"/>
        </w:rPr>
        <w:t>, 1094–1107 (2019).</w:t>
      </w:r>
    </w:p>
    <w:p w14:paraId="7A600DA5" w14:textId="77777777" w:rsidR="00317E7D" w:rsidRPr="00317E7D" w:rsidRDefault="00317E7D" w:rsidP="00317E7D">
      <w:pPr>
        <w:pStyle w:val="Bibliography"/>
        <w:rPr>
          <w:rFonts w:ascii="Calibri" w:cs="Calibri"/>
        </w:rPr>
      </w:pPr>
      <w:r w:rsidRPr="00317E7D">
        <w:rPr>
          <w:rFonts w:ascii="Calibri" w:cs="Calibri"/>
        </w:rPr>
        <w:t>17.</w:t>
      </w:r>
      <w:r w:rsidRPr="00317E7D">
        <w:rPr>
          <w:rFonts w:ascii="Calibri" w:cs="Calibri"/>
        </w:rPr>
        <w:tab/>
        <w:t xml:space="preserve">Krysko, D. V. </w:t>
      </w:r>
      <w:r w:rsidRPr="00317E7D">
        <w:rPr>
          <w:rFonts w:ascii="Calibri" w:cs="Calibri"/>
          <w:i/>
          <w:iCs/>
        </w:rPr>
        <w:t>et al.</w:t>
      </w:r>
      <w:r w:rsidRPr="00317E7D">
        <w:rPr>
          <w:rFonts w:ascii="Calibri" w:cs="Calibri"/>
        </w:rPr>
        <w:t xml:space="preserve"> Immunogenic cell death and DAMPs in cancer therapy. </w:t>
      </w:r>
      <w:r w:rsidRPr="00317E7D">
        <w:rPr>
          <w:rFonts w:ascii="Calibri" w:cs="Calibri"/>
          <w:i/>
          <w:iCs/>
        </w:rPr>
        <w:t>Nat Rev Cancer</w:t>
      </w:r>
      <w:r w:rsidRPr="00317E7D">
        <w:rPr>
          <w:rFonts w:ascii="Calibri" w:cs="Calibri"/>
        </w:rPr>
        <w:t xml:space="preserve"> </w:t>
      </w:r>
      <w:r w:rsidRPr="00317E7D">
        <w:rPr>
          <w:rFonts w:ascii="Calibri" w:cs="Calibri"/>
          <w:b/>
          <w:bCs/>
        </w:rPr>
        <w:t>12</w:t>
      </w:r>
      <w:r w:rsidRPr="00317E7D">
        <w:rPr>
          <w:rFonts w:ascii="Calibri" w:cs="Calibri"/>
        </w:rPr>
        <w:t>, 860–875 (2012).</w:t>
      </w:r>
    </w:p>
    <w:p w14:paraId="51F864E8" w14:textId="77777777" w:rsidR="00317E7D" w:rsidRPr="00317E7D" w:rsidRDefault="00317E7D" w:rsidP="00317E7D">
      <w:pPr>
        <w:pStyle w:val="Bibliography"/>
        <w:rPr>
          <w:rFonts w:ascii="Calibri" w:cs="Calibri"/>
        </w:rPr>
      </w:pPr>
      <w:r w:rsidRPr="00317E7D">
        <w:rPr>
          <w:rFonts w:ascii="Calibri" w:cs="Calibri"/>
        </w:rPr>
        <w:t>18.</w:t>
      </w:r>
      <w:r w:rsidRPr="00317E7D">
        <w:rPr>
          <w:rFonts w:ascii="Calibri" w:cs="Calibri"/>
        </w:rPr>
        <w:tab/>
        <w:t xml:space="preserve">Kopp, R., Krautloher, A., Ramírez-Fernández, A. &amp; Nicke, A. P2X7 Interactions and Signaling – Making Head or Tail of It. </w:t>
      </w:r>
      <w:r w:rsidRPr="00317E7D">
        <w:rPr>
          <w:rFonts w:ascii="Calibri" w:cs="Calibri"/>
          <w:i/>
          <w:iCs/>
        </w:rPr>
        <w:t>Front. Mol. Neurosci.</w:t>
      </w:r>
      <w:r w:rsidRPr="00317E7D">
        <w:rPr>
          <w:rFonts w:ascii="Calibri" w:cs="Calibri"/>
        </w:rPr>
        <w:t xml:space="preserve"> </w:t>
      </w:r>
      <w:r w:rsidRPr="00317E7D">
        <w:rPr>
          <w:rFonts w:ascii="Calibri" w:cs="Calibri"/>
          <w:b/>
          <w:bCs/>
        </w:rPr>
        <w:t>12</w:t>
      </w:r>
      <w:r w:rsidRPr="00317E7D">
        <w:rPr>
          <w:rFonts w:ascii="Calibri" w:cs="Calibri"/>
        </w:rPr>
        <w:t>, 183 (2019).</w:t>
      </w:r>
    </w:p>
    <w:p w14:paraId="4143FCC3" w14:textId="77777777" w:rsidR="00317E7D" w:rsidRPr="00317E7D" w:rsidRDefault="00317E7D" w:rsidP="00317E7D">
      <w:pPr>
        <w:pStyle w:val="Bibliography"/>
        <w:rPr>
          <w:rFonts w:ascii="Calibri" w:cs="Calibri"/>
        </w:rPr>
      </w:pPr>
      <w:r w:rsidRPr="00317E7D">
        <w:rPr>
          <w:rFonts w:ascii="Calibri" w:cs="Calibri"/>
        </w:rPr>
        <w:t>19.</w:t>
      </w:r>
      <w:r w:rsidRPr="00317E7D">
        <w:rPr>
          <w:rFonts w:ascii="Calibri" w:cs="Calibri"/>
        </w:rPr>
        <w:tab/>
        <w:t xml:space="preserve">Karmakar, M., Katsnelson, M. A., Dubyak, G. R. &amp; Pearlman, E. Neutrophil P2X 7 receptors mediate NLRP3 inflammasome-dependent IL-1β secretion in response to ATP. </w:t>
      </w:r>
      <w:r w:rsidRPr="00317E7D">
        <w:rPr>
          <w:rFonts w:ascii="Calibri" w:cs="Calibri"/>
          <w:i/>
          <w:iCs/>
        </w:rPr>
        <w:t>Nat Commun</w:t>
      </w:r>
      <w:r w:rsidRPr="00317E7D">
        <w:rPr>
          <w:rFonts w:ascii="Calibri" w:cs="Calibri"/>
        </w:rPr>
        <w:t xml:space="preserve"> </w:t>
      </w:r>
      <w:r w:rsidRPr="00317E7D">
        <w:rPr>
          <w:rFonts w:ascii="Calibri" w:cs="Calibri"/>
          <w:b/>
          <w:bCs/>
        </w:rPr>
        <w:t>7</w:t>
      </w:r>
      <w:r w:rsidRPr="00317E7D">
        <w:rPr>
          <w:rFonts w:ascii="Calibri" w:cs="Calibri"/>
        </w:rPr>
        <w:t>, 10555 (2016).</w:t>
      </w:r>
    </w:p>
    <w:p w14:paraId="68448E91" w14:textId="77777777" w:rsidR="00317E7D" w:rsidRPr="00317E7D" w:rsidRDefault="00317E7D" w:rsidP="00317E7D">
      <w:pPr>
        <w:pStyle w:val="Bibliography"/>
        <w:rPr>
          <w:rFonts w:ascii="Calibri" w:cs="Calibri"/>
        </w:rPr>
      </w:pPr>
      <w:r w:rsidRPr="00317E7D">
        <w:rPr>
          <w:rFonts w:ascii="Calibri" w:cs="Calibri"/>
        </w:rPr>
        <w:lastRenderedPageBreak/>
        <w:t>20.</w:t>
      </w:r>
      <w:r w:rsidRPr="00317E7D">
        <w:rPr>
          <w:rFonts w:ascii="Calibri" w:cs="Calibri"/>
        </w:rPr>
        <w:tab/>
        <w:t xml:space="preserve">Ghiringhelli, F. </w:t>
      </w:r>
      <w:r w:rsidRPr="00317E7D">
        <w:rPr>
          <w:rFonts w:ascii="Calibri" w:cs="Calibri"/>
          <w:i/>
          <w:iCs/>
        </w:rPr>
        <w:t>et al.</w:t>
      </w:r>
      <w:r w:rsidRPr="00317E7D">
        <w:rPr>
          <w:rFonts w:ascii="Calibri" w:cs="Calibri"/>
        </w:rPr>
        <w:t xml:space="preserve"> Activation of the NLRP3 inflammasome in dendritic cells induces IL-1β–dependent adaptive immunity against tumors. </w:t>
      </w:r>
      <w:r w:rsidRPr="00317E7D">
        <w:rPr>
          <w:rFonts w:ascii="Calibri" w:cs="Calibri"/>
          <w:i/>
          <w:iCs/>
        </w:rPr>
        <w:t>Nat Med</w:t>
      </w:r>
      <w:r w:rsidRPr="00317E7D">
        <w:rPr>
          <w:rFonts w:ascii="Calibri" w:cs="Calibri"/>
        </w:rPr>
        <w:t xml:space="preserve"> </w:t>
      </w:r>
      <w:r w:rsidRPr="00317E7D">
        <w:rPr>
          <w:rFonts w:ascii="Calibri" w:cs="Calibri"/>
          <w:b/>
          <w:bCs/>
        </w:rPr>
        <w:t>15</w:t>
      </w:r>
      <w:r w:rsidRPr="00317E7D">
        <w:rPr>
          <w:rFonts w:ascii="Calibri" w:cs="Calibri"/>
        </w:rPr>
        <w:t>, 1170–1178 (2009).</w:t>
      </w:r>
    </w:p>
    <w:p w14:paraId="291E46B1" w14:textId="77777777" w:rsidR="00317E7D" w:rsidRPr="00317E7D" w:rsidRDefault="00317E7D" w:rsidP="00317E7D">
      <w:pPr>
        <w:pStyle w:val="Bibliography"/>
        <w:rPr>
          <w:rFonts w:ascii="Calibri" w:cs="Calibri"/>
        </w:rPr>
      </w:pPr>
      <w:r w:rsidRPr="00317E7D">
        <w:rPr>
          <w:rFonts w:ascii="Calibri" w:cs="Calibri"/>
        </w:rPr>
        <w:t>21.</w:t>
      </w:r>
      <w:r w:rsidRPr="00317E7D">
        <w:rPr>
          <w:rFonts w:ascii="Calibri" w:cs="Calibri"/>
        </w:rPr>
        <w:tab/>
        <w:t xml:space="preserve">Elliott, M. R. </w:t>
      </w:r>
      <w:r w:rsidRPr="00317E7D">
        <w:rPr>
          <w:rFonts w:ascii="Calibri" w:cs="Calibri"/>
          <w:i/>
          <w:iCs/>
        </w:rPr>
        <w:t>et al.</w:t>
      </w:r>
      <w:r w:rsidRPr="00317E7D">
        <w:rPr>
          <w:rFonts w:ascii="Calibri" w:cs="Calibri"/>
        </w:rPr>
        <w:t xml:space="preserve"> Nucleotides released by apoptotic cells act as a find-me signal to promote phagocytic clearance. </w:t>
      </w:r>
      <w:r w:rsidRPr="00317E7D">
        <w:rPr>
          <w:rFonts w:ascii="Calibri" w:cs="Calibri"/>
          <w:i/>
          <w:iCs/>
        </w:rPr>
        <w:t>Nature</w:t>
      </w:r>
      <w:r w:rsidRPr="00317E7D">
        <w:rPr>
          <w:rFonts w:ascii="Calibri" w:cs="Calibri"/>
        </w:rPr>
        <w:t xml:space="preserve"> </w:t>
      </w:r>
      <w:r w:rsidRPr="00317E7D">
        <w:rPr>
          <w:rFonts w:ascii="Calibri" w:cs="Calibri"/>
          <w:b/>
          <w:bCs/>
        </w:rPr>
        <w:t>461</w:t>
      </w:r>
      <w:r w:rsidRPr="00317E7D">
        <w:rPr>
          <w:rFonts w:ascii="Calibri" w:cs="Calibri"/>
        </w:rPr>
        <w:t>, 282–286 (2009).</w:t>
      </w:r>
    </w:p>
    <w:p w14:paraId="098AAB01" w14:textId="77777777" w:rsidR="00317E7D" w:rsidRPr="00317E7D" w:rsidRDefault="00317E7D" w:rsidP="00317E7D">
      <w:pPr>
        <w:pStyle w:val="Bibliography"/>
        <w:rPr>
          <w:rFonts w:ascii="Calibri" w:cs="Calibri"/>
        </w:rPr>
      </w:pPr>
      <w:r w:rsidRPr="00317E7D">
        <w:rPr>
          <w:rFonts w:ascii="Calibri" w:cs="Calibri"/>
        </w:rPr>
        <w:t>22.</w:t>
      </w:r>
      <w:r w:rsidRPr="00317E7D">
        <w:rPr>
          <w:rFonts w:ascii="Calibri" w:cs="Calibri"/>
        </w:rPr>
        <w:tab/>
        <w:t xml:space="preserve">Fucikova, J. </w:t>
      </w:r>
      <w:r w:rsidRPr="00317E7D">
        <w:rPr>
          <w:rFonts w:ascii="Calibri" w:cs="Calibri"/>
          <w:i/>
          <w:iCs/>
        </w:rPr>
        <w:t>et al.</w:t>
      </w:r>
      <w:r w:rsidRPr="00317E7D">
        <w:rPr>
          <w:rFonts w:ascii="Calibri" w:cs="Calibri"/>
        </w:rPr>
        <w:t xml:space="preserve"> Detection of immunogenic cell death and its relevance for cancer therapy. </w:t>
      </w:r>
      <w:r w:rsidRPr="00317E7D">
        <w:rPr>
          <w:rFonts w:ascii="Calibri" w:cs="Calibri"/>
          <w:i/>
          <w:iCs/>
        </w:rPr>
        <w:t>Cell Death Dis</w:t>
      </w:r>
      <w:r w:rsidRPr="00317E7D">
        <w:rPr>
          <w:rFonts w:ascii="Calibri" w:cs="Calibri"/>
        </w:rPr>
        <w:t xml:space="preserve"> </w:t>
      </w:r>
      <w:r w:rsidRPr="00317E7D">
        <w:rPr>
          <w:rFonts w:ascii="Calibri" w:cs="Calibri"/>
          <w:b/>
          <w:bCs/>
        </w:rPr>
        <w:t>11</w:t>
      </w:r>
      <w:r w:rsidRPr="00317E7D">
        <w:rPr>
          <w:rFonts w:ascii="Calibri" w:cs="Calibri"/>
        </w:rPr>
        <w:t>, 1–13 (2020).</w:t>
      </w:r>
    </w:p>
    <w:p w14:paraId="27CEE968" w14:textId="77777777" w:rsidR="00317E7D" w:rsidRPr="00317E7D" w:rsidRDefault="00317E7D" w:rsidP="00317E7D">
      <w:pPr>
        <w:pStyle w:val="Bibliography"/>
        <w:rPr>
          <w:rFonts w:ascii="Calibri" w:cs="Calibri"/>
        </w:rPr>
      </w:pPr>
      <w:r w:rsidRPr="00317E7D">
        <w:rPr>
          <w:rFonts w:ascii="Calibri" w:cs="Calibri"/>
        </w:rPr>
        <w:t>23.</w:t>
      </w:r>
      <w:r w:rsidRPr="00317E7D">
        <w:rPr>
          <w:rFonts w:ascii="Calibri" w:cs="Calibri"/>
        </w:rPr>
        <w:tab/>
        <w:t xml:space="preserve">Yu, M. </w:t>
      </w:r>
      <w:r w:rsidRPr="00317E7D">
        <w:rPr>
          <w:rFonts w:ascii="Calibri" w:cs="Calibri"/>
          <w:i/>
          <w:iCs/>
        </w:rPr>
        <w:t>et al.</w:t>
      </w:r>
      <w:r w:rsidRPr="00317E7D">
        <w:rPr>
          <w:rFonts w:ascii="Calibri" w:cs="Calibri"/>
        </w:rPr>
        <w:t xml:space="preserve"> HMGB1 SIGNALS THROUGH TOLL-LIKE RECEPTOR (TLR) 4 AND TLR2. </w:t>
      </w:r>
      <w:r w:rsidRPr="00317E7D">
        <w:rPr>
          <w:rFonts w:ascii="Calibri" w:cs="Calibri"/>
          <w:i/>
          <w:iCs/>
        </w:rPr>
        <w:t>Shock</w:t>
      </w:r>
      <w:r w:rsidRPr="00317E7D">
        <w:rPr>
          <w:rFonts w:ascii="Calibri" w:cs="Calibri"/>
        </w:rPr>
        <w:t xml:space="preserve"> </w:t>
      </w:r>
      <w:r w:rsidRPr="00317E7D">
        <w:rPr>
          <w:rFonts w:ascii="Calibri" w:cs="Calibri"/>
          <w:b/>
          <w:bCs/>
        </w:rPr>
        <w:t>26</w:t>
      </w:r>
      <w:r w:rsidRPr="00317E7D">
        <w:rPr>
          <w:rFonts w:ascii="Calibri" w:cs="Calibri"/>
        </w:rPr>
        <w:t>, 174–179 (2006).</w:t>
      </w:r>
    </w:p>
    <w:p w14:paraId="47DCFC6B" w14:textId="77777777" w:rsidR="00317E7D" w:rsidRPr="00317E7D" w:rsidRDefault="00317E7D" w:rsidP="00317E7D">
      <w:pPr>
        <w:pStyle w:val="Bibliography"/>
        <w:rPr>
          <w:rFonts w:ascii="Calibri" w:cs="Calibri"/>
        </w:rPr>
      </w:pPr>
      <w:r w:rsidRPr="00317E7D">
        <w:rPr>
          <w:rFonts w:ascii="Calibri" w:cs="Calibri"/>
        </w:rPr>
        <w:t>24.</w:t>
      </w:r>
      <w:r w:rsidRPr="00317E7D">
        <w:rPr>
          <w:rFonts w:ascii="Calibri" w:cs="Calibri"/>
        </w:rPr>
        <w:tab/>
        <w:t xml:space="preserve">Xu, J. </w:t>
      </w:r>
      <w:r w:rsidRPr="00317E7D">
        <w:rPr>
          <w:rFonts w:ascii="Calibri" w:cs="Calibri"/>
          <w:i/>
          <w:iCs/>
        </w:rPr>
        <w:t>et al.</w:t>
      </w:r>
      <w:r w:rsidRPr="00317E7D">
        <w:rPr>
          <w:rFonts w:ascii="Calibri" w:cs="Calibri"/>
        </w:rPr>
        <w:t xml:space="preserve"> Macrophage endocytosis of high-mobility group box 1 triggers pyroptosis. </w:t>
      </w:r>
      <w:r w:rsidRPr="00317E7D">
        <w:rPr>
          <w:rFonts w:ascii="Calibri" w:cs="Calibri"/>
          <w:i/>
          <w:iCs/>
        </w:rPr>
        <w:t>Cell Death Differ</w:t>
      </w:r>
      <w:r w:rsidRPr="00317E7D">
        <w:rPr>
          <w:rFonts w:ascii="Calibri" w:cs="Calibri"/>
        </w:rPr>
        <w:t xml:space="preserve"> </w:t>
      </w:r>
      <w:r w:rsidRPr="00317E7D">
        <w:rPr>
          <w:rFonts w:ascii="Calibri" w:cs="Calibri"/>
          <w:b/>
          <w:bCs/>
        </w:rPr>
        <w:t>21</w:t>
      </w:r>
      <w:r w:rsidRPr="00317E7D">
        <w:rPr>
          <w:rFonts w:ascii="Calibri" w:cs="Calibri"/>
        </w:rPr>
        <w:t>, 1229–1239 (2014).</w:t>
      </w:r>
    </w:p>
    <w:p w14:paraId="03CC7336" w14:textId="77777777" w:rsidR="00317E7D" w:rsidRPr="00317E7D" w:rsidRDefault="00317E7D" w:rsidP="00317E7D">
      <w:pPr>
        <w:pStyle w:val="Bibliography"/>
        <w:rPr>
          <w:rFonts w:ascii="Calibri" w:cs="Calibri"/>
        </w:rPr>
      </w:pPr>
      <w:r w:rsidRPr="00317E7D">
        <w:rPr>
          <w:rFonts w:ascii="Calibri" w:cs="Calibri"/>
        </w:rPr>
        <w:t>25.</w:t>
      </w:r>
      <w:r w:rsidRPr="00317E7D">
        <w:rPr>
          <w:rFonts w:ascii="Calibri" w:cs="Calibri"/>
        </w:rPr>
        <w:tab/>
        <w:t xml:space="preserve">Yang, H., Wang, H. &amp; Andersson, U. Targeting Inflammation Driven by HMGB1. </w:t>
      </w:r>
      <w:r w:rsidRPr="00317E7D">
        <w:rPr>
          <w:rFonts w:ascii="Calibri" w:cs="Calibri"/>
          <w:i/>
          <w:iCs/>
        </w:rPr>
        <w:t>Front. Immunol.</w:t>
      </w:r>
      <w:r w:rsidRPr="00317E7D">
        <w:rPr>
          <w:rFonts w:ascii="Calibri" w:cs="Calibri"/>
        </w:rPr>
        <w:t xml:space="preserve"> </w:t>
      </w:r>
      <w:r w:rsidRPr="00317E7D">
        <w:rPr>
          <w:rFonts w:ascii="Calibri" w:cs="Calibri"/>
          <w:b/>
          <w:bCs/>
        </w:rPr>
        <w:t>11</w:t>
      </w:r>
      <w:r w:rsidRPr="00317E7D">
        <w:rPr>
          <w:rFonts w:ascii="Calibri" w:cs="Calibri"/>
        </w:rPr>
        <w:t>, 484 (2020).</w:t>
      </w:r>
    </w:p>
    <w:p w14:paraId="556C8607" w14:textId="77777777" w:rsidR="00317E7D" w:rsidRPr="00317E7D" w:rsidRDefault="00317E7D" w:rsidP="00317E7D">
      <w:pPr>
        <w:pStyle w:val="Bibliography"/>
        <w:rPr>
          <w:rFonts w:ascii="Calibri" w:cs="Calibri"/>
        </w:rPr>
      </w:pPr>
      <w:r w:rsidRPr="00317E7D">
        <w:rPr>
          <w:rFonts w:ascii="Calibri" w:cs="Calibri"/>
        </w:rPr>
        <w:t>26.</w:t>
      </w:r>
      <w:r w:rsidRPr="00317E7D">
        <w:rPr>
          <w:rFonts w:ascii="Calibri" w:cs="Calibri"/>
        </w:rPr>
        <w:tab/>
        <w:t xml:space="preserve">Messmer, D. </w:t>
      </w:r>
      <w:r w:rsidRPr="00317E7D">
        <w:rPr>
          <w:rFonts w:ascii="Calibri" w:cs="Calibri"/>
          <w:i/>
          <w:iCs/>
        </w:rPr>
        <w:t>et al.</w:t>
      </w:r>
      <w:r w:rsidRPr="00317E7D">
        <w:rPr>
          <w:rFonts w:ascii="Calibri" w:cs="Calibri"/>
        </w:rPr>
        <w:t xml:space="preserve"> High Mobility Group Box Protein 1: An Endogenous Signal for Dendritic Cell Maturation and Th1 Polarization. </w:t>
      </w:r>
      <w:r w:rsidRPr="00317E7D">
        <w:rPr>
          <w:rFonts w:ascii="Calibri" w:cs="Calibri"/>
          <w:i/>
          <w:iCs/>
        </w:rPr>
        <w:t>J Immunol</w:t>
      </w:r>
      <w:r w:rsidRPr="00317E7D">
        <w:rPr>
          <w:rFonts w:ascii="Calibri" w:cs="Calibri"/>
        </w:rPr>
        <w:t xml:space="preserve"> </w:t>
      </w:r>
      <w:r w:rsidRPr="00317E7D">
        <w:rPr>
          <w:rFonts w:ascii="Calibri" w:cs="Calibri"/>
          <w:b/>
          <w:bCs/>
        </w:rPr>
        <w:t>173</w:t>
      </w:r>
      <w:r w:rsidRPr="00317E7D">
        <w:rPr>
          <w:rFonts w:ascii="Calibri" w:cs="Calibri"/>
        </w:rPr>
        <w:t>, 307–313 (2004).</w:t>
      </w:r>
    </w:p>
    <w:p w14:paraId="3F5EA936" w14:textId="77777777" w:rsidR="00317E7D" w:rsidRPr="00317E7D" w:rsidRDefault="00317E7D" w:rsidP="00317E7D">
      <w:pPr>
        <w:pStyle w:val="Bibliography"/>
        <w:rPr>
          <w:rFonts w:ascii="Calibri" w:cs="Calibri"/>
        </w:rPr>
      </w:pPr>
      <w:r w:rsidRPr="00317E7D">
        <w:rPr>
          <w:rFonts w:ascii="Calibri" w:cs="Calibri"/>
        </w:rPr>
        <w:t>27.</w:t>
      </w:r>
      <w:r w:rsidRPr="00317E7D">
        <w:rPr>
          <w:rFonts w:ascii="Calibri" w:cs="Calibri"/>
        </w:rPr>
        <w:tab/>
        <w:t xml:space="preserve">Yang, D. </w:t>
      </w:r>
      <w:r w:rsidRPr="00317E7D">
        <w:rPr>
          <w:rFonts w:ascii="Calibri" w:cs="Calibri"/>
          <w:i/>
          <w:iCs/>
        </w:rPr>
        <w:t>et al.</w:t>
      </w:r>
      <w:r w:rsidRPr="00317E7D">
        <w:rPr>
          <w:rFonts w:ascii="Calibri" w:cs="Calibri"/>
        </w:rPr>
        <w:t xml:space="preserve"> High mobility group box-1 protein induces the migration and activation of human dendritic cells and acts as an alarmin. </w:t>
      </w:r>
      <w:r w:rsidRPr="00317E7D">
        <w:rPr>
          <w:rFonts w:ascii="Calibri" w:cs="Calibri"/>
          <w:i/>
          <w:iCs/>
        </w:rPr>
        <w:t>Journal of Leukocyte Biology</w:t>
      </w:r>
      <w:r w:rsidRPr="00317E7D">
        <w:rPr>
          <w:rFonts w:ascii="Calibri" w:cs="Calibri"/>
        </w:rPr>
        <w:t xml:space="preserve"> </w:t>
      </w:r>
      <w:r w:rsidRPr="00317E7D">
        <w:rPr>
          <w:rFonts w:ascii="Calibri" w:cs="Calibri"/>
          <w:b/>
          <w:bCs/>
        </w:rPr>
        <w:t>81</w:t>
      </w:r>
      <w:r w:rsidRPr="00317E7D">
        <w:rPr>
          <w:rFonts w:ascii="Calibri" w:cs="Calibri"/>
        </w:rPr>
        <w:t>, 59–66 (2007).</w:t>
      </w:r>
    </w:p>
    <w:p w14:paraId="2D8E6152" w14:textId="77777777" w:rsidR="00317E7D" w:rsidRPr="00317E7D" w:rsidRDefault="00317E7D" w:rsidP="00317E7D">
      <w:pPr>
        <w:pStyle w:val="Bibliography"/>
        <w:rPr>
          <w:rFonts w:ascii="Calibri" w:cs="Calibri"/>
        </w:rPr>
      </w:pPr>
      <w:r w:rsidRPr="00317E7D">
        <w:rPr>
          <w:rFonts w:ascii="Calibri" w:cs="Calibri"/>
        </w:rPr>
        <w:t>28.</w:t>
      </w:r>
      <w:r w:rsidRPr="00317E7D">
        <w:rPr>
          <w:rFonts w:ascii="Calibri" w:cs="Calibri"/>
        </w:rPr>
        <w:tab/>
        <w:t xml:space="preserve">Lee, S.-A., Kwak, M. S., Kim, S. &amp; Shin, J.-S. The Role of High Mobility Group Box 1 in Innate Immunity. </w:t>
      </w:r>
      <w:r w:rsidRPr="00317E7D">
        <w:rPr>
          <w:rFonts w:ascii="Calibri" w:cs="Calibri"/>
          <w:i/>
          <w:iCs/>
        </w:rPr>
        <w:t>Yonsei Med J</w:t>
      </w:r>
      <w:r w:rsidRPr="00317E7D">
        <w:rPr>
          <w:rFonts w:ascii="Calibri" w:cs="Calibri"/>
        </w:rPr>
        <w:t xml:space="preserve"> </w:t>
      </w:r>
      <w:r w:rsidRPr="00317E7D">
        <w:rPr>
          <w:rFonts w:ascii="Calibri" w:cs="Calibri"/>
          <w:b/>
          <w:bCs/>
        </w:rPr>
        <w:t>55</w:t>
      </w:r>
      <w:r w:rsidRPr="00317E7D">
        <w:rPr>
          <w:rFonts w:ascii="Calibri" w:cs="Calibri"/>
        </w:rPr>
        <w:t>, 1165 (2014).</w:t>
      </w:r>
    </w:p>
    <w:p w14:paraId="4A38656C" w14:textId="77777777" w:rsidR="00317E7D" w:rsidRPr="00317E7D" w:rsidRDefault="00317E7D" w:rsidP="00317E7D">
      <w:pPr>
        <w:pStyle w:val="Bibliography"/>
        <w:rPr>
          <w:rFonts w:ascii="Calibri" w:cs="Calibri"/>
        </w:rPr>
      </w:pPr>
      <w:r w:rsidRPr="00317E7D">
        <w:rPr>
          <w:rFonts w:ascii="Calibri" w:cs="Calibri"/>
        </w:rPr>
        <w:t>29.</w:t>
      </w:r>
      <w:r w:rsidRPr="00317E7D">
        <w:rPr>
          <w:rFonts w:ascii="Calibri" w:cs="Calibri"/>
        </w:rPr>
        <w:tab/>
        <w:t xml:space="preserve">Apetoh, L. </w:t>
      </w:r>
      <w:r w:rsidRPr="00317E7D">
        <w:rPr>
          <w:rFonts w:ascii="Calibri" w:cs="Calibri"/>
          <w:i/>
          <w:iCs/>
        </w:rPr>
        <w:t>et al.</w:t>
      </w:r>
      <w:r w:rsidRPr="00317E7D">
        <w:rPr>
          <w:rFonts w:ascii="Calibri" w:cs="Calibri"/>
        </w:rPr>
        <w:t xml:space="preserve"> The interaction between HMGB1 and TLR4 dictates the outcome of anticancer chemotherapy and radiotherapy. </w:t>
      </w:r>
      <w:r w:rsidRPr="00317E7D">
        <w:rPr>
          <w:rFonts w:ascii="Calibri" w:cs="Calibri"/>
          <w:i/>
          <w:iCs/>
        </w:rPr>
        <w:t>Immunol Rev</w:t>
      </w:r>
      <w:r w:rsidRPr="00317E7D">
        <w:rPr>
          <w:rFonts w:ascii="Calibri" w:cs="Calibri"/>
        </w:rPr>
        <w:t xml:space="preserve"> </w:t>
      </w:r>
      <w:r w:rsidRPr="00317E7D">
        <w:rPr>
          <w:rFonts w:ascii="Calibri" w:cs="Calibri"/>
          <w:b/>
          <w:bCs/>
        </w:rPr>
        <w:t>220</w:t>
      </w:r>
      <w:r w:rsidRPr="00317E7D">
        <w:rPr>
          <w:rFonts w:ascii="Calibri" w:cs="Calibri"/>
        </w:rPr>
        <w:t>, 47–59 (2007).</w:t>
      </w:r>
    </w:p>
    <w:p w14:paraId="7097C9E1" w14:textId="77777777" w:rsidR="00317E7D" w:rsidRPr="00317E7D" w:rsidRDefault="00317E7D" w:rsidP="00317E7D">
      <w:pPr>
        <w:pStyle w:val="Bibliography"/>
        <w:rPr>
          <w:rFonts w:ascii="Calibri" w:cs="Calibri"/>
        </w:rPr>
      </w:pPr>
      <w:r w:rsidRPr="00317E7D">
        <w:rPr>
          <w:rFonts w:ascii="Calibri" w:cs="Calibri"/>
        </w:rPr>
        <w:lastRenderedPageBreak/>
        <w:t>30.</w:t>
      </w:r>
      <w:r w:rsidRPr="00317E7D">
        <w:rPr>
          <w:rFonts w:ascii="Calibri" w:cs="Calibri"/>
        </w:rPr>
        <w:tab/>
        <w:t xml:space="preserve">Hayashi, K. </w:t>
      </w:r>
      <w:r w:rsidRPr="00317E7D">
        <w:rPr>
          <w:rFonts w:ascii="Calibri" w:cs="Calibri"/>
          <w:i/>
          <w:iCs/>
        </w:rPr>
        <w:t>et al.</w:t>
      </w:r>
      <w:r w:rsidRPr="00317E7D">
        <w:rPr>
          <w:rFonts w:ascii="Calibri" w:cs="Calibri"/>
        </w:rPr>
        <w:t xml:space="preserve"> Tipping the immunostimulatory and inhibitory DAMP balance to harness immunogenic cell death. </w:t>
      </w:r>
      <w:r w:rsidRPr="00317E7D">
        <w:rPr>
          <w:rFonts w:ascii="Calibri" w:cs="Calibri"/>
          <w:i/>
          <w:iCs/>
        </w:rPr>
        <w:t>Nat Commun</w:t>
      </w:r>
      <w:r w:rsidRPr="00317E7D">
        <w:rPr>
          <w:rFonts w:ascii="Calibri" w:cs="Calibri"/>
        </w:rPr>
        <w:t xml:space="preserve"> </w:t>
      </w:r>
      <w:r w:rsidRPr="00317E7D">
        <w:rPr>
          <w:rFonts w:ascii="Calibri" w:cs="Calibri"/>
          <w:b/>
          <w:bCs/>
        </w:rPr>
        <w:t>11</w:t>
      </w:r>
      <w:r w:rsidRPr="00317E7D">
        <w:rPr>
          <w:rFonts w:ascii="Calibri" w:cs="Calibri"/>
        </w:rPr>
        <w:t>, 6299 (2020).</w:t>
      </w:r>
    </w:p>
    <w:p w14:paraId="0A28C14A" w14:textId="45B8C92A" w:rsidR="00317E7D" w:rsidRPr="00317E7D" w:rsidRDefault="00317E7D" w:rsidP="00317E7D">
      <w:pPr>
        <w:pStyle w:val="Bibliography"/>
        <w:rPr>
          <w:rFonts w:ascii="Calibri" w:cs="Calibri"/>
        </w:rPr>
      </w:pPr>
      <w:r w:rsidRPr="00317E7D">
        <w:rPr>
          <w:rFonts w:ascii="Calibri" w:cs="Calibri"/>
        </w:rPr>
        <w:t>31.</w:t>
      </w:r>
      <w:r w:rsidRPr="00317E7D">
        <w:rPr>
          <w:rFonts w:ascii="Calibri" w:cs="Calibri"/>
        </w:rPr>
        <w:tab/>
        <w:t xml:space="preserve">Gardai, S. J. </w:t>
      </w:r>
      <w:r w:rsidRPr="00317E7D">
        <w:rPr>
          <w:rFonts w:ascii="Calibri" w:cs="Calibri"/>
          <w:i/>
          <w:iCs/>
        </w:rPr>
        <w:t>et al.</w:t>
      </w:r>
      <w:r w:rsidRPr="00317E7D">
        <w:rPr>
          <w:rFonts w:ascii="Calibri" w:cs="Calibri"/>
        </w:rPr>
        <w:t xml:space="preserve"> Cell-Surface </w:t>
      </w:r>
      <w:r w:rsidR="00AD6EF4">
        <w:rPr>
          <w:rFonts w:ascii="Calibri" w:cs="Calibri"/>
        </w:rPr>
        <w:t>CRT</w:t>
      </w:r>
      <w:r w:rsidRPr="00317E7D">
        <w:rPr>
          <w:rFonts w:ascii="Calibri" w:cs="Calibri"/>
        </w:rPr>
        <w:t xml:space="preserve"> Initiates Clearance of Viable or Apoptotic Cells through trans-Activation of LRP on the Phagocyte. </w:t>
      </w:r>
      <w:r w:rsidRPr="00317E7D">
        <w:rPr>
          <w:rFonts w:ascii="Calibri" w:cs="Calibri"/>
          <w:i/>
          <w:iCs/>
        </w:rPr>
        <w:t>Cell</w:t>
      </w:r>
      <w:r w:rsidRPr="00317E7D">
        <w:rPr>
          <w:rFonts w:ascii="Calibri" w:cs="Calibri"/>
        </w:rPr>
        <w:t xml:space="preserve"> </w:t>
      </w:r>
      <w:r w:rsidRPr="00317E7D">
        <w:rPr>
          <w:rFonts w:ascii="Calibri" w:cs="Calibri"/>
          <w:b/>
          <w:bCs/>
        </w:rPr>
        <w:t>123</w:t>
      </w:r>
      <w:r w:rsidRPr="00317E7D">
        <w:rPr>
          <w:rFonts w:ascii="Calibri" w:cs="Calibri"/>
        </w:rPr>
        <w:t>, 321–334 (2005).</w:t>
      </w:r>
    </w:p>
    <w:p w14:paraId="588BF3CC" w14:textId="6737D2B2" w:rsidR="00317E7D" w:rsidRPr="00317E7D" w:rsidRDefault="00317E7D" w:rsidP="00317E7D">
      <w:pPr>
        <w:pStyle w:val="Bibliography"/>
        <w:rPr>
          <w:rFonts w:ascii="Calibri" w:cs="Calibri"/>
        </w:rPr>
      </w:pPr>
      <w:r w:rsidRPr="00317E7D">
        <w:rPr>
          <w:rFonts w:ascii="Calibri" w:cs="Calibri"/>
        </w:rPr>
        <w:t>32.</w:t>
      </w:r>
      <w:r w:rsidRPr="00317E7D">
        <w:rPr>
          <w:rFonts w:ascii="Calibri" w:cs="Calibri"/>
        </w:rPr>
        <w:tab/>
        <w:t xml:space="preserve">Obeid, M. </w:t>
      </w:r>
      <w:r w:rsidRPr="00317E7D">
        <w:rPr>
          <w:rFonts w:ascii="Calibri" w:cs="Calibri"/>
          <w:i/>
          <w:iCs/>
        </w:rPr>
        <w:t>et al.</w:t>
      </w:r>
      <w:r w:rsidRPr="00317E7D">
        <w:rPr>
          <w:rFonts w:ascii="Calibri" w:cs="Calibri"/>
        </w:rPr>
        <w:t xml:space="preserve"> </w:t>
      </w:r>
      <w:r w:rsidR="00AD6EF4">
        <w:rPr>
          <w:rFonts w:ascii="Calibri" w:cs="Calibri"/>
        </w:rPr>
        <w:t>CRT</w:t>
      </w:r>
      <w:r w:rsidRPr="00317E7D">
        <w:rPr>
          <w:rFonts w:ascii="Calibri" w:cs="Calibri"/>
        </w:rPr>
        <w:t xml:space="preserve"> exposure dictates the immunogenicity of cancer cell death. </w:t>
      </w:r>
      <w:r w:rsidRPr="00317E7D">
        <w:rPr>
          <w:rFonts w:ascii="Calibri" w:cs="Calibri"/>
          <w:i/>
          <w:iCs/>
        </w:rPr>
        <w:t>Nat Med</w:t>
      </w:r>
      <w:r w:rsidRPr="00317E7D">
        <w:rPr>
          <w:rFonts w:ascii="Calibri" w:cs="Calibri"/>
        </w:rPr>
        <w:t xml:space="preserve"> </w:t>
      </w:r>
      <w:r w:rsidRPr="00317E7D">
        <w:rPr>
          <w:rFonts w:ascii="Calibri" w:cs="Calibri"/>
          <w:b/>
          <w:bCs/>
        </w:rPr>
        <w:t>13</w:t>
      </w:r>
      <w:r w:rsidRPr="00317E7D">
        <w:rPr>
          <w:rFonts w:ascii="Calibri" w:cs="Calibri"/>
        </w:rPr>
        <w:t>, 54–61 (2007).</w:t>
      </w:r>
    </w:p>
    <w:p w14:paraId="0C14B0A1" w14:textId="77777777" w:rsidR="00317E7D" w:rsidRPr="00317E7D" w:rsidRDefault="00317E7D" w:rsidP="00317E7D">
      <w:pPr>
        <w:pStyle w:val="Bibliography"/>
        <w:rPr>
          <w:rFonts w:ascii="Calibri" w:cs="Calibri"/>
        </w:rPr>
      </w:pPr>
      <w:r w:rsidRPr="00317E7D">
        <w:rPr>
          <w:rFonts w:ascii="Calibri" w:cs="Calibri"/>
        </w:rPr>
        <w:t>33.</w:t>
      </w:r>
      <w:r w:rsidRPr="00317E7D">
        <w:rPr>
          <w:rFonts w:ascii="Calibri" w:cs="Calibri"/>
        </w:rPr>
        <w:tab/>
        <w:t xml:space="preserve">Asea, A. </w:t>
      </w:r>
      <w:r w:rsidRPr="00317E7D">
        <w:rPr>
          <w:rFonts w:ascii="Calibri" w:cs="Calibri"/>
          <w:i/>
          <w:iCs/>
        </w:rPr>
        <w:t>et al.</w:t>
      </w:r>
      <w:r w:rsidRPr="00317E7D">
        <w:rPr>
          <w:rFonts w:ascii="Calibri" w:cs="Calibri"/>
        </w:rPr>
        <w:t xml:space="preserve"> HSP70 stimulates cytokine production through a CD14-dependant pathway, demonstrating its dual role as a chaperone and cytokine. </w:t>
      </w:r>
      <w:r w:rsidRPr="00317E7D">
        <w:rPr>
          <w:rFonts w:ascii="Calibri" w:cs="Calibri"/>
          <w:i/>
          <w:iCs/>
        </w:rPr>
        <w:t>Nat Med</w:t>
      </w:r>
      <w:r w:rsidRPr="00317E7D">
        <w:rPr>
          <w:rFonts w:ascii="Calibri" w:cs="Calibri"/>
        </w:rPr>
        <w:t xml:space="preserve"> </w:t>
      </w:r>
      <w:r w:rsidRPr="00317E7D">
        <w:rPr>
          <w:rFonts w:ascii="Calibri" w:cs="Calibri"/>
          <w:b/>
          <w:bCs/>
        </w:rPr>
        <w:t>6</w:t>
      </w:r>
      <w:r w:rsidRPr="00317E7D">
        <w:rPr>
          <w:rFonts w:ascii="Calibri" w:cs="Calibri"/>
        </w:rPr>
        <w:t>, 435–442 (2000).</w:t>
      </w:r>
    </w:p>
    <w:p w14:paraId="10C8C9F6" w14:textId="77777777" w:rsidR="00317E7D" w:rsidRPr="00317E7D" w:rsidRDefault="00317E7D" w:rsidP="00317E7D">
      <w:pPr>
        <w:pStyle w:val="Bibliography"/>
        <w:rPr>
          <w:rFonts w:ascii="Calibri" w:cs="Calibri"/>
        </w:rPr>
      </w:pPr>
      <w:r w:rsidRPr="00317E7D">
        <w:rPr>
          <w:rFonts w:ascii="Calibri" w:cs="Calibri"/>
        </w:rPr>
        <w:t>34.</w:t>
      </w:r>
      <w:r w:rsidRPr="00317E7D">
        <w:rPr>
          <w:rFonts w:ascii="Calibri" w:cs="Calibri"/>
        </w:rPr>
        <w:tab/>
        <w:t xml:space="preserve">Imai, T. </w:t>
      </w:r>
      <w:r w:rsidRPr="00317E7D">
        <w:rPr>
          <w:rFonts w:ascii="Calibri" w:cs="Calibri"/>
          <w:i/>
          <w:iCs/>
        </w:rPr>
        <w:t>et al.</w:t>
      </w:r>
      <w:r w:rsidRPr="00317E7D">
        <w:rPr>
          <w:rFonts w:ascii="Calibri" w:cs="Calibri"/>
        </w:rPr>
        <w:t xml:space="preserve"> Heat shock protein 90 (HSP90) contributes to cytosolic translocation of extracellular antigen for cross-presentation by dendritic cells. </w:t>
      </w:r>
      <w:r w:rsidRPr="00317E7D">
        <w:rPr>
          <w:rFonts w:ascii="Calibri" w:cs="Calibri"/>
          <w:i/>
          <w:iCs/>
        </w:rPr>
        <w:t>PNAS</w:t>
      </w:r>
      <w:r w:rsidRPr="00317E7D">
        <w:rPr>
          <w:rFonts w:ascii="Calibri" w:cs="Calibri"/>
        </w:rPr>
        <w:t xml:space="preserve"> </w:t>
      </w:r>
      <w:r w:rsidRPr="00317E7D">
        <w:rPr>
          <w:rFonts w:ascii="Calibri" w:cs="Calibri"/>
          <w:b/>
          <w:bCs/>
        </w:rPr>
        <w:t>108</w:t>
      </w:r>
      <w:r w:rsidRPr="00317E7D">
        <w:rPr>
          <w:rFonts w:ascii="Calibri" w:cs="Calibri"/>
        </w:rPr>
        <w:t>, 16363–16368 (2011).</w:t>
      </w:r>
    </w:p>
    <w:p w14:paraId="01F8A20F" w14:textId="77777777" w:rsidR="00317E7D" w:rsidRPr="00317E7D" w:rsidRDefault="00317E7D" w:rsidP="00317E7D">
      <w:pPr>
        <w:pStyle w:val="Bibliography"/>
        <w:rPr>
          <w:rFonts w:ascii="Calibri" w:cs="Calibri"/>
        </w:rPr>
      </w:pPr>
      <w:r w:rsidRPr="00317E7D">
        <w:rPr>
          <w:rFonts w:ascii="Calibri" w:cs="Calibri"/>
        </w:rPr>
        <w:t>35.</w:t>
      </w:r>
      <w:r w:rsidRPr="00317E7D">
        <w:rPr>
          <w:rFonts w:ascii="Calibri" w:cs="Calibri"/>
        </w:rPr>
        <w:tab/>
        <w:t xml:space="preserve">Luo, M. </w:t>
      </w:r>
      <w:r w:rsidRPr="00317E7D">
        <w:rPr>
          <w:rFonts w:ascii="Calibri" w:cs="Calibri"/>
          <w:i/>
          <w:iCs/>
        </w:rPr>
        <w:t>et al.</w:t>
      </w:r>
      <w:r w:rsidRPr="00317E7D">
        <w:rPr>
          <w:rFonts w:ascii="Calibri" w:cs="Calibri"/>
        </w:rPr>
        <w:t xml:space="preserve"> Laser immunotherapy for cutaneous squamous cell carcinoma with optimal thermal effects to enhance tumour immunogenicity. </w:t>
      </w:r>
      <w:r w:rsidRPr="00317E7D">
        <w:rPr>
          <w:rFonts w:ascii="Calibri" w:cs="Calibri"/>
          <w:i/>
          <w:iCs/>
        </w:rPr>
        <w:t>Int J Hyperthermia</w:t>
      </w:r>
      <w:r w:rsidRPr="00317E7D">
        <w:rPr>
          <w:rFonts w:ascii="Calibri" w:cs="Calibri"/>
        </w:rPr>
        <w:t xml:space="preserve"> </w:t>
      </w:r>
      <w:r w:rsidRPr="00317E7D">
        <w:rPr>
          <w:rFonts w:ascii="Calibri" w:cs="Calibri"/>
          <w:b/>
          <w:bCs/>
        </w:rPr>
        <w:t>34</w:t>
      </w:r>
      <w:r w:rsidRPr="00317E7D">
        <w:rPr>
          <w:rFonts w:ascii="Calibri" w:cs="Calibri"/>
        </w:rPr>
        <w:t>, 1337–1350 (2018).</w:t>
      </w:r>
    </w:p>
    <w:p w14:paraId="3A6DDC10" w14:textId="77777777" w:rsidR="00317E7D" w:rsidRPr="00317E7D" w:rsidRDefault="00317E7D" w:rsidP="00317E7D">
      <w:pPr>
        <w:pStyle w:val="Bibliography"/>
        <w:rPr>
          <w:rFonts w:ascii="Calibri" w:cs="Calibri"/>
        </w:rPr>
      </w:pPr>
      <w:r w:rsidRPr="00317E7D">
        <w:rPr>
          <w:rFonts w:ascii="Calibri" w:cs="Calibri"/>
        </w:rPr>
        <w:t>36.</w:t>
      </w:r>
      <w:r w:rsidRPr="00317E7D">
        <w:rPr>
          <w:rFonts w:ascii="Calibri" w:cs="Calibri"/>
        </w:rPr>
        <w:tab/>
        <w:t xml:space="preserve">Mathew, A. </w:t>
      </w:r>
      <w:r w:rsidRPr="00317E7D">
        <w:rPr>
          <w:rFonts w:ascii="Calibri" w:cs="Calibri"/>
          <w:i/>
          <w:iCs/>
        </w:rPr>
        <w:t>et al.</w:t>
      </w:r>
      <w:r w:rsidRPr="00317E7D">
        <w:rPr>
          <w:rFonts w:ascii="Calibri" w:cs="Calibri"/>
        </w:rPr>
        <w:t xml:space="preserve"> Degraded Mitochondrial DNA is a Newly Identified Subtype of the Damage Associated Molecular Pattern (DAMP) Family and Possible Trigger of Neurodegeneration. </w:t>
      </w:r>
      <w:r w:rsidRPr="00317E7D">
        <w:rPr>
          <w:rFonts w:ascii="Calibri" w:cs="Calibri"/>
          <w:i/>
          <w:iCs/>
        </w:rPr>
        <w:t>JAD</w:t>
      </w:r>
      <w:r w:rsidRPr="00317E7D">
        <w:rPr>
          <w:rFonts w:ascii="Calibri" w:cs="Calibri"/>
        </w:rPr>
        <w:t xml:space="preserve"> </w:t>
      </w:r>
      <w:r w:rsidRPr="00317E7D">
        <w:rPr>
          <w:rFonts w:ascii="Calibri" w:cs="Calibri"/>
          <w:b/>
          <w:bCs/>
        </w:rPr>
        <w:t>30</w:t>
      </w:r>
      <w:r w:rsidRPr="00317E7D">
        <w:rPr>
          <w:rFonts w:ascii="Calibri" w:cs="Calibri"/>
        </w:rPr>
        <w:t>, 617–627 (2012).</w:t>
      </w:r>
    </w:p>
    <w:p w14:paraId="23A017A6" w14:textId="77777777" w:rsidR="00317E7D" w:rsidRPr="00317E7D" w:rsidRDefault="00317E7D" w:rsidP="00317E7D">
      <w:pPr>
        <w:pStyle w:val="Bibliography"/>
        <w:rPr>
          <w:rFonts w:ascii="Calibri" w:cs="Calibri"/>
        </w:rPr>
      </w:pPr>
      <w:r w:rsidRPr="00317E7D">
        <w:rPr>
          <w:rFonts w:ascii="Calibri" w:cs="Calibri"/>
        </w:rPr>
        <w:t>37.</w:t>
      </w:r>
      <w:r w:rsidRPr="00317E7D">
        <w:rPr>
          <w:rFonts w:ascii="Calibri" w:cs="Calibri"/>
        </w:rPr>
        <w:tab/>
        <w:t xml:space="preserve">Zhang, J.-Z., Liu, Z., Liu, J., Ren, J.-X. &amp; Sun, T.-S. Mitochondrial DNA induces inflammation and increases TLR9/NF-κB expression in lung tissue. </w:t>
      </w:r>
      <w:r w:rsidRPr="00317E7D">
        <w:rPr>
          <w:rFonts w:ascii="Calibri" w:cs="Calibri"/>
          <w:i/>
          <w:iCs/>
        </w:rPr>
        <w:t>International Journal of Molecular Medicine</w:t>
      </w:r>
      <w:r w:rsidRPr="00317E7D">
        <w:rPr>
          <w:rFonts w:ascii="Calibri" w:cs="Calibri"/>
        </w:rPr>
        <w:t xml:space="preserve"> </w:t>
      </w:r>
      <w:r w:rsidRPr="00317E7D">
        <w:rPr>
          <w:rFonts w:ascii="Calibri" w:cs="Calibri"/>
          <w:b/>
          <w:bCs/>
        </w:rPr>
        <w:t>33</w:t>
      </w:r>
      <w:r w:rsidRPr="00317E7D">
        <w:rPr>
          <w:rFonts w:ascii="Calibri" w:cs="Calibri"/>
        </w:rPr>
        <w:t>, 817–824 (2014).</w:t>
      </w:r>
    </w:p>
    <w:p w14:paraId="4FB810DF" w14:textId="77777777" w:rsidR="00317E7D" w:rsidRPr="00317E7D" w:rsidRDefault="00317E7D" w:rsidP="00317E7D">
      <w:pPr>
        <w:pStyle w:val="Bibliography"/>
        <w:rPr>
          <w:rFonts w:ascii="Calibri" w:cs="Calibri"/>
        </w:rPr>
      </w:pPr>
      <w:r w:rsidRPr="00317E7D">
        <w:rPr>
          <w:rFonts w:ascii="Calibri" w:cs="Calibri"/>
        </w:rPr>
        <w:lastRenderedPageBreak/>
        <w:t>38.</w:t>
      </w:r>
      <w:r w:rsidRPr="00317E7D">
        <w:rPr>
          <w:rFonts w:ascii="Calibri" w:cs="Calibri"/>
        </w:rPr>
        <w:tab/>
        <w:t xml:space="preserve">Simmons, J. D. </w:t>
      </w:r>
      <w:r w:rsidRPr="00317E7D">
        <w:rPr>
          <w:rFonts w:ascii="Calibri" w:cs="Calibri"/>
          <w:i/>
          <w:iCs/>
        </w:rPr>
        <w:t>et al.</w:t>
      </w:r>
      <w:r w:rsidRPr="00317E7D">
        <w:rPr>
          <w:rFonts w:ascii="Calibri" w:cs="Calibri"/>
        </w:rPr>
        <w:t xml:space="preserve"> Elevated Levels of Plasma Mitochondrial DNA DAMPs Are Linked to Clinical Outcome in Severely Injured Human Subjects. </w:t>
      </w:r>
      <w:r w:rsidRPr="00317E7D">
        <w:rPr>
          <w:rFonts w:ascii="Calibri" w:cs="Calibri"/>
          <w:i/>
          <w:iCs/>
        </w:rPr>
        <w:t>Annals of Surgery</w:t>
      </w:r>
      <w:r w:rsidRPr="00317E7D">
        <w:rPr>
          <w:rFonts w:ascii="Calibri" w:cs="Calibri"/>
        </w:rPr>
        <w:t xml:space="preserve"> </w:t>
      </w:r>
      <w:r w:rsidRPr="00317E7D">
        <w:rPr>
          <w:rFonts w:ascii="Calibri" w:cs="Calibri"/>
          <w:b/>
          <w:bCs/>
        </w:rPr>
        <w:t>258</w:t>
      </w:r>
      <w:r w:rsidRPr="00317E7D">
        <w:rPr>
          <w:rFonts w:ascii="Calibri" w:cs="Calibri"/>
        </w:rPr>
        <w:t>, 591–598 (2013).</w:t>
      </w:r>
    </w:p>
    <w:p w14:paraId="636C257C" w14:textId="77777777" w:rsidR="00317E7D" w:rsidRPr="00317E7D" w:rsidRDefault="00317E7D" w:rsidP="00317E7D">
      <w:pPr>
        <w:pStyle w:val="Bibliography"/>
        <w:rPr>
          <w:rFonts w:ascii="Calibri" w:cs="Calibri"/>
        </w:rPr>
      </w:pPr>
      <w:r w:rsidRPr="00317E7D">
        <w:rPr>
          <w:rFonts w:ascii="Calibri" w:cs="Calibri"/>
        </w:rPr>
        <w:t>39.</w:t>
      </w:r>
      <w:r w:rsidRPr="00317E7D">
        <w:rPr>
          <w:rFonts w:ascii="Calibri" w:cs="Calibri"/>
        </w:rPr>
        <w:tab/>
        <w:t xml:space="preserve">Tian, J. </w:t>
      </w:r>
      <w:r w:rsidRPr="00317E7D">
        <w:rPr>
          <w:rFonts w:ascii="Calibri" w:cs="Calibri"/>
          <w:i/>
          <w:iCs/>
        </w:rPr>
        <w:t>et al.</w:t>
      </w:r>
      <w:r w:rsidRPr="00317E7D">
        <w:rPr>
          <w:rFonts w:ascii="Calibri" w:cs="Calibri"/>
        </w:rPr>
        <w:t xml:space="preserve"> Toll-like receptor 9–dependent activation by DNA-containing immune complexes is mediated by HMGB1 and RAGE. </w:t>
      </w:r>
      <w:r w:rsidRPr="00317E7D">
        <w:rPr>
          <w:rFonts w:ascii="Calibri" w:cs="Calibri"/>
          <w:i/>
          <w:iCs/>
        </w:rPr>
        <w:t>Nat Immunol</w:t>
      </w:r>
      <w:r w:rsidRPr="00317E7D">
        <w:rPr>
          <w:rFonts w:ascii="Calibri" w:cs="Calibri"/>
        </w:rPr>
        <w:t xml:space="preserve"> </w:t>
      </w:r>
      <w:r w:rsidRPr="00317E7D">
        <w:rPr>
          <w:rFonts w:ascii="Calibri" w:cs="Calibri"/>
          <w:b/>
          <w:bCs/>
        </w:rPr>
        <w:t>8</w:t>
      </w:r>
      <w:r w:rsidRPr="00317E7D">
        <w:rPr>
          <w:rFonts w:ascii="Calibri" w:cs="Calibri"/>
        </w:rPr>
        <w:t>, 487–496 (2007).</w:t>
      </w:r>
    </w:p>
    <w:p w14:paraId="46E6E428" w14:textId="77777777" w:rsidR="00317E7D" w:rsidRPr="00317E7D" w:rsidRDefault="00317E7D" w:rsidP="00317E7D">
      <w:pPr>
        <w:pStyle w:val="Bibliography"/>
        <w:rPr>
          <w:rFonts w:ascii="Calibri" w:cs="Calibri"/>
        </w:rPr>
      </w:pPr>
      <w:r w:rsidRPr="00317E7D">
        <w:rPr>
          <w:rFonts w:ascii="Calibri" w:cs="Calibri"/>
        </w:rPr>
        <w:t>40.</w:t>
      </w:r>
      <w:r w:rsidRPr="00317E7D">
        <w:rPr>
          <w:rFonts w:ascii="Calibri" w:cs="Calibri"/>
        </w:rPr>
        <w:tab/>
        <w:t xml:space="preserve">Rose II, W. A., Okragly, A. J., Patel, C. N. &amp; Benschop, R. J. IL-33 released by alum is responsible for early cytokine production and has adjuvant properties. </w:t>
      </w:r>
      <w:r w:rsidRPr="00317E7D">
        <w:rPr>
          <w:rFonts w:ascii="Calibri" w:cs="Calibri"/>
          <w:i/>
          <w:iCs/>
        </w:rPr>
        <w:t>Sci Rep</w:t>
      </w:r>
      <w:r w:rsidRPr="00317E7D">
        <w:rPr>
          <w:rFonts w:ascii="Calibri" w:cs="Calibri"/>
        </w:rPr>
        <w:t xml:space="preserve"> </w:t>
      </w:r>
      <w:r w:rsidRPr="00317E7D">
        <w:rPr>
          <w:rFonts w:ascii="Calibri" w:cs="Calibri"/>
          <w:b/>
          <w:bCs/>
        </w:rPr>
        <w:t>5</w:t>
      </w:r>
      <w:r w:rsidRPr="00317E7D">
        <w:rPr>
          <w:rFonts w:ascii="Calibri" w:cs="Calibri"/>
        </w:rPr>
        <w:t>, 13146 (2015).</w:t>
      </w:r>
    </w:p>
    <w:p w14:paraId="22CBB1C4" w14:textId="77777777" w:rsidR="00317E7D" w:rsidRPr="00317E7D" w:rsidRDefault="00317E7D" w:rsidP="00317E7D">
      <w:pPr>
        <w:pStyle w:val="Bibliography"/>
        <w:rPr>
          <w:rFonts w:ascii="Calibri" w:cs="Calibri"/>
        </w:rPr>
      </w:pPr>
      <w:r w:rsidRPr="00317E7D">
        <w:rPr>
          <w:rFonts w:ascii="Calibri" w:cs="Calibri"/>
        </w:rPr>
        <w:t>41.</w:t>
      </w:r>
      <w:r w:rsidRPr="00317E7D">
        <w:rPr>
          <w:rFonts w:ascii="Calibri" w:cs="Calibri"/>
        </w:rPr>
        <w:tab/>
        <w:t xml:space="preserve">Oleszycka, E. </w:t>
      </w:r>
      <w:r w:rsidRPr="00317E7D">
        <w:rPr>
          <w:rFonts w:ascii="Calibri" w:cs="Calibri"/>
          <w:i/>
          <w:iCs/>
        </w:rPr>
        <w:t>et al.</w:t>
      </w:r>
      <w:r w:rsidRPr="00317E7D">
        <w:rPr>
          <w:rFonts w:ascii="Calibri" w:cs="Calibri"/>
        </w:rPr>
        <w:t xml:space="preserve"> IL-1α and inflammasome-independent IL-1β promote neutrophil infiltration following alum vaccination. </w:t>
      </w:r>
      <w:r w:rsidRPr="00317E7D">
        <w:rPr>
          <w:rFonts w:ascii="Calibri" w:cs="Calibri"/>
          <w:i/>
          <w:iCs/>
        </w:rPr>
        <w:t>FEBS J</w:t>
      </w:r>
      <w:r w:rsidRPr="00317E7D">
        <w:rPr>
          <w:rFonts w:ascii="Calibri" w:cs="Calibri"/>
        </w:rPr>
        <w:t xml:space="preserve"> </w:t>
      </w:r>
      <w:r w:rsidRPr="00317E7D">
        <w:rPr>
          <w:rFonts w:ascii="Calibri" w:cs="Calibri"/>
          <w:b/>
          <w:bCs/>
        </w:rPr>
        <w:t>283</w:t>
      </w:r>
      <w:r w:rsidRPr="00317E7D">
        <w:rPr>
          <w:rFonts w:ascii="Calibri" w:cs="Calibri"/>
        </w:rPr>
        <w:t>, 9–24 (2016).</w:t>
      </w:r>
    </w:p>
    <w:p w14:paraId="7B6F80DE" w14:textId="77777777" w:rsidR="00317E7D" w:rsidRPr="00317E7D" w:rsidRDefault="00317E7D" w:rsidP="00317E7D">
      <w:pPr>
        <w:pStyle w:val="Bibliography"/>
        <w:rPr>
          <w:rFonts w:ascii="Calibri" w:cs="Calibri"/>
        </w:rPr>
      </w:pPr>
      <w:r w:rsidRPr="00317E7D">
        <w:rPr>
          <w:rFonts w:ascii="Calibri" w:cs="Calibri"/>
        </w:rPr>
        <w:t>42.</w:t>
      </w:r>
      <w:r w:rsidRPr="00317E7D">
        <w:rPr>
          <w:rFonts w:ascii="Calibri" w:cs="Calibri"/>
        </w:rPr>
        <w:tab/>
        <w:t xml:space="preserve">Yu, J. </w:t>
      </w:r>
      <w:r w:rsidRPr="00317E7D">
        <w:rPr>
          <w:rFonts w:ascii="Calibri" w:cs="Calibri"/>
          <w:i/>
          <w:iCs/>
        </w:rPr>
        <w:t>et al.</w:t>
      </w:r>
      <w:r w:rsidRPr="00317E7D">
        <w:rPr>
          <w:rFonts w:ascii="Calibri" w:cs="Calibri"/>
        </w:rPr>
        <w:t xml:space="preserve"> Cleavage of GSDME by caspase-3 determines lobaplatin-induced pyroptosis in colon cancer cells. </w:t>
      </w:r>
      <w:r w:rsidRPr="00317E7D">
        <w:rPr>
          <w:rFonts w:ascii="Calibri" w:cs="Calibri"/>
          <w:i/>
          <w:iCs/>
        </w:rPr>
        <w:t>Cell Death &amp; Disease</w:t>
      </w:r>
      <w:r w:rsidRPr="00317E7D">
        <w:rPr>
          <w:rFonts w:ascii="Calibri" w:cs="Calibri"/>
        </w:rPr>
        <w:t xml:space="preserve"> </w:t>
      </w:r>
      <w:r w:rsidRPr="00317E7D">
        <w:rPr>
          <w:rFonts w:ascii="Calibri" w:cs="Calibri"/>
          <w:b/>
          <w:bCs/>
        </w:rPr>
        <w:t>10</w:t>
      </w:r>
      <w:r w:rsidRPr="00317E7D">
        <w:rPr>
          <w:rFonts w:ascii="Calibri" w:cs="Calibri"/>
        </w:rPr>
        <w:t>, 1–20 (2019).</w:t>
      </w:r>
    </w:p>
    <w:p w14:paraId="7FAFCE96" w14:textId="77777777" w:rsidR="00317E7D" w:rsidRPr="00317E7D" w:rsidRDefault="00317E7D" w:rsidP="00317E7D">
      <w:pPr>
        <w:pStyle w:val="Bibliography"/>
        <w:rPr>
          <w:rFonts w:ascii="Calibri" w:cs="Calibri"/>
        </w:rPr>
      </w:pPr>
      <w:r w:rsidRPr="00317E7D">
        <w:rPr>
          <w:rFonts w:ascii="Calibri" w:cs="Calibri"/>
        </w:rPr>
        <w:t>43.</w:t>
      </w:r>
      <w:r w:rsidRPr="00317E7D">
        <w:rPr>
          <w:rFonts w:ascii="Calibri" w:cs="Calibri"/>
        </w:rPr>
        <w:tab/>
        <w:t xml:space="preserve">Dinarello, C. A. IL-18: A TH1 -inducing, proinflammatory cytokine and new member of the IL-1 family. </w:t>
      </w:r>
      <w:r w:rsidRPr="00317E7D">
        <w:rPr>
          <w:rFonts w:ascii="Calibri" w:cs="Calibri"/>
          <w:i/>
          <w:iCs/>
        </w:rPr>
        <w:t>Journal of Allergy and Clinical Immunology</w:t>
      </w:r>
      <w:r w:rsidRPr="00317E7D">
        <w:rPr>
          <w:rFonts w:ascii="Calibri" w:cs="Calibri"/>
        </w:rPr>
        <w:t xml:space="preserve"> </w:t>
      </w:r>
      <w:r w:rsidRPr="00317E7D">
        <w:rPr>
          <w:rFonts w:ascii="Calibri" w:cs="Calibri"/>
          <w:b/>
          <w:bCs/>
        </w:rPr>
        <w:t>103</w:t>
      </w:r>
      <w:r w:rsidRPr="00317E7D">
        <w:rPr>
          <w:rFonts w:ascii="Calibri" w:cs="Calibri"/>
        </w:rPr>
        <w:t>, 11–24 (1999).</w:t>
      </w:r>
    </w:p>
    <w:p w14:paraId="16956022" w14:textId="77777777" w:rsidR="00317E7D" w:rsidRPr="00317E7D" w:rsidRDefault="00317E7D" w:rsidP="00317E7D">
      <w:pPr>
        <w:pStyle w:val="Bibliography"/>
        <w:rPr>
          <w:rFonts w:ascii="Calibri" w:cs="Calibri"/>
        </w:rPr>
      </w:pPr>
      <w:r w:rsidRPr="00317E7D">
        <w:rPr>
          <w:rFonts w:ascii="Calibri" w:cs="Calibri"/>
        </w:rPr>
        <w:t>44.</w:t>
      </w:r>
      <w:r w:rsidRPr="00317E7D">
        <w:rPr>
          <w:rFonts w:ascii="Calibri" w:cs="Calibri"/>
        </w:rPr>
        <w:tab/>
        <w:t xml:space="preserve">Yang, H., Wang, H., Chavan, S. S. &amp; Andersson, U. High Mobility Group Box Protein 1 (HMGB1): The Prototypical Endogenous Danger Molecule. </w:t>
      </w:r>
      <w:r w:rsidRPr="00317E7D">
        <w:rPr>
          <w:rFonts w:ascii="Calibri" w:cs="Calibri"/>
          <w:i/>
          <w:iCs/>
        </w:rPr>
        <w:t>Mol Med</w:t>
      </w:r>
      <w:r w:rsidRPr="00317E7D">
        <w:rPr>
          <w:rFonts w:ascii="Calibri" w:cs="Calibri"/>
        </w:rPr>
        <w:t xml:space="preserve"> </w:t>
      </w:r>
      <w:r w:rsidRPr="00317E7D">
        <w:rPr>
          <w:rFonts w:ascii="Calibri" w:cs="Calibri"/>
          <w:b/>
          <w:bCs/>
        </w:rPr>
        <w:t>21</w:t>
      </w:r>
      <w:r w:rsidRPr="00317E7D">
        <w:rPr>
          <w:rFonts w:ascii="Calibri" w:cs="Calibri"/>
        </w:rPr>
        <w:t>, S6–S12 (2015).</w:t>
      </w:r>
    </w:p>
    <w:p w14:paraId="7B95B3C4" w14:textId="77777777" w:rsidR="00317E7D" w:rsidRPr="00317E7D" w:rsidRDefault="00317E7D" w:rsidP="00317E7D">
      <w:pPr>
        <w:pStyle w:val="Bibliography"/>
        <w:rPr>
          <w:rFonts w:ascii="Calibri" w:cs="Calibri"/>
        </w:rPr>
      </w:pPr>
      <w:r w:rsidRPr="00317E7D">
        <w:rPr>
          <w:rFonts w:ascii="Calibri" w:cs="Calibri"/>
        </w:rPr>
        <w:t>45.</w:t>
      </w:r>
      <w:r w:rsidRPr="00317E7D">
        <w:rPr>
          <w:rFonts w:ascii="Calibri" w:cs="Calibri"/>
        </w:rPr>
        <w:tab/>
        <w:t xml:space="preserve">Yamazaki, T. </w:t>
      </w:r>
      <w:r w:rsidRPr="00317E7D">
        <w:rPr>
          <w:rFonts w:ascii="Calibri" w:cs="Calibri"/>
          <w:i/>
          <w:iCs/>
        </w:rPr>
        <w:t>et al.</w:t>
      </w:r>
      <w:r w:rsidRPr="00317E7D">
        <w:rPr>
          <w:rFonts w:ascii="Calibri" w:cs="Calibri"/>
        </w:rPr>
        <w:t xml:space="preserve"> Defective immunogenic cell death of HMGB1-deficient tumors: compensatory therapy with TLR4 agonists. </w:t>
      </w:r>
      <w:r w:rsidRPr="00317E7D">
        <w:rPr>
          <w:rFonts w:ascii="Calibri" w:cs="Calibri"/>
          <w:i/>
          <w:iCs/>
        </w:rPr>
        <w:t>Cell Death Differ</w:t>
      </w:r>
      <w:r w:rsidRPr="00317E7D">
        <w:rPr>
          <w:rFonts w:ascii="Calibri" w:cs="Calibri"/>
        </w:rPr>
        <w:t xml:space="preserve"> </w:t>
      </w:r>
      <w:r w:rsidRPr="00317E7D">
        <w:rPr>
          <w:rFonts w:ascii="Calibri" w:cs="Calibri"/>
          <w:b/>
          <w:bCs/>
        </w:rPr>
        <w:t>21</w:t>
      </w:r>
      <w:r w:rsidRPr="00317E7D">
        <w:rPr>
          <w:rFonts w:ascii="Calibri" w:cs="Calibri"/>
        </w:rPr>
        <w:t>, 69–78 (2014).</w:t>
      </w:r>
    </w:p>
    <w:p w14:paraId="391E67FB" w14:textId="77777777" w:rsidR="00317E7D" w:rsidRPr="00317E7D" w:rsidRDefault="00317E7D" w:rsidP="00317E7D">
      <w:pPr>
        <w:pStyle w:val="Bibliography"/>
        <w:rPr>
          <w:rFonts w:ascii="Calibri" w:cs="Calibri"/>
        </w:rPr>
      </w:pPr>
      <w:r w:rsidRPr="00317E7D">
        <w:rPr>
          <w:rFonts w:ascii="Calibri" w:cs="Calibri"/>
        </w:rPr>
        <w:t>46.</w:t>
      </w:r>
      <w:r w:rsidRPr="00317E7D">
        <w:rPr>
          <w:rFonts w:ascii="Calibri" w:cs="Calibri"/>
        </w:rPr>
        <w:tab/>
        <w:t xml:space="preserve">Tesniere, A. </w:t>
      </w:r>
      <w:r w:rsidRPr="00317E7D">
        <w:rPr>
          <w:rFonts w:ascii="Calibri" w:cs="Calibri"/>
          <w:i/>
          <w:iCs/>
        </w:rPr>
        <w:t>et al.</w:t>
      </w:r>
      <w:r w:rsidRPr="00317E7D">
        <w:rPr>
          <w:rFonts w:ascii="Calibri" w:cs="Calibri"/>
        </w:rPr>
        <w:t xml:space="preserve"> Immunogenic death of colon cancer cells treated with oxaliplatin. </w:t>
      </w:r>
      <w:r w:rsidRPr="00317E7D">
        <w:rPr>
          <w:rFonts w:ascii="Calibri" w:cs="Calibri"/>
          <w:i/>
          <w:iCs/>
        </w:rPr>
        <w:t>Oncogene</w:t>
      </w:r>
      <w:r w:rsidRPr="00317E7D">
        <w:rPr>
          <w:rFonts w:ascii="Calibri" w:cs="Calibri"/>
        </w:rPr>
        <w:t xml:space="preserve"> </w:t>
      </w:r>
      <w:r w:rsidRPr="00317E7D">
        <w:rPr>
          <w:rFonts w:ascii="Calibri" w:cs="Calibri"/>
          <w:b/>
          <w:bCs/>
        </w:rPr>
        <w:t>29</w:t>
      </w:r>
      <w:r w:rsidRPr="00317E7D">
        <w:rPr>
          <w:rFonts w:ascii="Calibri" w:cs="Calibri"/>
        </w:rPr>
        <w:t>, 482–491 (2010).</w:t>
      </w:r>
    </w:p>
    <w:p w14:paraId="5E87D2BC" w14:textId="77777777" w:rsidR="00317E7D" w:rsidRPr="00317E7D" w:rsidRDefault="00317E7D" w:rsidP="00317E7D">
      <w:pPr>
        <w:pStyle w:val="Bibliography"/>
        <w:rPr>
          <w:rFonts w:ascii="Calibri" w:cs="Calibri"/>
        </w:rPr>
      </w:pPr>
      <w:r w:rsidRPr="00317E7D">
        <w:rPr>
          <w:rFonts w:ascii="Calibri" w:cs="Calibri"/>
        </w:rPr>
        <w:t>47.</w:t>
      </w:r>
      <w:r w:rsidRPr="00317E7D">
        <w:rPr>
          <w:rFonts w:ascii="Calibri" w:cs="Calibri"/>
        </w:rPr>
        <w:tab/>
        <w:t xml:space="preserve">Apetoh, L. </w:t>
      </w:r>
      <w:r w:rsidRPr="00317E7D">
        <w:rPr>
          <w:rFonts w:ascii="Calibri" w:cs="Calibri"/>
          <w:i/>
          <w:iCs/>
        </w:rPr>
        <w:t>et al.</w:t>
      </w:r>
      <w:r w:rsidRPr="00317E7D">
        <w:rPr>
          <w:rFonts w:ascii="Calibri" w:cs="Calibri"/>
        </w:rPr>
        <w:t xml:space="preserve"> Toll-like receptor 4–dependent contribution of the immune system to anticancer chemotherapy and radiotherapy. </w:t>
      </w:r>
      <w:r w:rsidRPr="00317E7D">
        <w:rPr>
          <w:rFonts w:ascii="Calibri" w:cs="Calibri"/>
          <w:i/>
          <w:iCs/>
        </w:rPr>
        <w:t>Nat Med</w:t>
      </w:r>
      <w:r w:rsidRPr="00317E7D">
        <w:rPr>
          <w:rFonts w:ascii="Calibri" w:cs="Calibri"/>
        </w:rPr>
        <w:t xml:space="preserve"> </w:t>
      </w:r>
      <w:r w:rsidRPr="00317E7D">
        <w:rPr>
          <w:rFonts w:ascii="Calibri" w:cs="Calibri"/>
          <w:b/>
          <w:bCs/>
        </w:rPr>
        <w:t>13</w:t>
      </w:r>
      <w:r w:rsidRPr="00317E7D">
        <w:rPr>
          <w:rFonts w:ascii="Calibri" w:cs="Calibri"/>
        </w:rPr>
        <w:t>, 1050–1059 (2007).</w:t>
      </w:r>
    </w:p>
    <w:p w14:paraId="1BAC6C3D" w14:textId="77777777" w:rsidR="00317E7D" w:rsidRPr="00317E7D" w:rsidRDefault="00317E7D" w:rsidP="00317E7D">
      <w:pPr>
        <w:pStyle w:val="Bibliography"/>
        <w:rPr>
          <w:rFonts w:ascii="Calibri" w:cs="Calibri"/>
        </w:rPr>
      </w:pPr>
      <w:r w:rsidRPr="00317E7D">
        <w:rPr>
          <w:rFonts w:ascii="Calibri" w:cs="Calibri"/>
        </w:rPr>
        <w:lastRenderedPageBreak/>
        <w:t>48.</w:t>
      </w:r>
      <w:r w:rsidRPr="00317E7D">
        <w:rPr>
          <w:rFonts w:ascii="Calibri" w:cs="Calibri"/>
        </w:rPr>
        <w:tab/>
        <w:t xml:space="preserve">Bergmann, C. </w:t>
      </w:r>
      <w:r w:rsidRPr="00317E7D">
        <w:rPr>
          <w:rFonts w:ascii="Calibri" w:cs="Calibri"/>
          <w:i/>
          <w:iCs/>
        </w:rPr>
        <w:t>et al.</w:t>
      </w:r>
      <w:r w:rsidRPr="00317E7D">
        <w:rPr>
          <w:rFonts w:ascii="Calibri" w:cs="Calibri"/>
        </w:rPr>
        <w:t xml:space="preserve"> Toll-like receptor 4 single-nucleotide polymorphisms Asp299Gly and Thr399Ile in head and neck squamous cell carcinomas. </w:t>
      </w:r>
      <w:r w:rsidRPr="00317E7D">
        <w:rPr>
          <w:rFonts w:ascii="Calibri" w:cs="Calibri"/>
          <w:i/>
          <w:iCs/>
        </w:rPr>
        <w:t>J Transl Med</w:t>
      </w:r>
      <w:r w:rsidRPr="00317E7D">
        <w:rPr>
          <w:rFonts w:ascii="Calibri" w:cs="Calibri"/>
        </w:rPr>
        <w:t xml:space="preserve"> </w:t>
      </w:r>
      <w:r w:rsidRPr="00317E7D">
        <w:rPr>
          <w:rFonts w:ascii="Calibri" w:cs="Calibri"/>
          <w:b/>
          <w:bCs/>
        </w:rPr>
        <w:t>9</w:t>
      </w:r>
      <w:r w:rsidRPr="00317E7D">
        <w:rPr>
          <w:rFonts w:ascii="Calibri" w:cs="Calibri"/>
        </w:rPr>
        <w:t>, 139 (2011).</w:t>
      </w:r>
    </w:p>
    <w:p w14:paraId="40C10FE4" w14:textId="77777777" w:rsidR="00317E7D" w:rsidRPr="00317E7D" w:rsidRDefault="00317E7D" w:rsidP="00317E7D">
      <w:pPr>
        <w:pStyle w:val="Bibliography"/>
        <w:rPr>
          <w:rFonts w:ascii="Calibri" w:cs="Calibri"/>
        </w:rPr>
      </w:pPr>
      <w:r w:rsidRPr="00317E7D">
        <w:rPr>
          <w:rFonts w:ascii="Calibri" w:cs="Calibri"/>
        </w:rPr>
        <w:t>49.</w:t>
      </w:r>
      <w:r w:rsidRPr="00317E7D">
        <w:rPr>
          <w:rFonts w:ascii="Calibri" w:cs="Calibri"/>
        </w:rPr>
        <w:tab/>
        <w:t xml:space="preserve">Selzner, N. </w:t>
      </w:r>
      <w:r w:rsidRPr="00317E7D">
        <w:rPr>
          <w:rFonts w:ascii="Calibri" w:cs="Calibri"/>
          <w:i/>
          <w:iCs/>
        </w:rPr>
        <w:t>et al.</w:t>
      </w:r>
      <w:r w:rsidRPr="00317E7D">
        <w:rPr>
          <w:rFonts w:ascii="Calibri" w:cs="Calibri"/>
        </w:rPr>
        <w:t xml:space="preserve"> Water induces autocrine stimulation of tumor cell killing through ATP release and P2 receptor binding. </w:t>
      </w:r>
      <w:r w:rsidRPr="00317E7D">
        <w:rPr>
          <w:rFonts w:ascii="Calibri" w:cs="Calibri"/>
          <w:i/>
          <w:iCs/>
        </w:rPr>
        <w:t>Cell Death Differ</w:t>
      </w:r>
      <w:r w:rsidRPr="00317E7D">
        <w:rPr>
          <w:rFonts w:ascii="Calibri" w:cs="Calibri"/>
        </w:rPr>
        <w:t xml:space="preserve"> </w:t>
      </w:r>
      <w:r w:rsidRPr="00317E7D">
        <w:rPr>
          <w:rFonts w:ascii="Calibri" w:cs="Calibri"/>
          <w:b/>
          <w:bCs/>
        </w:rPr>
        <w:t>11</w:t>
      </w:r>
      <w:r w:rsidRPr="00317E7D">
        <w:rPr>
          <w:rFonts w:ascii="Calibri" w:cs="Calibri"/>
        </w:rPr>
        <w:t>, S172–S180 (2004).</w:t>
      </w:r>
    </w:p>
    <w:p w14:paraId="498B6C5A" w14:textId="77777777" w:rsidR="00317E7D" w:rsidRPr="00317E7D" w:rsidRDefault="00317E7D" w:rsidP="00317E7D">
      <w:pPr>
        <w:pStyle w:val="Bibliography"/>
        <w:rPr>
          <w:rFonts w:ascii="Calibri" w:cs="Calibri"/>
        </w:rPr>
      </w:pPr>
      <w:r w:rsidRPr="00317E7D">
        <w:rPr>
          <w:rFonts w:ascii="Calibri" w:cs="Calibri"/>
        </w:rPr>
        <w:t>50.</w:t>
      </w:r>
      <w:r w:rsidRPr="00317E7D">
        <w:rPr>
          <w:rFonts w:ascii="Calibri" w:cs="Calibri"/>
        </w:rPr>
        <w:tab/>
        <w:t xml:space="preserve">Martins, I. </w:t>
      </w:r>
      <w:r w:rsidRPr="00317E7D">
        <w:rPr>
          <w:rFonts w:ascii="Calibri" w:cs="Calibri"/>
          <w:i/>
          <w:iCs/>
        </w:rPr>
        <w:t>et al.</w:t>
      </w:r>
      <w:r w:rsidRPr="00317E7D">
        <w:rPr>
          <w:rFonts w:ascii="Calibri" w:cs="Calibri"/>
        </w:rPr>
        <w:t xml:space="preserve"> Chemotherapy induces ATP release from tumor cells. </w:t>
      </w:r>
      <w:r w:rsidRPr="00317E7D">
        <w:rPr>
          <w:rFonts w:ascii="Calibri" w:cs="Calibri"/>
          <w:i/>
          <w:iCs/>
        </w:rPr>
        <w:t>Cell Cycle</w:t>
      </w:r>
      <w:r w:rsidRPr="00317E7D">
        <w:rPr>
          <w:rFonts w:ascii="Calibri" w:cs="Calibri"/>
        </w:rPr>
        <w:t xml:space="preserve"> </w:t>
      </w:r>
      <w:r w:rsidRPr="00317E7D">
        <w:rPr>
          <w:rFonts w:ascii="Calibri" w:cs="Calibri"/>
          <w:b/>
          <w:bCs/>
        </w:rPr>
        <w:t>8</w:t>
      </w:r>
      <w:r w:rsidRPr="00317E7D">
        <w:rPr>
          <w:rFonts w:ascii="Calibri" w:cs="Calibri"/>
        </w:rPr>
        <w:t>, 3723–3728 (2009).</w:t>
      </w:r>
    </w:p>
    <w:p w14:paraId="04C8A053" w14:textId="77777777" w:rsidR="00317E7D" w:rsidRPr="00317E7D" w:rsidRDefault="00317E7D" w:rsidP="00317E7D">
      <w:pPr>
        <w:pStyle w:val="Bibliography"/>
        <w:rPr>
          <w:rFonts w:ascii="Calibri" w:cs="Calibri"/>
        </w:rPr>
      </w:pPr>
      <w:r w:rsidRPr="00317E7D">
        <w:rPr>
          <w:rFonts w:ascii="Calibri" w:cs="Calibri"/>
        </w:rPr>
        <w:t>51.</w:t>
      </w:r>
      <w:r w:rsidRPr="00317E7D">
        <w:rPr>
          <w:rFonts w:ascii="Calibri" w:cs="Calibri"/>
        </w:rPr>
        <w:tab/>
        <w:t xml:space="preserve">Efimova, I. </w:t>
      </w:r>
      <w:r w:rsidRPr="00317E7D">
        <w:rPr>
          <w:rFonts w:ascii="Calibri" w:cs="Calibri"/>
          <w:i/>
          <w:iCs/>
        </w:rPr>
        <w:t>et al.</w:t>
      </w:r>
      <w:r w:rsidRPr="00317E7D">
        <w:rPr>
          <w:rFonts w:ascii="Calibri" w:cs="Calibri"/>
        </w:rPr>
        <w:t xml:space="preserve"> Vaccination with early ferroptotic cancer cells induces efficient antitumor immunity. </w:t>
      </w:r>
      <w:r w:rsidRPr="00317E7D">
        <w:rPr>
          <w:rFonts w:ascii="Calibri" w:cs="Calibri"/>
          <w:i/>
          <w:iCs/>
        </w:rPr>
        <w:t>J Immunother Cancer</w:t>
      </w:r>
      <w:r w:rsidRPr="00317E7D">
        <w:rPr>
          <w:rFonts w:ascii="Calibri" w:cs="Calibri"/>
        </w:rPr>
        <w:t xml:space="preserve"> </w:t>
      </w:r>
      <w:r w:rsidRPr="00317E7D">
        <w:rPr>
          <w:rFonts w:ascii="Calibri" w:cs="Calibri"/>
          <w:b/>
          <w:bCs/>
        </w:rPr>
        <w:t>8</w:t>
      </w:r>
      <w:r w:rsidRPr="00317E7D">
        <w:rPr>
          <w:rFonts w:ascii="Calibri" w:cs="Calibri"/>
        </w:rPr>
        <w:t>, e001369 (2020).</w:t>
      </w:r>
    </w:p>
    <w:p w14:paraId="1FBB4BA6" w14:textId="77777777" w:rsidR="00317E7D" w:rsidRPr="00317E7D" w:rsidRDefault="00317E7D" w:rsidP="00317E7D">
      <w:pPr>
        <w:pStyle w:val="Bibliography"/>
        <w:rPr>
          <w:rFonts w:ascii="Calibri" w:cs="Calibri"/>
        </w:rPr>
      </w:pPr>
      <w:r w:rsidRPr="00317E7D">
        <w:rPr>
          <w:rFonts w:ascii="Calibri" w:cs="Calibri"/>
        </w:rPr>
        <w:t>52.</w:t>
      </w:r>
      <w:r w:rsidRPr="00317E7D">
        <w:rPr>
          <w:rFonts w:ascii="Calibri" w:cs="Calibri"/>
        </w:rPr>
        <w:tab/>
        <w:t xml:space="preserve">Garg, A. D., Krysko, D. V., Vandenabeele, P. &amp; Agostinis, P. Extracellular ATP and P2X7 receptor exert context-specific immunogenic effects after immunogenic cancer cell death. </w:t>
      </w:r>
      <w:r w:rsidRPr="00317E7D">
        <w:rPr>
          <w:rFonts w:ascii="Calibri" w:cs="Calibri"/>
          <w:i/>
          <w:iCs/>
        </w:rPr>
        <w:t>Cell Death Dis</w:t>
      </w:r>
      <w:r w:rsidRPr="00317E7D">
        <w:rPr>
          <w:rFonts w:ascii="Calibri" w:cs="Calibri"/>
        </w:rPr>
        <w:t xml:space="preserve"> </w:t>
      </w:r>
      <w:r w:rsidRPr="00317E7D">
        <w:rPr>
          <w:rFonts w:ascii="Calibri" w:cs="Calibri"/>
          <w:b/>
          <w:bCs/>
        </w:rPr>
        <w:t>7</w:t>
      </w:r>
      <w:r w:rsidRPr="00317E7D">
        <w:rPr>
          <w:rFonts w:ascii="Calibri" w:cs="Calibri"/>
        </w:rPr>
        <w:t>, e2097–e2097 (2016).</w:t>
      </w:r>
    </w:p>
    <w:p w14:paraId="6F51DB52" w14:textId="483D3401" w:rsidR="00317E7D" w:rsidRPr="00317E7D" w:rsidRDefault="00317E7D" w:rsidP="00317E7D">
      <w:pPr>
        <w:pStyle w:val="Bibliography"/>
        <w:rPr>
          <w:rFonts w:ascii="Calibri" w:cs="Calibri"/>
        </w:rPr>
      </w:pPr>
      <w:r w:rsidRPr="00317E7D">
        <w:rPr>
          <w:rFonts w:ascii="Calibri" w:cs="Calibri"/>
        </w:rPr>
        <w:t>53.</w:t>
      </w:r>
      <w:r w:rsidRPr="00317E7D">
        <w:rPr>
          <w:rFonts w:ascii="Calibri" w:cs="Calibri"/>
        </w:rPr>
        <w:tab/>
        <w:t xml:space="preserve">Fucikova, J. </w:t>
      </w:r>
      <w:r w:rsidRPr="00317E7D">
        <w:rPr>
          <w:rFonts w:ascii="Calibri" w:cs="Calibri"/>
          <w:i/>
          <w:iCs/>
        </w:rPr>
        <w:t>et al.</w:t>
      </w:r>
      <w:r w:rsidRPr="00317E7D">
        <w:rPr>
          <w:rFonts w:ascii="Calibri" w:cs="Calibri"/>
        </w:rPr>
        <w:t xml:space="preserve"> </w:t>
      </w:r>
      <w:r w:rsidR="00AD6EF4">
        <w:rPr>
          <w:rFonts w:ascii="Calibri" w:cs="Calibri"/>
        </w:rPr>
        <w:t>CRT</w:t>
      </w:r>
      <w:r w:rsidRPr="00317E7D">
        <w:rPr>
          <w:rFonts w:ascii="Calibri" w:cs="Calibri"/>
        </w:rPr>
        <w:t xml:space="preserve"> Expression in Human Non–Small Cell Lung Cancers Correlates with Increased Accumulation of Antitumor Immune Cells and Favorable Prognosis. </w:t>
      </w:r>
      <w:r w:rsidRPr="00317E7D">
        <w:rPr>
          <w:rFonts w:ascii="Calibri" w:cs="Calibri"/>
          <w:i/>
          <w:iCs/>
        </w:rPr>
        <w:t>Cancer Res</w:t>
      </w:r>
      <w:r w:rsidRPr="00317E7D">
        <w:rPr>
          <w:rFonts w:ascii="Calibri" w:cs="Calibri"/>
        </w:rPr>
        <w:t xml:space="preserve"> </w:t>
      </w:r>
      <w:r w:rsidRPr="00317E7D">
        <w:rPr>
          <w:rFonts w:ascii="Calibri" w:cs="Calibri"/>
          <w:b/>
          <w:bCs/>
        </w:rPr>
        <w:t>76</w:t>
      </w:r>
      <w:r w:rsidRPr="00317E7D">
        <w:rPr>
          <w:rFonts w:ascii="Calibri" w:cs="Calibri"/>
        </w:rPr>
        <w:t>, 1746–1756 (2016).</w:t>
      </w:r>
    </w:p>
    <w:p w14:paraId="3257C596" w14:textId="77777777" w:rsidR="00317E7D" w:rsidRPr="00317E7D" w:rsidRDefault="00317E7D" w:rsidP="00317E7D">
      <w:pPr>
        <w:pStyle w:val="Bibliography"/>
        <w:rPr>
          <w:rFonts w:ascii="Calibri" w:cs="Calibri"/>
        </w:rPr>
      </w:pPr>
      <w:r w:rsidRPr="00317E7D">
        <w:rPr>
          <w:rFonts w:ascii="Calibri" w:cs="Calibri"/>
        </w:rPr>
        <w:t>54.</w:t>
      </w:r>
      <w:r w:rsidRPr="00317E7D">
        <w:rPr>
          <w:rFonts w:ascii="Calibri" w:cs="Calibri"/>
        </w:rPr>
        <w:tab/>
        <w:t xml:space="preserve">Bezu, L. </w:t>
      </w:r>
      <w:r w:rsidRPr="00317E7D">
        <w:rPr>
          <w:rFonts w:ascii="Calibri" w:cs="Calibri"/>
          <w:i/>
          <w:iCs/>
        </w:rPr>
        <w:t>et al.</w:t>
      </w:r>
      <w:r w:rsidRPr="00317E7D">
        <w:rPr>
          <w:rFonts w:ascii="Calibri" w:cs="Calibri"/>
        </w:rPr>
        <w:t xml:space="preserve"> eIF2α phosphorylation is pathognomonic for immunogenic cell death. </w:t>
      </w:r>
      <w:r w:rsidRPr="00317E7D">
        <w:rPr>
          <w:rFonts w:ascii="Calibri" w:cs="Calibri"/>
          <w:i/>
          <w:iCs/>
        </w:rPr>
        <w:t>Cell Death Differ</w:t>
      </w:r>
      <w:r w:rsidRPr="00317E7D">
        <w:rPr>
          <w:rFonts w:ascii="Calibri" w:cs="Calibri"/>
        </w:rPr>
        <w:t xml:space="preserve"> </w:t>
      </w:r>
      <w:r w:rsidRPr="00317E7D">
        <w:rPr>
          <w:rFonts w:ascii="Calibri" w:cs="Calibri"/>
          <w:b/>
          <w:bCs/>
        </w:rPr>
        <w:t>25</w:t>
      </w:r>
      <w:r w:rsidRPr="00317E7D">
        <w:rPr>
          <w:rFonts w:ascii="Calibri" w:cs="Calibri"/>
        </w:rPr>
        <w:t>, 1375–1393 (2018).</w:t>
      </w:r>
    </w:p>
    <w:p w14:paraId="6C43DB70" w14:textId="1202BC43" w:rsidR="00317E7D" w:rsidRPr="00317E7D" w:rsidRDefault="00317E7D" w:rsidP="00317E7D">
      <w:pPr>
        <w:pStyle w:val="Bibliography"/>
        <w:rPr>
          <w:rFonts w:ascii="Calibri" w:cs="Calibri"/>
        </w:rPr>
      </w:pPr>
      <w:r w:rsidRPr="00317E7D">
        <w:rPr>
          <w:rFonts w:ascii="Calibri" w:cs="Calibri"/>
        </w:rPr>
        <w:t>55.</w:t>
      </w:r>
      <w:r w:rsidRPr="00317E7D">
        <w:rPr>
          <w:rFonts w:ascii="Calibri" w:cs="Calibri"/>
        </w:rPr>
        <w:tab/>
        <w:t xml:space="preserve">Panaretakis, T. </w:t>
      </w:r>
      <w:r w:rsidRPr="00317E7D">
        <w:rPr>
          <w:rFonts w:ascii="Calibri" w:cs="Calibri"/>
          <w:i/>
          <w:iCs/>
        </w:rPr>
        <w:t>et al.</w:t>
      </w:r>
      <w:r w:rsidRPr="00317E7D">
        <w:rPr>
          <w:rFonts w:ascii="Calibri" w:cs="Calibri"/>
        </w:rPr>
        <w:t xml:space="preserve"> Mechanisms of pre-apoptotic </w:t>
      </w:r>
      <w:r w:rsidR="00AD6EF4">
        <w:rPr>
          <w:rFonts w:ascii="Calibri" w:cs="Calibri"/>
        </w:rPr>
        <w:t>CRT</w:t>
      </w:r>
      <w:r w:rsidRPr="00317E7D">
        <w:rPr>
          <w:rFonts w:ascii="Calibri" w:cs="Calibri"/>
        </w:rPr>
        <w:t xml:space="preserve"> exposure in immunogenic cell death. </w:t>
      </w:r>
      <w:r w:rsidRPr="00317E7D">
        <w:rPr>
          <w:rFonts w:ascii="Calibri" w:cs="Calibri"/>
          <w:i/>
          <w:iCs/>
        </w:rPr>
        <w:t>EMBO J</w:t>
      </w:r>
      <w:r w:rsidRPr="00317E7D">
        <w:rPr>
          <w:rFonts w:ascii="Calibri" w:cs="Calibri"/>
        </w:rPr>
        <w:t xml:space="preserve"> </w:t>
      </w:r>
      <w:r w:rsidRPr="00317E7D">
        <w:rPr>
          <w:rFonts w:ascii="Calibri" w:cs="Calibri"/>
          <w:b/>
          <w:bCs/>
        </w:rPr>
        <w:t>28</w:t>
      </w:r>
      <w:r w:rsidRPr="00317E7D">
        <w:rPr>
          <w:rFonts w:ascii="Calibri" w:cs="Calibri"/>
        </w:rPr>
        <w:t>, 578–590 (2009).</w:t>
      </w:r>
    </w:p>
    <w:p w14:paraId="024650A0" w14:textId="40266052" w:rsidR="00317E7D" w:rsidRPr="00317E7D" w:rsidRDefault="00317E7D" w:rsidP="00317E7D">
      <w:pPr>
        <w:pStyle w:val="Bibliography"/>
        <w:rPr>
          <w:rFonts w:ascii="Calibri" w:cs="Calibri"/>
        </w:rPr>
      </w:pPr>
      <w:r w:rsidRPr="00317E7D">
        <w:rPr>
          <w:rFonts w:ascii="Calibri" w:cs="Calibri"/>
        </w:rPr>
        <w:t>56.</w:t>
      </w:r>
      <w:r w:rsidRPr="00317E7D">
        <w:rPr>
          <w:rFonts w:ascii="Calibri" w:cs="Calibri"/>
        </w:rPr>
        <w:tab/>
        <w:t xml:space="preserve">Garg, A. D. </w:t>
      </w:r>
      <w:r w:rsidRPr="00317E7D">
        <w:rPr>
          <w:rFonts w:ascii="Calibri" w:cs="Calibri"/>
          <w:i/>
          <w:iCs/>
        </w:rPr>
        <w:t>et al.</w:t>
      </w:r>
      <w:r w:rsidRPr="00317E7D">
        <w:rPr>
          <w:rFonts w:ascii="Calibri" w:cs="Calibri"/>
        </w:rPr>
        <w:t xml:space="preserve"> A novel pathway combining </w:t>
      </w:r>
      <w:r w:rsidR="00AD6EF4">
        <w:rPr>
          <w:rFonts w:ascii="Calibri" w:cs="Calibri"/>
        </w:rPr>
        <w:t>CRT</w:t>
      </w:r>
      <w:r w:rsidRPr="00317E7D">
        <w:rPr>
          <w:rFonts w:ascii="Calibri" w:cs="Calibri"/>
        </w:rPr>
        <w:t xml:space="preserve"> exposure and ATP secretion in immunogenic cancer cell death: CRT, ATP, and immunogenic cancer cell death. </w:t>
      </w:r>
      <w:r w:rsidRPr="00317E7D">
        <w:rPr>
          <w:rFonts w:ascii="Calibri" w:cs="Calibri"/>
          <w:i/>
          <w:iCs/>
        </w:rPr>
        <w:t>The EMBO Journal</w:t>
      </w:r>
      <w:r w:rsidRPr="00317E7D">
        <w:rPr>
          <w:rFonts w:ascii="Calibri" w:cs="Calibri"/>
        </w:rPr>
        <w:t xml:space="preserve"> </w:t>
      </w:r>
      <w:r w:rsidRPr="00317E7D">
        <w:rPr>
          <w:rFonts w:ascii="Calibri" w:cs="Calibri"/>
          <w:b/>
          <w:bCs/>
        </w:rPr>
        <w:t>31</w:t>
      </w:r>
      <w:r w:rsidRPr="00317E7D">
        <w:rPr>
          <w:rFonts w:ascii="Calibri" w:cs="Calibri"/>
        </w:rPr>
        <w:t>, 1062–1079 (2012).</w:t>
      </w:r>
    </w:p>
    <w:p w14:paraId="5E8FC431" w14:textId="77777777" w:rsidR="00317E7D" w:rsidRPr="00317E7D" w:rsidRDefault="00317E7D" w:rsidP="00317E7D">
      <w:pPr>
        <w:pStyle w:val="Bibliography"/>
        <w:rPr>
          <w:rFonts w:ascii="Calibri" w:cs="Calibri"/>
        </w:rPr>
      </w:pPr>
      <w:r w:rsidRPr="00317E7D">
        <w:rPr>
          <w:rFonts w:ascii="Calibri" w:cs="Calibri"/>
        </w:rPr>
        <w:lastRenderedPageBreak/>
        <w:t>57.</w:t>
      </w:r>
      <w:r w:rsidRPr="00317E7D">
        <w:rPr>
          <w:rFonts w:ascii="Calibri" w:cs="Calibri"/>
        </w:rPr>
        <w:tab/>
        <w:t xml:space="preserve">S. Wheeler, D. Extracellular Heat Shock Proteins: Alarmins for the Host Immune System. </w:t>
      </w:r>
      <w:r w:rsidRPr="00317E7D">
        <w:rPr>
          <w:rFonts w:ascii="Calibri" w:cs="Calibri"/>
          <w:i/>
          <w:iCs/>
        </w:rPr>
        <w:t>TOINFJ</w:t>
      </w:r>
      <w:r w:rsidRPr="00317E7D">
        <w:rPr>
          <w:rFonts w:ascii="Calibri" w:cs="Calibri"/>
        </w:rPr>
        <w:t xml:space="preserve"> </w:t>
      </w:r>
      <w:r w:rsidRPr="00317E7D">
        <w:rPr>
          <w:rFonts w:ascii="Calibri" w:cs="Calibri"/>
          <w:b/>
          <w:bCs/>
        </w:rPr>
        <w:t>4</w:t>
      </w:r>
      <w:r w:rsidRPr="00317E7D">
        <w:rPr>
          <w:rFonts w:ascii="Calibri" w:cs="Calibri"/>
        </w:rPr>
        <w:t>, 49–60 (2011).</w:t>
      </w:r>
    </w:p>
    <w:p w14:paraId="4C66833D" w14:textId="77777777" w:rsidR="00317E7D" w:rsidRPr="00317E7D" w:rsidRDefault="00317E7D" w:rsidP="00317E7D">
      <w:pPr>
        <w:pStyle w:val="Bibliography"/>
        <w:rPr>
          <w:rFonts w:ascii="Calibri" w:cs="Calibri"/>
        </w:rPr>
      </w:pPr>
      <w:r w:rsidRPr="00317E7D">
        <w:rPr>
          <w:rFonts w:ascii="Calibri" w:cs="Calibri"/>
        </w:rPr>
        <w:t>58.</w:t>
      </w:r>
      <w:r w:rsidRPr="00317E7D">
        <w:rPr>
          <w:rFonts w:ascii="Calibri" w:cs="Calibri"/>
        </w:rPr>
        <w:tab/>
        <w:t xml:space="preserve">Basu, S., Binder, R. J., Suto, R., Anderson, K. M. &amp; Srivastava, P. K. Necrotic but not apoptotic cell death releases heat shock proteins, which deliver a partial maturation signal to dendritic cells and activate the NF-κB pathway. </w:t>
      </w:r>
      <w:r w:rsidRPr="00317E7D">
        <w:rPr>
          <w:rFonts w:ascii="Calibri" w:cs="Calibri"/>
          <w:i/>
          <w:iCs/>
        </w:rPr>
        <w:t>Int Immunol</w:t>
      </w:r>
      <w:r w:rsidRPr="00317E7D">
        <w:rPr>
          <w:rFonts w:ascii="Calibri" w:cs="Calibri"/>
        </w:rPr>
        <w:t xml:space="preserve"> </w:t>
      </w:r>
      <w:r w:rsidRPr="00317E7D">
        <w:rPr>
          <w:rFonts w:ascii="Calibri" w:cs="Calibri"/>
          <w:b/>
          <w:bCs/>
        </w:rPr>
        <w:t>12</w:t>
      </w:r>
      <w:r w:rsidRPr="00317E7D">
        <w:rPr>
          <w:rFonts w:ascii="Calibri" w:cs="Calibri"/>
        </w:rPr>
        <w:t>, 1539–1546 (2000).</w:t>
      </w:r>
    </w:p>
    <w:p w14:paraId="13C59A2C" w14:textId="77777777" w:rsidR="00317E7D" w:rsidRPr="00317E7D" w:rsidRDefault="00317E7D" w:rsidP="00317E7D">
      <w:pPr>
        <w:pStyle w:val="Bibliography"/>
        <w:rPr>
          <w:rFonts w:ascii="Calibri" w:cs="Calibri"/>
        </w:rPr>
      </w:pPr>
      <w:r w:rsidRPr="00317E7D">
        <w:rPr>
          <w:rFonts w:ascii="Calibri" w:cs="Calibri"/>
        </w:rPr>
        <w:t>59.</w:t>
      </w:r>
      <w:r w:rsidRPr="00317E7D">
        <w:rPr>
          <w:rFonts w:ascii="Calibri" w:cs="Calibri"/>
        </w:rPr>
        <w:tab/>
        <w:t xml:space="preserve">Spisek, R. </w:t>
      </w:r>
      <w:r w:rsidRPr="00317E7D">
        <w:rPr>
          <w:rFonts w:ascii="Calibri" w:cs="Calibri"/>
          <w:i/>
          <w:iCs/>
        </w:rPr>
        <w:t>et al.</w:t>
      </w:r>
      <w:r w:rsidRPr="00317E7D">
        <w:rPr>
          <w:rFonts w:ascii="Calibri" w:cs="Calibri"/>
        </w:rPr>
        <w:t xml:space="preserve"> Bortezomib enhances dendritic cell (DC)–mediated induction of immunity to human myeloma via exposure of cell surface heat shock protein 90 on dying tumor cells: therapeutic implications. </w:t>
      </w:r>
      <w:r w:rsidRPr="00317E7D">
        <w:rPr>
          <w:rFonts w:ascii="Calibri" w:cs="Calibri"/>
          <w:i/>
          <w:iCs/>
        </w:rPr>
        <w:t>Blood</w:t>
      </w:r>
      <w:r w:rsidRPr="00317E7D">
        <w:rPr>
          <w:rFonts w:ascii="Calibri" w:cs="Calibri"/>
        </w:rPr>
        <w:t xml:space="preserve"> </w:t>
      </w:r>
      <w:r w:rsidRPr="00317E7D">
        <w:rPr>
          <w:rFonts w:ascii="Calibri" w:cs="Calibri"/>
          <w:b/>
          <w:bCs/>
        </w:rPr>
        <w:t>109</w:t>
      </w:r>
      <w:r w:rsidRPr="00317E7D">
        <w:rPr>
          <w:rFonts w:ascii="Calibri" w:cs="Calibri"/>
        </w:rPr>
        <w:t>, 4839–4845 (2007).</w:t>
      </w:r>
    </w:p>
    <w:p w14:paraId="1EB849C0" w14:textId="77777777" w:rsidR="00317E7D" w:rsidRPr="00317E7D" w:rsidRDefault="00317E7D" w:rsidP="00317E7D">
      <w:pPr>
        <w:pStyle w:val="Bibliography"/>
        <w:rPr>
          <w:rFonts w:ascii="Calibri" w:cs="Calibri"/>
        </w:rPr>
      </w:pPr>
      <w:r w:rsidRPr="00317E7D">
        <w:rPr>
          <w:rFonts w:ascii="Calibri" w:cs="Calibri"/>
        </w:rPr>
        <w:t>60.</w:t>
      </w:r>
      <w:r w:rsidRPr="00317E7D">
        <w:rPr>
          <w:rFonts w:ascii="Calibri" w:cs="Calibri"/>
        </w:rPr>
        <w:tab/>
        <w:t xml:space="preserve">Brough, D., Pelegrin, P. &amp; Nickel, W. An emerging case for membrane pore formation as a common mechanism for the unconventional secretion of FGF2 and IL-1β. </w:t>
      </w:r>
      <w:r w:rsidRPr="00317E7D">
        <w:rPr>
          <w:rFonts w:ascii="Calibri" w:cs="Calibri"/>
          <w:i/>
          <w:iCs/>
        </w:rPr>
        <w:t>Journal of Cell Science</w:t>
      </w:r>
      <w:r w:rsidRPr="00317E7D">
        <w:rPr>
          <w:rFonts w:ascii="Calibri" w:cs="Calibri"/>
        </w:rPr>
        <w:t xml:space="preserve"> jcs.204206 (2017) doi:10.1242/jcs.204206.</w:t>
      </w:r>
    </w:p>
    <w:p w14:paraId="1EF21455" w14:textId="77777777" w:rsidR="00317E7D" w:rsidRPr="00317E7D" w:rsidRDefault="00317E7D" w:rsidP="00317E7D">
      <w:pPr>
        <w:pStyle w:val="Bibliography"/>
        <w:rPr>
          <w:rFonts w:ascii="Calibri" w:cs="Calibri"/>
        </w:rPr>
      </w:pPr>
      <w:r w:rsidRPr="00317E7D">
        <w:rPr>
          <w:rFonts w:ascii="Calibri" w:cs="Calibri"/>
        </w:rPr>
        <w:t>61.</w:t>
      </w:r>
      <w:r w:rsidRPr="00317E7D">
        <w:rPr>
          <w:rFonts w:ascii="Calibri" w:cs="Calibri"/>
        </w:rPr>
        <w:tab/>
        <w:t xml:space="preserve">Evavold, C. L. </w:t>
      </w:r>
      <w:r w:rsidRPr="00317E7D">
        <w:rPr>
          <w:rFonts w:ascii="Calibri" w:cs="Calibri"/>
          <w:i/>
          <w:iCs/>
        </w:rPr>
        <w:t>et al.</w:t>
      </w:r>
      <w:r w:rsidRPr="00317E7D">
        <w:rPr>
          <w:rFonts w:ascii="Calibri" w:cs="Calibri"/>
        </w:rPr>
        <w:t xml:space="preserve"> The Pore-Forming Protein Gasdermin D Regulates Interleukin-1 Secretion from Living Macrophages. </w:t>
      </w:r>
      <w:r w:rsidRPr="00317E7D">
        <w:rPr>
          <w:rFonts w:ascii="Calibri" w:cs="Calibri"/>
          <w:i/>
          <w:iCs/>
        </w:rPr>
        <w:t>Immunity</w:t>
      </w:r>
      <w:r w:rsidRPr="00317E7D">
        <w:rPr>
          <w:rFonts w:ascii="Calibri" w:cs="Calibri"/>
        </w:rPr>
        <w:t xml:space="preserve"> </w:t>
      </w:r>
      <w:r w:rsidRPr="00317E7D">
        <w:rPr>
          <w:rFonts w:ascii="Calibri" w:cs="Calibri"/>
          <w:b/>
          <w:bCs/>
        </w:rPr>
        <w:t>48</w:t>
      </w:r>
      <w:r w:rsidRPr="00317E7D">
        <w:rPr>
          <w:rFonts w:ascii="Calibri" w:cs="Calibri"/>
        </w:rPr>
        <w:t>, 35-44.e6 (2018).</w:t>
      </w:r>
    </w:p>
    <w:p w14:paraId="4802C297" w14:textId="77777777" w:rsidR="00317E7D" w:rsidRPr="00317E7D" w:rsidRDefault="00317E7D" w:rsidP="00317E7D">
      <w:pPr>
        <w:pStyle w:val="Bibliography"/>
        <w:rPr>
          <w:rFonts w:ascii="Calibri" w:cs="Calibri"/>
        </w:rPr>
      </w:pPr>
      <w:r w:rsidRPr="00317E7D">
        <w:rPr>
          <w:rFonts w:ascii="Calibri" w:cs="Calibri"/>
        </w:rPr>
        <w:t>62.</w:t>
      </w:r>
      <w:r w:rsidRPr="00317E7D">
        <w:rPr>
          <w:rFonts w:ascii="Calibri" w:cs="Calibri"/>
        </w:rPr>
        <w:tab/>
        <w:t xml:space="preserve">Cullen, S. P., Kearney, C. J., Clancy, D. M. &amp; Martin, S. J. Diverse Activators of the NLRP3 Inflammasome Promote IL-1β Secretion by Triggering Necrosis. </w:t>
      </w:r>
      <w:r w:rsidRPr="00317E7D">
        <w:rPr>
          <w:rFonts w:ascii="Calibri" w:cs="Calibri"/>
          <w:i/>
          <w:iCs/>
        </w:rPr>
        <w:t>Cell Reports</w:t>
      </w:r>
      <w:r w:rsidRPr="00317E7D">
        <w:rPr>
          <w:rFonts w:ascii="Calibri" w:cs="Calibri"/>
        </w:rPr>
        <w:t xml:space="preserve"> </w:t>
      </w:r>
      <w:r w:rsidRPr="00317E7D">
        <w:rPr>
          <w:rFonts w:ascii="Calibri" w:cs="Calibri"/>
          <w:b/>
          <w:bCs/>
        </w:rPr>
        <w:t>11</w:t>
      </w:r>
      <w:r w:rsidRPr="00317E7D">
        <w:rPr>
          <w:rFonts w:ascii="Calibri" w:cs="Calibri"/>
        </w:rPr>
        <w:t>, 1535–1548 (2015).</w:t>
      </w:r>
    </w:p>
    <w:p w14:paraId="2CF00029" w14:textId="77777777" w:rsidR="00317E7D" w:rsidRPr="00317E7D" w:rsidRDefault="00317E7D" w:rsidP="00317E7D">
      <w:pPr>
        <w:pStyle w:val="Bibliography"/>
        <w:rPr>
          <w:rFonts w:ascii="Calibri" w:cs="Calibri"/>
        </w:rPr>
      </w:pPr>
      <w:r w:rsidRPr="00317E7D">
        <w:rPr>
          <w:rFonts w:ascii="Calibri" w:cs="Calibri"/>
        </w:rPr>
        <w:t>63.</w:t>
      </w:r>
      <w:r w:rsidRPr="00317E7D">
        <w:rPr>
          <w:rFonts w:ascii="Calibri" w:cs="Calibri"/>
        </w:rPr>
        <w:tab/>
        <w:t xml:space="preserve">Martin, S. J. Cell death and inflammation: the case for IL-1 family cytokines as the canonical DAMPs of the immune system. </w:t>
      </w:r>
      <w:r w:rsidRPr="00317E7D">
        <w:rPr>
          <w:rFonts w:ascii="Calibri" w:cs="Calibri"/>
          <w:i/>
          <w:iCs/>
        </w:rPr>
        <w:t>FEBS J</w:t>
      </w:r>
      <w:r w:rsidRPr="00317E7D">
        <w:rPr>
          <w:rFonts w:ascii="Calibri" w:cs="Calibri"/>
        </w:rPr>
        <w:t xml:space="preserve"> </w:t>
      </w:r>
      <w:r w:rsidRPr="00317E7D">
        <w:rPr>
          <w:rFonts w:ascii="Calibri" w:cs="Calibri"/>
          <w:b/>
          <w:bCs/>
        </w:rPr>
        <w:t>283</w:t>
      </w:r>
      <w:r w:rsidRPr="00317E7D">
        <w:rPr>
          <w:rFonts w:ascii="Calibri" w:cs="Calibri"/>
        </w:rPr>
        <w:t>, 2599–2615 (2016).</w:t>
      </w:r>
    </w:p>
    <w:p w14:paraId="0E42EE8D" w14:textId="77777777" w:rsidR="00317E7D" w:rsidRPr="00317E7D" w:rsidRDefault="00317E7D" w:rsidP="00317E7D">
      <w:pPr>
        <w:pStyle w:val="Bibliography"/>
        <w:rPr>
          <w:rFonts w:ascii="Calibri" w:cs="Calibri"/>
        </w:rPr>
      </w:pPr>
      <w:r w:rsidRPr="00317E7D">
        <w:rPr>
          <w:rFonts w:ascii="Calibri" w:cs="Calibri"/>
        </w:rPr>
        <w:t>64.</w:t>
      </w:r>
      <w:r w:rsidRPr="00317E7D">
        <w:rPr>
          <w:rFonts w:ascii="Calibri" w:cs="Calibri"/>
        </w:rPr>
        <w:tab/>
        <w:t xml:space="preserve">Sasaki, E. </w:t>
      </w:r>
      <w:r w:rsidRPr="00317E7D">
        <w:rPr>
          <w:rFonts w:ascii="Calibri" w:cs="Calibri"/>
          <w:i/>
          <w:iCs/>
        </w:rPr>
        <w:t>et al.</w:t>
      </w:r>
      <w:r w:rsidRPr="00317E7D">
        <w:rPr>
          <w:rFonts w:ascii="Calibri" w:cs="Calibri"/>
        </w:rPr>
        <w:t xml:space="preserve"> Nasal alum-adjuvanted vaccine promotes IL-33 release from alveolar epithelial cells that elicits IgA production via type 2 immune responses. </w:t>
      </w:r>
      <w:r w:rsidRPr="00317E7D">
        <w:rPr>
          <w:rFonts w:ascii="Calibri" w:cs="Calibri"/>
          <w:i/>
          <w:iCs/>
        </w:rPr>
        <w:t>PLoS Pathog</w:t>
      </w:r>
      <w:r w:rsidRPr="00317E7D">
        <w:rPr>
          <w:rFonts w:ascii="Calibri" w:cs="Calibri"/>
        </w:rPr>
        <w:t xml:space="preserve"> </w:t>
      </w:r>
      <w:r w:rsidRPr="00317E7D">
        <w:rPr>
          <w:rFonts w:ascii="Calibri" w:cs="Calibri"/>
          <w:b/>
          <w:bCs/>
        </w:rPr>
        <w:t>17</w:t>
      </w:r>
      <w:r w:rsidRPr="00317E7D">
        <w:rPr>
          <w:rFonts w:ascii="Calibri" w:cs="Calibri"/>
        </w:rPr>
        <w:t>, e1009890 (2021).</w:t>
      </w:r>
    </w:p>
    <w:p w14:paraId="38C65FE7" w14:textId="77777777" w:rsidR="00317E7D" w:rsidRPr="00317E7D" w:rsidRDefault="00317E7D" w:rsidP="00317E7D">
      <w:pPr>
        <w:pStyle w:val="Bibliography"/>
        <w:rPr>
          <w:rFonts w:ascii="Calibri" w:cs="Calibri"/>
        </w:rPr>
      </w:pPr>
      <w:r w:rsidRPr="00317E7D">
        <w:rPr>
          <w:rFonts w:ascii="Calibri" w:cs="Calibri"/>
        </w:rPr>
        <w:lastRenderedPageBreak/>
        <w:t>65.</w:t>
      </w:r>
      <w:r w:rsidRPr="00317E7D">
        <w:rPr>
          <w:rFonts w:ascii="Calibri" w:cs="Calibri"/>
        </w:rPr>
        <w:tab/>
        <w:t xml:space="preserve">Yatim, N., Cullen, S. &amp; Albert, M. L. Dying cells actively regulate adaptive immune responses. </w:t>
      </w:r>
      <w:r w:rsidRPr="00317E7D">
        <w:rPr>
          <w:rFonts w:ascii="Calibri" w:cs="Calibri"/>
          <w:i/>
          <w:iCs/>
        </w:rPr>
        <w:t>Nat Rev Immunol</w:t>
      </w:r>
      <w:r w:rsidRPr="00317E7D">
        <w:rPr>
          <w:rFonts w:ascii="Calibri" w:cs="Calibri"/>
        </w:rPr>
        <w:t xml:space="preserve"> </w:t>
      </w:r>
      <w:r w:rsidRPr="00317E7D">
        <w:rPr>
          <w:rFonts w:ascii="Calibri" w:cs="Calibri"/>
          <w:b/>
          <w:bCs/>
        </w:rPr>
        <w:t>17</w:t>
      </w:r>
      <w:r w:rsidRPr="00317E7D">
        <w:rPr>
          <w:rFonts w:ascii="Calibri" w:cs="Calibri"/>
        </w:rPr>
        <w:t>, 262–275 (2017).</w:t>
      </w:r>
    </w:p>
    <w:p w14:paraId="2D5A021A" w14:textId="77777777" w:rsidR="00317E7D" w:rsidRPr="00317E7D" w:rsidRDefault="00317E7D" w:rsidP="00317E7D">
      <w:pPr>
        <w:pStyle w:val="Bibliography"/>
        <w:rPr>
          <w:rFonts w:ascii="Calibri" w:cs="Calibri"/>
        </w:rPr>
      </w:pPr>
      <w:r w:rsidRPr="00317E7D">
        <w:rPr>
          <w:rFonts w:ascii="Calibri" w:cs="Calibri"/>
        </w:rPr>
        <w:t>66.</w:t>
      </w:r>
      <w:r w:rsidRPr="00317E7D">
        <w:rPr>
          <w:rFonts w:ascii="Calibri" w:cs="Calibri"/>
        </w:rPr>
        <w:tab/>
        <w:t xml:space="preserve">Martin, S. J., Frezza, V., Davidovich, P., Najda, Z. &amp; Clancy, D. M. IL-1 family cytokines serve as ‘activity recognition receptors’ for aberrant protease activity indicative of danger. </w:t>
      </w:r>
      <w:r w:rsidRPr="00317E7D">
        <w:rPr>
          <w:rFonts w:ascii="Calibri" w:cs="Calibri"/>
          <w:i/>
          <w:iCs/>
        </w:rPr>
        <w:t>Cytokine</w:t>
      </w:r>
      <w:r w:rsidRPr="00317E7D">
        <w:rPr>
          <w:rFonts w:ascii="Calibri" w:cs="Calibri"/>
        </w:rPr>
        <w:t xml:space="preserve"> </w:t>
      </w:r>
      <w:r w:rsidRPr="00317E7D">
        <w:rPr>
          <w:rFonts w:ascii="Calibri" w:cs="Calibri"/>
          <w:b/>
          <w:bCs/>
        </w:rPr>
        <w:t>157</w:t>
      </w:r>
      <w:r w:rsidRPr="00317E7D">
        <w:rPr>
          <w:rFonts w:ascii="Calibri" w:cs="Calibri"/>
        </w:rPr>
        <w:t>, 155935 (2022).</w:t>
      </w:r>
    </w:p>
    <w:p w14:paraId="710F6979" w14:textId="77777777" w:rsidR="00317E7D" w:rsidRPr="00317E7D" w:rsidRDefault="00317E7D" w:rsidP="00317E7D">
      <w:pPr>
        <w:pStyle w:val="Bibliography"/>
        <w:rPr>
          <w:rFonts w:ascii="Calibri" w:cs="Calibri"/>
        </w:rPr>
      </w:pPr>
      <w:r w:rsidRPr="00317E7D">
        <w:rPr>
          <w:rFonts w:ascii="Calibri" w:cs="Calibri"/>
        </w:rPr>
        <w:t>67.</w:t>
      </w:r>
      <w:r w:rsidRPr="00317E7D">
        <w:rPr>
          <w:rFonts w:ascii="Calibri" w:cs="Calibri"/>
        </w:rPr>
        <w:tab/>
        <w:t xml:space="preserve">Chen, C.-J. </w:t>
      </w:r>
      <w:r w:rsidRPr="00317E7D">
        <w:rPr>
          <w:rFonts w:ascii="Calibri" w:cs="Calibri"/>
          <w:i/>
          <w:iCs/>
        </w:rPr>
        <w:t>et al.</w:t>
      </w:r>
      <w:r w:rsidRPr="00317E7D">
        <w:rPr>
          <w:rFonts w:ascii="Calibri" w:cs="Calibri"/>
        </w:rPr>
        <w:t xml:space="preserve"> Identification of a key pathway required for the sterile inflammatory response triggered by dying cells. </w:t>
      </w:r>
      <w:r w:rsidRPr="00317E7D">
        <w:rPr>
          <w:rFonts w:ascii="Calibri" w:cs="Calibri"/>
          <w:i/>
          <w:iCs/>
        </w:rPr>
        <w:t>Nat Med</w:t>
      </w:r>
      <w:r w:rsidRPr="00317E7D">
        <w:rPr>
          <w:rFonts w:ascii="Calibri" w:cs="Calibri"/>
        </w:rPr>
        <w:t xml:space="preserve"> </w:t>
      </w:r>
      <w:r w:rsidRPr="00317E7D">
        <w:rPr>
          <w:rFonts w:ascii="Calibri" w:cs="Calibri"/>
          <w:b/>
          <w:bCs/>
        </w:rPr>
        <w:t>13</w:t>
      </w:r>
      <w:r w:rsidRPr="00317E7D">
        <w:rPr>
          <w:rFonts w:ascii="Calibri" w:cs="Calibri"/>
        </w:rPr>
        <w:t>, 851–856 (2007).</w:t>
      </w:r>
    </w:p>
    <w:p w14:paraId="774E327A" w14:textId="77777777" w:rsidR="00317E7D" w:rsidRPr="00317E7D" w:rsidRDefault="00317E7D" w:rsidP="00317E7D">
      <w:pPr>
        <w:pStyle w:val="Bibliography"/>
        <w:rPr>
          <w:rFonts w:ascii="Calibri" w:cs="Calibri"/>
        </w:rPr>
      </w:pPr>
      <w:r w:rsidRPr="00317E7D">
        <w:rPr>
          <w:rFonts w:ascii="Calibri" w:cs="Calibri"/>
        </w:rPr>
        <w:t>68.</w:t>
      </w:r>
      <w:r w:rsidRPr="00317E7D">
        <w:rPr>
          <w:rFonts w:ascii="Calibri" w:cs="Calibri"/>
        </w:rPr>
        <w:tab/>
        <w:t xml:space="preserve">Gu, H. </w:t>
      </w:r>
      <w:r w:rsidRPr="00317E7D">
        <w:rPr>
          <w:rFonts w:ascii="Calibri" w:cs="Calibri"/>
          <w:i/>
          <w:iCs/>
        </w:rPr>
        <w:t>et al.</w:t>
      </w:r>
      <w:r w:rsidRPr="00317E7D">
        <w:rPr>
          <w:rFonts w:ascii="Calibri" w:cs="Calibri"/>
        </w:rPr>
        <w:t xml:space="preserve"> High-mobility group box 1 protein contributes to the immunogenicity of rTcdB-treated CT26 cells. </w:t>
      </w:r>
      <w:r w:rsidRPr="00317E7D">
        <w:rPr>
          <w:rFonts w:ascii="Calibri" w:cs="Calibri"/>
          <w:i/>
          <w:iCs/>
        </w:rPr>
        <w:t>Acta Biochimica et Biophysica Sinica</w:t>
      </w:r>
      <w:r w:rsidRPr="00317E7D">
        <w:rPr>
          <w:rFonts w:ascii="Calibri" w:cs="Calibri"/>
        </w:rPr>
        <w:t xml:space="preserve"> </w:t>
      </w:r>
      <w:r w:rsidRPr="00317E7D">
        <w:rPr>
          <w:rFonts w:ascii="Calibri" w:cs="Calibri"/>
          <w:b/>
          <w:bCs/>
        </w:rPr>
        <w:t>50</w:t>
      </w:r>
      <w:r w:rsidRPr="00317E7D">
        <w:rPr>
          <w:rFonts w:ascii="Calibri" w:cs="Calibri"/>
        </w:rPr>
        <w:t>, 921–928 (2018).</w:t>
      </w:r>
    </w:p>
    <w:p w14:paraId="0DF36557" w14:textId="77777777" w:rsidR="00317E7D" w:rsidRPr="00317E7D" w:rsidRDefault="00317E7D" w:rsidP="00317E7D">
      <w:pPr>
        <w:pStyle w:val="Bibliography"/>
        <w:rPr>
          <w:rFonts w:ascii="Calibri" w:cs="Calibri"/>
        </w:rPr>
      </w:pPr>
      <w:r w:rsidRPr="00317E7D">
        <w:rPr>
          <w:rFonts w:ascii="Calibri" w:cs="Calibri"/>
        </w:rPr>
        <w:t>69.</w:t>
      </w:r>
      <w:r w:rsidRPr="00317E7D">
        <w:rPr>
          <w:rFonts w:ascii="Calibri" w:cs="Calibri"/>
        </w:rPr>
        <w:tab/>
        <w:t xml:space="preserve">Zhang, W. </w:t>
      </w:r>
      <w:r w:rsidRPr="00317E7D">
        <w:rPr>
          <w:rFonts w:ascii="Calibri" w:cs="Calibri"/>
          <w:i/>
          <w:iCs/>
        </w:rPr>
        <w:t>et al.</w:t>
      </w:r>
      <w:r w:rsidRPr="00317E7D">
        <w:rPr>
          <w:rFonts w:ascii="Calibri" w:cs="Calibri"/>
        </w:rPr>
        <w:t xml:space="preserve"> Necrotic Myocardial Cells Release Damage‐Associated Molecular Patterns That Provoke Fibroblast Activation In Vitro and Trigger Myocardial Inflammation and Fibrosis In Vivo. </w:t>
      </w:r>
      <w:r w:rsidRPr="00317E7D">
        <w:rPr>
          <w:rFonts w:ascii="Calibri" w:cs="Calibri"/>
          <w:i/>
          <w:iCs/>
        </w:rPr>
        <w:t>JAHA</w:t>
      </w:r>
      <w:r w:rsidRPr="00317E7D">
        <w:rPr>
          <w:rFonts w:ascii="Calibri" w:cs="Calibri"/>
        </w:rPr>
        <w:t xml:space="preserve"> </w:t>
      </w:r>
      <w:r w:rsidRPr="00317E7D">
        <w:rPr>
          <w:rFonts w:ascii="Calibri" w:cs="Calibri"/>
          <w:b/>
          <w:bCs/>
        </w:rPr>
        <w:t>4</w:t>
      </w:r>
      <w:r w:rsidRPr="00317E7D">
        <w:rPr>
          <w:rFonts w:ascii="Calibri" w:cs="Calibri"/>
        </w:rPr>
        <w:t>, (2015).</w:t>
      </w:r>
    </w:p>
    <w:p w14:paraId="4D836730" w14:textId="77777777" w:rsidR="00317E7D" w:rsidRPr="00317E7D" w:rsidRDefault="00317E7D" w:rsidP="00317E7D">
      <w:pPr>
        <w:pStyle w:val="Bibliography"/>
        <w:rPr>
          <w:rFonts w:ascii="Calibri" w:cs="Calibri"/>
        </w:rPr>
      </w:pPr>
      <w:r w:rsidRPr="00317E7D">
        <w:rPr>
          <w:rFonts w:ascii="Calibri" w:cs="Calibri"/>
        </w:rPr>
        <w:t>70.</w:t>
      </w:r>
      <w:r w:rsidRPr="00317E7D">
        <w:rPr>
          <w:rFonts w:ascii="Calibri" w:cs="Calibri"/>
        </w:rPr>
        <w:tab/>
        <w:t xml:space="preserve">Zhang, Q. </w:t>
      </w:r>
      <w:r w:rsidRPr="00317E7D">
        <w:rPr>
          <w:rFonts w:ascii="Calibri" w:cs="Calibri"/>
          <w:i/>
          <w:iCs/>
        </w:rPr>
        <w:t>et al.</w:t>
      </w:r>
      <w:r w:rsidRPr="00317E7D">
        <w:rPr>
          <w:rFonts w:ascii="Calibri" w:cs="Calibri"/>
        </w:rPr>
        <w:t xml:space="preserve"> Circulating mitochondrial DAMPs cause inflammatory responses to injury. </w:t>
      </w:r>
      <w:r w:rsidRPr="00317E7D">
        <w:rPr>
          <w:rFonts w:ascii="Calibri" w:cs="Calibri"/>
          <w:i/>
          <w:iCs/>
        </w:rPr>
        <w:t>Nature</w:t>
      </w:r>
      <w:r w:rsidRPr="00317E7D">
        <w:rPr>
          <w:rFonts w:ascii="Calibri" w:cs="Calibri"/>
        </w:rPr>
        <w:t xml:space="preserve"> </w:t>
      </w:r>
      <w:r w:rsidRPr="00317E7D">
        <w:rPr>
          <w:rFonts w:ascii="Calibri" w:cs="Calibri"/>
          <w:b/>
          <w:bCs/>
        </w:rPr>
        <w:t>464</w:t>
      </w:r>
      <w:r w:rsidRPr="00317E7D">
        <w:rPr>
          <w:rFonts w:ascii="Calibri" w:cs="Calibri"/>
        </w:rPr>
        <w:t>, 104–107 (2010).</w:t>
      </w:r>
    </w:p>
    <w:p w14:paraId="451A7933" w14:textId="77777777" w:rsidR="00317E7D" w:rsidRPr="00317E7D" w:rsidRDefault="00317E7D" w:rsidP="00317E7D">
      <w:pPr>
        <w:pStyle w:val="Bibliography"/>
        <w:rPr>
          <w:rFonts w:ascii="Calibri" w:cs="Calibri"/>
        </w:rPr>
      </w:pPr>
      <w:r w:rsidRPr="00317E7D">
        <w:rPr>
          <w:rFonts w:ascii="Calibri" w:cs="Calibri"/>
        </w:rPr>
        <w:t>71.</w:t>
      </w:r>
      <w:r w:rsidRPr="00317E7D">
        <w:rPr>
          <w:rFonts w:ascii="Calibri" w:cs="Calibri"/>
        </w:rPr>
        <w:tab/>
        <w:t xml:space="preserve">Vono, M. </w:t>
      </w:r>
      <w:r w:rsidRPr="00317E7D">
        <w:rPr>
          <w:rFonts w:ascii="Calibri" w:cs="Calibri"/>
          <w:i/>
          <w:iCs/>
        </w:rPr>
        <w:t>et al.</w:t>
      </w:r>
      <w:r w:rsidRPr="00317E7D">
        <w:rPr>
          <w:rFonts w:ascii="Calibri" w:cs="Calibri"/>
        </w:rPr>
        <w:t xml:space="preserve"> The adjuvant MF59 induces ATP release from muscle that potentiates response to vaccination. </w:t>
      </w:r>
      <w:r w:rsidRPr="00317E7D">
        <w:rPr>
          <w:rFonts w:ascii="Calibri" w:cs="Calibri"/>
          <w:i/>
          <w:iCs/>
        </w:rPr>
        <w:t>PNAS</w:t>
      </w:r>
      <w:r w:rsidRPr="00317E7D">
        <w:rPr>
          <w:rFonts w:ascii="Calibri" w:cs="Calibri"/>
        </w:rPr>
        <w:t xml:space="preserve"> </w:t>
      </w:r>
      <w:r w:rsidRPr="00317E7D">
        <w:rPr>
          <w:rFonts w:ascii="Calibri" w:cs="Calibri"/>
          <w:b/>
          <w:bCs/>
        </w:rPr>
        <w:t>110</w:t>
      </w:r>
      <w:r w:rsidRPr="00317E7D">
        <w:rPr>
          <w:rFonts w:ascii="Calibri" w:cs="Calibri"/>
        </w:rPr>
        <w:t>, 21095–21100 (2013).</w:t>
      </w:r>
    </w:p>
    <w:p w14:paraId="23A86E6C" w14:textId="77777777" w:rsidR="00317E7D" w:rsidRPr="00317E7D" w:rsidRDefault="00317E7D" w:rsidP="00317E7D">
      <w:pPr>
        <w:pStyle w:val="Bibliography"/>
        <w:rPr>
          <w:rFonts w:ascii="Calibri" w:cs="Calibri"/>
        </w:rPr>
      </w:pPr>
      <w:r w:rsidRPr="00317E7D">
        <w:rPr>
          <w:rFonts w:ascii="Calibri" w:cs="Calibri"/>
        </w:rPr>
        <w:t>72.</w:t>
      </w:r>
      <w:r w:rsidRPr="00317E7D">
        <w:rPr>
          <w:rFonts w:ascii="Calibri" w:cs="Calibri"/>
        </w:rPr>
        <w:tab/>
        <w:t xml:space="preserve">Zhang, Y. </w:t>
      </w:r>
      <w:r w:rsidRPr="00317E7D">
        <w:rPr>
          <w:rFonts w:ascii="Calibri" w:cs="Calibri"/>
          <w:i/>
          <w:iCs/>
        </w:rPr>
        <w:t>et al.</w:t>
      </w:r>
      <w:r w:rsidRPr="00317E7D">
        <w:rPr>
          <w:rFonts w:ascii="Calibri" w:cs="Calibri"/>
        </w:rPr>
        <w:t xml:space="preserve"> Temperature-dependent cell death patterns induced by functionalized gold nanoparticle photothermal therapy in melanoma cells. </w:t>
      </w:r>
      <w:r w:rsidRPr="00317E7D">
        <w:rPr>
          <w:rFonts w:ascii="Calibri" w:cs="Calibri"/>
          <w:i/>
          <w:iCs/>
        </w:rPr>
        <w:t>Sci Rep</w:t>
      </w:r>
      <w:r w:rsidRPr="00317E7D">
        <w:rPr>
          <w:rFonts w:ascii="Calibri" w:cs="Calibri"/>
        </w:rPr>
        <w:t xml:space="preserve"> </w:t>
      </w:r>
      <w:r w:rsidRPr="00317E7D">
        <w:rPr>
          <w:rFonts w:ascii="Calibri" w:cs="Calibri"/>
          <w:b/>
          <w:bCs/>
        </w:rPr>
        <w:t>8</w:t>
      </w:r>
      <w:r w:rsidRPr="00317E7D">
        <w:rPr>
          <w:rFonts w:ascii="Calibri" w:cs="Calibri"/>
        </w:rPr>
        <w:t>, 8720 (2018).</w:t>
      </w:r>
    </w:p>
    <w:p w14:paraId="0FA0F75C" w14:textId="77777777" w:rsidR="00317E7D" w:rsidRPr="00317E7D" w:rsidRDefault="00317E7D" w:rsidP="00317E7D">
      <w:pPr>
        <w:pStyle w:val="Bibliography"/>
        <w:rPr>
          <w:rFonts w:ascii="Calibri" w:cs="Calibri"/>
        </w:rPr>
      </w:pPr>
      <w:r w:rsidRPr="00317E7D">
        <w:rPr>
          <w:rFonts w:ascii="Calibri" w:cs="Calibri"/>
        </w:rPr>
        <w:t>73.</w:t>
      </w:r>
      <w:r w:rsidRPr="00317E7D">
        <w:rPr>
          <w:rFonts w:ascii="Calibri" w:cs="Calibri"/>
        </w:rPr>
        <w:tab/>
        <w:t xml:space="preserve">Oresta, B. </w:t>
      </w:r>
      <w:r w:rsidRPr="00317E7D">
        <w:rPr>
          <w:rFonts w:ascii="Calibri" w:cs="Calibri"/>
          <w:i/>
          <w:iCs/>
        </w:rPr>
        <w:t>et al.</w:t>
      </w:r>
      <w:r w:rsidRPr="00317E7D">
        <w:rPr>
          <w:rFonts w:ascii="Calibri" w:cs="Calibri"/>
        </w:rPr>
        <w:t xml:space="preserve"> Mitochondrial metabolic reprogramming controls the induction of immunogenic cell death and efficacy of chemotherapy in bladder cancer. </w:t>
      </w:r>
      <w:r w:rsidRPr="00317E7D">
        <w:rPr>
          <w:rFonts w:ascii="Calibri" w:cs="Calibri"/>
          <w:i/>
          <w:iCs/>
        </w:rPr>
        <w:t>Sci. Transl. Med.</w:t>
      </w:r>
      <w:r w:rsidRPr="00317E7D">
        <w:rPr>
          <w:rFonts w:ascii="Calibri" w:cs="Calibri"/>
        </w:rPr>
        <w:t xml:space="preserve"> </w:t>
      </w:r>
      <w:r w:rsidRPr="00317E7D">
        <w:rPr>
          <w:rFonts w:ascii="Calibri" w:cs="Calibri"/>
          <w:b/>
          <w:bCs/>
        </w:rPr>
        <w:t>13</w:t>
      </w:r>
      <w:r w:rsidRPr="00317E7D">
        <w:rPr>
          <w:rFonts w:ascii="Calibri" w:cs="Calibri"/>
        </w:rPr>
        <w:t>, eaba6110 (2021).</w:t>
      </w:r>
    </w:p>
    <w:p w14:paraId="2D3E3AE5" w14:textId="77777777" w:rsidR="00317E7D" w:rsidRPr="00317E7D" w:rsidRDefault="00317E7D" w:rsidP="00317E7D">
      <w:pPr>
        <w:pStyle w:val="Bibliography"/>
        <w:rPr>
          <w:rFonts w:ascii="Calibri" w:cs="Calibri"/>
        </w:rPr>
      </w:pPr>
      <w:r w:rsidRPr="00317E7D">
        <w:rPr>
          <w:rFonts w:ascii="Calibri" w:cs="Calibri"/>
        </w:rPr>
        <w:lastRenderedPageBreak/>
        <w:t>74.</w:t>
      </w:r>
      <w:r w:rsidRPr="00317E7D">
        <w:rPr>
          <w:rFonts w:ascii="Calibri" w:cs="Calibri"/>
        </w:rPr>
        <w:tab/>
        <w:t xml:space="preserve">Li, C. </w:t>
      </w:r>
      <w:r w:rsidRPr="00317E7D">
        <w:rPr>
          <w:rFonts w:ascii="Calibri" w:cs="Calibri"/>
          <w:i/>
          <w:iCs/>
        </w:rPr>
        <w:t>et al.</w:t>
      </w:r>
      <w:r w:rsidRPr="00317E7D">
        <w:rPr>
          <w:rFonts w:ascii="Calibri" w:cs="Calibri"/>
        </w:rPr>
        <w:t xml:space="preserve"> Mitoxantrone triggers immunogenic prostate cancer cell death via p53-dependent PERK expression. </w:t>
      </w:r>
      <w:r w:rsidRPr="00317E7D">
        <w:rPr>
          <w:rFonts w:ascii="Calibri" w:cs="Calibri"/>
          <w:i/>
          <w:iCs/>
        </w:rPr>
        <w:t>Cell Oncol.</w:t>
      </w:r>
      <w:r w:rsidRPr="00317E7D">
        <w:rPr>
          <w:rFonts w:ascii="Calibri" w:cs="Calibri"/>
        </w:rPr>
        <w:t xml:space="preserve"> </w:t>
      </w:r>
      <w:r w:rsidRPr="00317E7D">
        <w:rPr>
          <w:rFonts w:ascii="Calibri" w:cs="Calibri"/>
          <w:b/>
          <w:bCs/>
        </w:rPr>
        <w:t>43</w:t>
      </w:r>
      <w:r w:rsidRPr="00317E7D">
        <w:rPr>
          <w:rFonts w:ascii="Calibri" w:cs="Calibri"/>
        </w:rPr>
        <w:t>, 1099–1116 (2020).</w:t>
      </w:r>
    </w:p>
    <w:p w14:paraId="47663F0E" w14:textId="77777777" w:rsidR="00317E7D" w:rsidRPr="00317E7D" w:rsidRDefault="00317E7D" w:rsidP="00317E7D">
      <w:pPr>
        <w:pStyle w:val="Bibliography"/>
        <w:rPr>
          <w:rFonts w:ascii="Calibri" w:cs="Calibri"/>
        </w:rPr>
      </w:pPr>
      <w:r w:rsidRPr="00317E7D">
        <w:rPr>
          <w:rFonts w:ascii="Calibri" w:cs="Calibri"/>
        </w:rPr>
        <w:t>75.</w:t>
      </w:r>
      <w:r w:rsidRPr="00317E7D">
        <w:rPr>
          <w:rFonts w:ascii="Calibri" w:cs="Calibri"/>
        </w:rPr>
        <w:tab/>
        <w:t xml:space="preserve">Sriram, G. </w:t>
      </w:r>
      <w:r w:rsidRPr="00317E7D">
        <w:rPr>
          <w:rFonts w:ascii="Calibri" w:cs="Calibri"/>
          <w:i/>
          <w:iCs/>
        </w:rPr>
        <w:t>et al.</w:t>
      </w:r>
      <w:r w:rsidRPr="00317E7D">
        <w:rPr>
          <w:rFonts w:ascii="Calibri" w:cs="Calibri"/>
        </w:rPr>
        <w:t xml:space="preserve"> </w:t>
      </w:r>
      <w:r w:rsidRPr="00317E7D">
        <w:rPr>
          <w:rFonts w:ascii="Calibri" w:cs="Calibri"/>
          <w:i/>
          <w:iCs/>
        </w:rPr>
        <w:t>The Injury Response to DNA Damage Promotes Anti-Tumor Immunity</w:t>
      </w:r>
      <w:r w:rsidRPr="00317E7D">
        <w:rPr>
          <w:rFonts w:ascii="Calibri" w:cs="Calibri"/>
        </w:rPr>
        <w:t>. http://biorxiv.org/lookup/doi/10.1101/2020.04.26.062216 (2020) doi:10.1101/2020.04.26.062216.</w:t>
      </w:r>
    </w:p>
    <w:p w14:paraId="388DCA16" w14:textId="77777777" w:rsidR="00317E7D" w:rsidRPr="00317E7D" w:rsidRDefault="00317E7D" w:rsidP="00317E7D">
      <w:pPr>
        <w:pStyle w:val="Bibliography"/>
        <w:rPr>
          <w:rFonts w:ascii="Calibri" w:cs="Calibri"/>
        </w:rPr>
      </w:pPr>
      <w:r w:rsidRPr="00317E7D">
        <w:rPr>
          <w:rFonts w:ascii="Calibri" w:cs="Calibri"/>
        </w:rPr>
        <w:t>76.</w:t>
      </w:r>
      <w:r w:rsidRPr="00317E7D">
        <w:rPr>
          <w:rFonts w:ascii="Calibri" w:cs="Calibri"/>
        </w:rPr>
        <w:tab/>
        <w:t xml:space="preserve">Wei, W. </w:t>
      </w:r>
      <w:r w:rsidRPr="00317E7D">
        <w:rPr>
          <w:rFonts w:ascii="Calibri" w:cs="Calibri"/>
          <w:i/>
          <w:iCs/>
        </w:rPr>
        <w:t>et al.</w:t>
      </w:r>
      <w:r w:rsidRPr="00317E7D">
        <w:rPr>
          <w:rFonts w:ascii="Calibri" w:cs="Calibri"/>
        </w:rPr>
        <w:t xml:space="preserve"> Proteasome inhibitors attenuates mitoxantrone-triggered immunogenic cell death in prostate cancer cells. </w:t>
      </w:r>
      <w:r w:rsidRPr="00317E7D">
        <w:rPr>
          <w:rFonts w:ascii="Calibri" w:cs="Calibri"/>
          <w:i/>
          <w:iCs/>
        </w:rPr>
        <w:t>Med Oncol</w:t>
      </w:r>
      <w:r w:rsidRPr="00317E7D">
        <w:rPr>
          <w:rFonts w:ascii="Calibri" w:cs="Calibri"/>
        </w:rPr>
        <w:t xml:space="preserve"> </w:t>
      </w:r>
      <w:r w:rsidRPr="00317E7D">
        <w:rPr>
          <w:rFonts w:ascii="Calibri" w:cs="Calibri"/>
          <w:b/>
          <w:bCs/>
        </w:rPr>
        <w:t>37</w:t>
      </w:r>
      <w:r w:rsidRPr="00317E7D">
        <w:rPr>
          <w:rFonts w:ascii="Calibri" w:cs="Calibri"/>
        </w:rPr>
        <w:t>, 116 (2020).</w:t>
      </w:r>
    </w:p>
    <w:p w14:paraId="328E8B34" w14:textId="77777777" w:rsidR="00317E7D" w:rsidRPr="00317E7D" w:rsidRDefault="00317E7D" w:rsidP="00317E7D">
      <w:pPr>
        <w:pStyle w:val="Bibliography"/>
        <w:rPr>
          <w:rFonts w:ascii="Calibri" w:cs="Calibri"/>
        </w:rPr>
      </w:pPr>
      <w:r w:rsidRPr="00317E7D">
        <w:rPr>
          <w:rFonts w:ascii="Calibri" w:cs="Calibri"/>
        </w:rPr>
        <w:t>77.</w:t>
      </w:r>
      <w:r w:rsidRPr="00317E7D">
        <w:rPr>
          <w:rFonts w:ascii="Calibri" w:cs="Calibri"/>
        </w:rPr>
        <w:tab/>
        <w:t xml:space="preserve">Casares, N. </w:t>
      </w:r>
      <w:r w:rsidRPr="00317E7D">
        <w:rPr>
          <w:rFonts w:ascii="Calibri" w:cs="Calibri"/>
          <w:i/>
          <w:iCs/>
        </w:rPr>
        <w:t>et al.</w:t>
      </w:r>
      <w:r w:rsidRPr="00317E7D">
        <w:rPr>
          <w:rFonts w:ascii="Calibri" w:cs="Calibri"/>
        </w:rPr>
        <w:t xml:space="preserve"> Caspase-dependent immunogenicity of doxorubicin-induced tumor cell death. </w:t>
      </w:r>
      <w:r w:rsidRPr="00317E7D">
        <w:rPr>
          <w:rFonts w:ascii="Calibri" w:cs="Calibri"/>
          <w:i/>
          <w:iCs/>
        </w:rPr>
        <w:t>Journal of Experimental Medicine</w:t>
      </w:r>
      <w:r w:rsidRPr="00317E7D">
        <w:rPr>
          <w:rFonts w:ascii="Calibri" w:cs="Calibri"/>
        </w:rPr>
        <w:t xml:space="preserve"> </w:t>
      </w:r>
      <w:r w:rsidRPr="00317E7D">
        <w:rPr>
          <w:rFonts w:ascii="Calibri" w:cs="Calibri"/>
          <w:b/>
          <w:bCs/>
        </w:rPr>
        <w:t>202</w:t>
      </w:r>
      <w:r w:rsidRPr="00317E7D">
        <w:rPr>
          <w:rFonts w:ascii="Calibri" w:cs="Calibri"/>
        </w:rPr>
        <w:t>, 1691–1701 (2005).</w:t>
      </w:r>
    </w:p>
    <w:p w14:paraId="217F223C" w14:textId="77777777" w:rsidR="00317E7D" w:rsidRPr="00317E7D" w:rsidRDefault="00317E7D" w:rsidP="00317E7D">
      <w:pPr>
        <w:pStyle w:val="Bibliography"/>
        <w:rPr>
          <w:rFonts w:ascii="Calibri" w:cs="Calibri"/>
        </w:rPr>
      </w:pPr>
      <w:r w:rsidRPr="00317E7D">
        <w:rPr>
          <w:rFonts w:ascii="Calibri" w:cs="Calibri"/>
        </w:rPr>
        <w:t>78.</w:t>
      </w:r>
      <w:r w:rsidRPr="00317E7D">
        <w:rPr>
          <w:rFonts w:ascii="Calibri" w:cs="Calibri"/>
        </w:rPr>
        <w:tab/>
        <w:t xml:space="preserve">Broz, P., Pelegrín, P. &amp; Shao, F. The gasdermins, a protein family executing cell death and inflammation. </w:t>
      </w:r>
      <w:r w:rsidRPr="00317E7D">
        <w:rPr>
          <w:rFonts w:ascii="Calibri" w:cs="Calibri"/>
          <w:i/>
          <w:iCs/>
        </w:rPr>
        <w:t>Nature Reviews Immunology</w:t>
      </w:r>
      <w:r w:rsidRPr="00317E7D">
        <w:rPr>
          <w:rFonts w:ascii="Calibri" w:cs="Calibri"/>
        </w:rPr>
        <w:t xml:space="preserve"> </w:t>
      </w:r>
      <w:r w:rsidRPr="00317E7D">
        <w:rPr>
          <w:rFonts w:ascii="Calibri" w:cs="Calibri"/>
          <w:b/>
          <w:bCs/>
        </w:rPr>
        <w:t>20</w:t>
      </w:r>
      <w:r w:rsidRPr="00317E7D">
        <w:rPr>
          <w:rFonts w:ascii="Calibri" w:cs="Calibri"/>
        </w:rPr>
        <w:t>, 143–157 (2020).</w:t>
      </w:r>
    </w:p>
    <w:p w14:paraId="25511132" w14:textId="77777777" w:rsidR="00317E7D" w:rsidRPr="00317E7D" w:rsidRDefault="00317E7D" w:rsidP="00317E7D">
      <w:pPr>
        <w:pStyle w:val="Bibliography"/>
        <w:rPr>
          <w:rFonts w:ascii="Calibri" w:cs="Calibri"/>
        </w:rPr>
      </w:pPr>
      <w:r w:rsidRPr="00317E7D">
        <w:rPr>
          <w:rFonts w:ascii="Calibri" w:cs="Calibri"/>
        </w:rPr>
        <w:t>79.</w:t>
      </w:r>
      <w:r w:rsidRPr="00317E7D">
        <w:rPr>
          <w:rFonts w:ascii="Calibri" w:cs="Calibri"/>
        </w:rPr>
        <w:tab/>
        <w:t xml:space="preserve">Zhang, Z. </w:t>
      </w:r>
      <w:r w:rsidRPr="00317E7D">
        <w:rPr>
          <w:rFonts w:ascii="Calibri" w:cs="Calibri"/>
          <w:i/>
          <w:iCs/>
        </w:rPr>
        <w:t>et al.</w:t>
      </w:r>
      <w:r w:rsidRPr="00317E7D">
        <w:rPr>
          <w:rFonts w:ascii="Calibri" w:cs="Calibri"/>
        </w:rPr>
        <w:t xml:space="preserve"> Gasdermin E suppresses tumour growth by activating anti-tumour immunity. </w:t>
      </w:r>
      <w:r w:rsidRPr="00317E7D">
        <w:rPr>
          <w:rFonts w:ascii="Calibri" w:cs="Calibri"/>
          <w:i/>
          <w:iCs/>
        </w:rPr>
        <w:t>Nature</w:t>
      </w:r>
      <w:r w:rsidRPr="00317E7D">
        <w:rPr>
          <w:rFonts w:ascii="Calibri" w:cs="Calibri"/>
        </w:rPr>
        <w:t xml:space="preserve"> </w:t>
      </w:r>
      <w:r w:rsidRPr="00317E7D">
        <w:rPr>
          <w:rFonts w:ascii="Calibri" w:cs="Calibri"/>
          <w:b/>
          <w:bCs/>
        </w:rPr>
        <w:t>579</w:t>
      </w:r>
      <w:r w:rsidRPr="00317E7D">
        <w:rPr>
          <w:rFonts w:ascii="Calibri" w:cs="Calibri"/>
        </w:rPr>
        <w:t>, 415–420 (2020).</w:t>
      </w:r>
    </w:p>
    <w:p w14:paraId="320D63E3" w14:textId="77777777" w:rsidR="00317E7D" w:rsidRPr="00317E7D" w:rsidRDefault="00317E7D" w:rsidP="00317E7D">
      <w:pPr>
        <w:pStyle w:val="Bibliography"/>
        <w:rPr>
          <w:rFonts w:ascii="Calibri" w:cs="Calibri"/>
        </w:rPr>
      </w:pPr>
      <w:r w:rsidRPr="00317E7D">
        <w:rPr>
          <w:rFonts w:ascii="Calibri" w:cs="Calibri"/>
        </w:rPr>
        <w:t>80.</w:t>
      </w:r>
      <w:r w:rsidRPr="00317E7D">
        <w:rPr>
          <w:rFonts w:ascii="Calibri" w:cs="Calibri"/>
        </w:rPr>
        <w:tab/>
        <w:t xml:space="preserve">Op de Beeck, K., Van Laer, L. &amp; Van Camp, G. DFNA5, a Gene Involved in Hearing Loss and Cancer: A Review. </w:t>
      </w:r>
      <w:r w:rsidRPr="00317E7D">
        <w:rPr>
          <w:rFonts w:ascii="Calibri" w:cs="Calibri"/>
          <w:i/>
          <w:iCs/>
        </w:rPr>
        <w:t>Ann Otol Rhinol Laryngol</w:t>
      </w:r>
      <w:r w:rsidRPr="00317E7D">
        <w:rPr>
          <w:rFonts w:ascii="Calibri" w:cs="Calibri"/>
        </w:rPr>
        <w:t xml:space="preserve"> </w:t>
      </w:r>
      <w:r w:rsidRPr="00317E7D">
        <w:rPr>
          <w:rFonts w:ascii="Calibri" w:cs="Calibri"/>
          <w:b/>
          <w:bCs/>
        </w:rPr>
        <w:t>121</w:t>
      </w:r>
      <w:r w:rsidRPr="00317E7D">
        <w:rPr>
          <w:rFonts w:ascii="Calibri" w:cs="Calibri"/>
        </w:rPr>
        <w:t>, 197–207 (2012).</w:t>
      </w:r>
    </w:p>
    <w:p w14:paraId="46BDC232" w14:textId="77777777" w:rsidR="00317E7D" w:rsidRPr="00317E7D" w:rsidRDefault="00317E7D" w:rsidP="00317E7D">
      <w:pPr>
        <w:pStyle w:val="Bibliography"/>
        <w:rPr>
          <w:rFonts w:ascii="Calibri" w:cs="Calibri"/>
        </w:rPr>
      </w:pPr>
      <w:r w:rsidRPr="00317E7D">
        <w:rPr>
          <w:rFonts w:ascii="Calibri" w:cs="Calibri"/>
        </w:rPr>
        <w:t>81.</w:t>
      </w:r>
      <w:r w:rsidRPr="00317E7D">
        <w:rPr>
          <w:rFonts w:ascii="Calibri" w:cs="Calibri"/>
        </w:rPr>
        <w:tab/>
        <w:t xml:space="preserve">Akino, K. </w:t>
      </w:r>
      <w:r w:rsidRPr="00317E7D">
        <w:rPr>
          <w:rFonts w:ascii="Calibri" w:cs="Calibri"/>
          <w:i/>
          <w:iCs/>
        </w:rPr>
        <w:t>et al.</w:t>
      </w:r>
      <w:r w:rsidRPr="00317E7D">
        <w:rPr>
          <w:rFonts w:ascii="Calibri" w:cs="Calibri"/>
        </w:rPr>
        <w:t xml:space="preserve"> Identification of DFNA5 as a target of epigenetic inactivation in gastric cancer. </w:t>
      </w:r>
      <w:r w:rsidRPr="00317E7D">
        <w:rPr>
          <w:rFonts w:ascii="Calibri" w:cs="Calibri"/>
          <w:i/>
          <w:iCs/>
        </w:rPr>
        <w:t>Cancer Science</w:t>
      </w:r>
      <w:r w:rsidRPr="00317E7D">
        <w:rPr>
          <w:rFonts w:ascii="Calibri" w:cs="Calibri"/>
        </w:rPr>
        <w:t xml:space="preserve"> </w:t>
      </w:r>
      <w:r w:rsidRPr="00317E7D">
        <w:rPr>
          <w:rFonts w:ascii="Calibri" w:cs="Calibri"/>
          <w:b/>
          <w:bCs/>
        </w:rPr>
        <w:t>98</w:t>
      </w:r>
      <w:r w:rsidRPr="00317E7D">
        <w:rPr>
          <w:rFonts w:ascii="Calibri" w:cs="Calibri"/>
        </w:rPr>
        <w:t>, 88–95 (2007).</w:t>
      </w:r>
    </w:p>
    <w:p w14:paraId="78CFE3FC" w14:textId="77777777" w:rsidR="00317E7D" w:rsidRPr="00317E7D" w:rsidRDefault="00317E7D" w:rsidP="00317E7D">
      <w:pPr>
        <w:pStyle w:val="Bibliography"/>
        <w:rPr>
          <w:rFonts w:ascii="Calibri" w:cs="Calibri"/>
        </w:rPr>
      </w:pPr>
      <w:r w:rsidRPr="00317E7D">
        <w:rPr>
          <w:rFonts w:ascii="Calibri" w:cs="Calibri"/>
        </w:rPr>
        <w:t>82.</w:t>
      </w:r>
      <w:r w:rsidRPr="00317E7D">
        <w:rPr>
          <w:rFonts w:ascii="Calibri" w:cs="Calibri"/>
        </w:rPr>
        <w:tab/>
        <w:t xml:space="preserve">Zhao, T. </w:t>
      </w:r>
      <w:r w:rsidRPr="00317E7D">
        <w:rPr>
          <w:rFonts w:ascii="Calibri" w:cs="Calibri"/>
          <w:i/>
          <w:iCs/>
        </w:rPr>
        <w:t>et al.</w:t>
      </w:r>
      <w:r w:rsidRPr="00317E7D">
        <w:rPr>
          <w:rFonts w:ascii="Calibri" w:cs="Calibri"/>
        </w:rPr>
        <w:t xml:space="preserve"> Inhibition of HIF-1α by PX-478 enhances the anti-tumor effect of gemcitabine by inducing immunogenic cell death in pancreatic ductal adenocarcinoma. </w:t>
      </w:r>
      <w:r w:rsidRPr="00317E7D">
        <w:rPr>
          <w:rFonts w:ascii="Calibri" w:cs="Calibri"/>
          <w:i/>
          <w:iCs/>
        </w:rPr>
        <w:t>Oncotarget</w:t>
      </w:r>
      <w:r w:rsidRPr="00317E7D">
        <w:rPr>
          <w:rFonts w:ascii="Calibri" w:cs="Calibri"/>
        </w:rPr>
        <w:t xml:space="preserve"> </w:t>
      </w:r>
      <w:r w:rsidRPr="00317E7D">
        <w:rPr>
          <w:rFonts w:ascii="Calibri" w:cs="Calibri"/>
          <w:b/>
          <w:bCs/>
        </w:rPr>
        <w:t>6</w:t>
      </w:r>
      <w:r w:rsidRPr="00317E7D">
        <w:rPr>
          <w:rFonts w:ascii="Calibri" w:cs="Calibri"/>
        </w:rPr>
        <w:t>, 2250–2262 (2015).</w:t>
      </w:r>
    </w:p>
    <w:p w14:paraId="5A6A22FF" w14:textId="77777777" w:rsidR="00317E7D" w:rsidRPr="00317E7D" w:rsidRDefault="00317E7D" w:rsidP="00317E7D">
      <w:pPr>
        <w:pStyle w:val="Bibliography"/>
        <w:rPr>
          <w:rFonts w:ascii="Calibri" w:cs="Calibri"/>
        </w:rPr>
      </w:pPr>
      <w:r w:rsidRPr="00317E7D">
        <w:rPr>
          <w:rFonts w:ascii="Calibri" w:cs="Calibri"/>
        </w:rPr>
        <w:t>83.</w:t>
      </w:r>
      <w:r w:rsidRPr="00317E7D">
        <w:rPr>
          <w:rFonts w:ascii="Calibri" w:cs="Calibri"/>
        </w:rPr>
        <w:tab/>
        <w:t xml:space="preserve">Kepp, O. </w:t>
      </w:r>
      <w:r w:rsidRPr="00317E7D">
        <w:rPr>
          <w:rFonts w:ascii="Calibri" w:cs="Calibri"/>
          <w:i/>
          <w:iCs/>
        </w:rPr>
        <w:t>et al.</w:t>
      </w:r>
      <w:r w:rsidRPr="00317E7D">
        <w:rPr>
          <w:rFonts w:ascii="Calibri" w:cs="Calibri"/>
        </w:rPr>
        <w:t xml:space="preserve"> Consensus guidelines for the detection of immunogenic cell death. </w:t>
      </w:r>
      <w:r w:rsidRPr="00317E7D">
        <w:rPr>
          <w:rFonts w:ascii="Calibri" w:cs="Calibri"/>
          <w:i/>
          <w:iCs/>
        </w:rPr>
        <w:t>OncoImmunology</w:t>
      </w:r>
      <w:r w:rsidRPr="00317E7D">
        <w:rPr>
          <w:rFonts w:ascii="Calibri" w:cs="Calibri"/>
        </w:rPr>
        <w:t xml:space="preserve"> </w:t>
      </w:r>
      <w:r w:rsidRPr="00317E7D">
        <w:rPr>
          <w:rFonts w:ascii="Calibri" w:cs="Calibri"/>
          <w:b/>
          <w:bCs/>
        </w:rPr>
        <w:t>3</w:t>
      </w:r>
      <w:r w:rsidRPr="00317E7D">
        <w:rPr>
          <w:rFonts w:ascii="Calibri" w:cs="Calibri"/>
        </w:rPr>
        <w:t>, e955691 (2014).</w:t>
      </w:r>
    </w:p>
    <w:p w14:paraId="34CD7292" w14:textId="77777777" w:rsidR="00317E7D" w:rsidRPr="00317E7D" w:rsidRDefault="00317E7D" w:rsidP="00317E7D">
      <w:pPr>
        <w:pStyle w:val="Bibliography"/>
        <w:rPr>
          <w:rFonts w:ascii="Calibri" w:cs="Calibri"/>
        </w:rPr>
      </w:pPr>
      <w:r w:rsidRPr="00317E7D">
        <w:rPr>
          <w:rFonts w:ascii="Calibri" w:cs="Calibri"/>
        </w:rPr>
        <w:lastRenderedPageBreak/>
        <w:t>84.</w:t>
      </w:r>
      <w:r w:rsidRPr="00317E7D">
        <w:rPr>
          <w:rFonts w:ascii="Calibri" w:cs="Calibri"/>
        </w:rPr>
        <w:tab/>
        <w:t xml:space="preserve">Hangai, S. </w:t>
      </w:r>
      <w:r w:rsidRPr="00317E7D">
        <w:rPr>
          <w:rFonts w:ascii="Calibri" w:cs="Calibri"/>
          <w:i/>
          <w:iCs/>
        </w:rPr>
        <w:t>et al.</w:t>
      </w:r>
      <w:r w:rsidRPr="00317E7D">
        <w:rPr>
          <w:rFonts w:ascii="Calibri" w:cs="Calibri"/>
        </w:rPr>
        <w:t xml:space="preserve"> PGE2 induced in and released by dying cells functions as an inhibitory DAMP. </w:t>
      </w:r>
      <w:r w:rsidRPr="00317E7D">
        <w:rPr>
          <w:rFonts w:ascii="Calibri" w:cs="Calibri"/>
          <w:i/>
          <w:iCs/>
        </w:rPr>
        <w:t>Proc. Natl. Acad. Sci. U.S.A.</w:t>
      </w:r>
      <w:r w:rsidRPr="00317E7D">
        <w:rPr>
          <w:rFonts w:ascii="Calibri" w:cs="Calibri"/>
        </w:rPr>
        <w:t xml:space="preserve"> </w:t>
      </w:r>
      <w:r w:rsidRPr="00317E7D">
        <w:rPr>
          <w:rFonts w:ascii="Calibri" w:cs="Calibri"/>
          <w:b/>
          <w:bCs/>
        </w:rPr>
        <w:t>113</w:t>
      </w:r>
      <w:r w:rsidRPr="00317E7D">
        <w:rPr>
          <w:rFonts w:ascii="Calibri" w:cs="Calibri"/>
        </w:rPr>
        <w:t>, 3844–3849 (2016).</w:t>
      </w:r>
    </w:p>
    <w:p w14:paraId="48B10E06" w14:textId="77777777" w:rsidR="00317E7D" w:rsidRPr="00317E7D" w:rsidRDefault="00317E7D" w:rsidP="00317E7D">
      <w:pPr>
        <w:pStyle w:val="Bibliography"/>
        <w:rPr>
          <w:rFonts w:ascii="Calibri" w:cs="Calibri"/>
        </w:rPr>
      </w:pPr>
      <w:r w:rsidRPr="00317E7D">
        <w:rPr>
          <w:rFonts w:ascii="Calibri" w:cs="Calibri"/>
        </w:rPr>
        <w:t>85.</w:t>
      </w:r>
      <w:r w:rsidRPr="00317E7D">
        <w:rPr>
          <w:rFonts w:ascii="Calibri" w:cs="Calibri"/>
        </w:rPr>
        <w:tab/>
        <w:t xml:space="preserve">Martins, I. </w:t>
      </w:r>
      <w:r w:rsidRPr="00317E7D">
        <w:rPr>
          <w:rFonts w:ascii="Calibri" w:cs="Calibri"/>
          <w:i/>
          <w:iCs/>
        </w:rPr>
        <w:t>et al.</w:t>
      </w:r>
      <w:r w:rsidRPr="00317E7D">
        <w:rPr>
          <w:rFonts w:ascii="Calibri" w:cs="Calibri"/>
        </w:rPr>
        <w:t xml:space="preserve"> Restoration of the immunogenicity of cisplatin-induced cancer cell death by endoplasmic reticulum stress. </w:t>
      </w:r>
      <w:r w:rsidRPr="00317E7D">
        <w:rPr>
          <w:rFonts w:ascii="Calibri" w:cs="Calibri"/>
          <w:i/>
          <w:iCs/>
        </w:rPr>
        <w:t>Oncogene</w:t>
      </w:r>
      <w:r w:rsidRPr="00317E7D">
        <w:rPr>
          <w:rFonts w:ascii="Calibri" w:cs="Calibri"/>
        </w:rPr>
        <w:t xml:space="preserve"> </w:t>
      </w:r>
      <w:r w:rsidRPr="00317E7D">
        <w:rPr>
          <w:rFonts w:ascii="Calibri" w:cs="Calibri"/>
          <w:b/>
          <w:bCs/>
        </w:rPr>
        <w:t>30</w:t>
      </w:r>
      <w:r w:rsidRPr="00317E7D">
        <w:rPr>
          <w:rFonts w:ascii="Calibri" w:cs="Calibri"/>
        </w:rPr>
        <w:t>, 1147–1158 (2011).</w:t>
      </w:r>
    </w:p>
    <w:p w14:paraId="4B73E4DB" w14:textId="0220C1AA" w:rsidR="00317E7D" w:rsidRPr="00317E7D" w:rsidRDefault="00317E7D" w:rsidP="00317E7D">
      <w:pPr>
        <w:pStyle w:val="Bibliography"/>
        <w:rPr>
          <w:rFonts w:ascii="Calibri" w:cs="Calibri"/>
        </w:rPr>
      </w:pPr>
      <w:r w:rsidRPr="00317E7D">
        <w:rPr>
          <w:rFonts w:ascii="Calibri" w:cs="Calibri"/>
        </w:rPr>
        <w:t>86.</w:t>
      </w:r>
      <w:r w:rsidRPr="00317E7D">
        <w:rPr>
          <w:rFonts w:ascii="Calibri" w:cs="Calibri"/>
        </w:rPr>
        <w:tab/>
        <w:t xml:space="preserve">Obeid, M. </w:t>
      </w:r>
      <w:r w:rsidRPr="00317E7D">
        <w:rPr>
          <w:rFonts w:ascii="Calibri" w:cs="Calibri"/>
          <w:i/>
          <w:iCs/>
        </w:rPr>
        <w:t>et al.</w:t>
      </w:r>
      <w:r w:rsidRPr="00317E7D">
        <w:rPr>
          <w:rFonts w:ascii="Calibri" w:cs="Calibri"/>
        </w:rPr>
        <w:t xml:space="preserve"> </w:t>
      </w:r>
      <w:r w:rsidR="00AD6EF4">
        <w:rPr>
          <w:rFonts w:ascii="Calibri" w:cs="Calibri"/>
        </w:rPr>
        <w:t>CRT</w:t>
      </w:r>
      <w:r w:rsidRPr="00317E7D">
        <w:rPr>
          <w:rFonts w:ascii="Calibri" w:cs="Calibri"/>
        </w:rPr>
        <w:t xml:space="preserve"> exposure is required for the immunogenicity of gamma-irradiation and UVC light-induced apoptosis. </w:t>
      </w:r>
      <w:r w:rsidRPr="00317E7D">
        <w:rPr>
          <w:rFonts w:ascii="Calibri" w:cs="Calibri"/>
          <w:i/>
          <w:iCs/>
        </w:rPr>
        <w:t>Cell Death Differ</w:t>
      </w:r>
      <w:r w:rsidRPr="00317E7D">
        <w:rPr>
          <w:rFonts w:ascii="Calibri" w:cs="Calibri"/>
        </w:rPr>
        <w:t xml:space="preserve"> </w:t>
      </w:r>
      <w:r w:rsidRPr="00317E7D">
        <w:rPr>
          <w:rFonts w:ascii="Calibri" w:cs="Calibri"/>
          <w:b/>
          <w:bCs/>
        </w:rPr>
        <w:t>14</w:t>
      </w:r>
      <w:r w:rsidRPr="00317E7D">
        <w:rPr>
          <w:rFonts w:ascii="Calibri" w:cs="Calibri"/>
        </w:rPr>
        <w:t>, 1848–1850 (2007).</w:t>
      </w:r>
    </w:p>
    <w:p w14:paraId="381F75E2" w14:textId="77777777" w:rsidR="00317E7D" w:rsidRPr="00317E7D" w:rsidRDefault="00317E7D" w:rsidP="00317E7D">
      <w:pPr>
        <w:pStyle w:val="Bibliography"/>
        <w:rPr>
          <w:rFonts w:ascii="Calibri" w:cs="Calibri"/>
        </w:rPr>
      </w:pPr>
      <w:r w:rsidRPr="00317E7D">
        <w:rPr>
          <w:rFonts w:ascii="Calibri" w:cs="Calibri"/>
        </w:rPr>
        <w:t>87.</w:t>
      </w:r>
      <w:r w:rsidRPr="00317E7D">
        <w:rPr>
          <w:rFonts w:ascii="Calibri" w:cs="Calibri"/>
        </w:rPr>
        <w:tab/>
        <w:t xml:space="preserve">Stangl, S. </w:t>
      </w:r>
      <w:r w:rsidRPr="00317E7D">
        <w:rPr>
          <w:rFonts w:ascii="Calibri" w:cs="Calibri"/>
          <w:i/>
          <w:iCs/>
        </w:rPr>
        <w:t>et al.</w:t>
      </w:r>
      <w:r w:rsidRPr="00317E7D">
        <w:rPr>
          <w:rFonts w:ascii="Calibri" w:cs="Calibri"/>
        </w:rPr>
        <w:t xml:space="preserve"> Detection of irradiation-induced, membrane heat shock protein 70 (Hsp70) in mouse tumors using Hsp70 Fab fragment. </w:t>
      </w:r>
      <w:r w:rsidRPr="00317E7D">
        <w:rPr>
          <w:rFonts w:ascii="Calibri" w:cs="Calibri"/>
          <w:i/>
          <w:iCs/>
        </w:rPr>
        <w:t>Radiotherapy and Oncology</w:t>
      </w:r>
      <w:r w:rsidRPr="00317E7D">
        <w:rPr>
          <w:rFonts w:ascii="Calibri" w:cs="Calibri"/>
        </w:rPr>
        <w:t xml:space="preserve"> </w:t>
      </w:r>
      <w:r w:rsidRPr="00317E7D">
        <w:rPr>
          <w:rFonts w:ascii="Calibri" w:cs="Calibri"/>
          <w:b/>
          <w:bCs/>
        </w:rPr>
        <w:t>99</w:t>
      </w:r>
      <w:r w:rsidRPr="00317E7D">
        <w:rPr>
          <w:rFonts w:ascii="Calibri" w:cs="Calibri"/>
        </w:rPr>
        <w:t>, 313–316 (2011).</w:t>
      </w:r>
    </w:p>
    <w:p w14:paraId="29FA2E27" w14:textId="77777777" w:rsidR="00317E7D" w:rsidRPr="00317E7D" w:rsidRDefault="00317E7D" w:rsidP="00317E7D">
      <w:pPr>
        <w:pStyle w:val="Bibliography"/>
        <w:rPr>
          <w:rFonts w:ascii="Calibri" w:cs="Calibri"/>
        </w:rPr>
      </w:pPr>
      <w:r w:rsidRPr="00317E7D">
        <w:rPr>
          <w:rFonts w:ascii="Calibri" w:cs="Calibri"/>
        </w:rPr>
        <w:t>88.</w:t>
      </w:r>
      <w:r w:rsidRPr="00317E7D">
        <w:rPr>
          <w:rFonts w:ascii="Calibri" w:cs="Calibri"/>
        </w:rPr>
        <w:tab/>
        <w:t xml:space="preserve">Rodriguez-Ruiz, M. E., Vitale, I., Harrington, K. J., Melero, I. &amp; Galluzzi, L. Immunological impact of cell death signaling driven by radiation on the tumor microenvironment. </w:t>
      </w:r>
      <w:r w:rsidRPr="00317E7D">
        <w:rPr>
          <w:rFonts w:ascii="Calibri" w:cs="Calibri"/>
          <w:i/>
          <w:iCs/>
        </w:rPr>
        <w:t>Nat Immunol</w:t>
      </w:r>
      <w:r w:rsidRPr="00317E7D">
        <w:rPr>
          <w:rFonts w:ascii="Calibri" w:cs="Calibri"/>
        </w:rPr>
        <w:t xml:space="preserve"> </w:t>
      </w:r>
      <w:r w:rsidRPr="00317E7D">
        <w:rPr>
          <w:rFonts w:ascii="Calibri" w:cs="Calibri"/>
          <w:b/>
          <w:bCs/>
        </w:rPr>
        <w:t>21</w:t>
      </w:r>
      <w:r w:rsidRPr="00317E7D">
        <w:rPr>
          <w:rFonts w:ascii="Calibri" w:cs="Calibri"/>
        </w:rPr>
        <w:t>, 120–134 (2020).</w:t>
      </w:r>
    </w:p>
    <w:p w14:paraId="7DC959D8" w14:textId="77777777" w:rsidR="00317E7D" w:rsidRPr="00317E7D" w:rsidRDefault="00317E7D" w:rsidP="00317E7D">
      <w:pPr>
        <w:pStyle w:val="Bibliography"/>
        <w:rPr>
          <w:rFonts w:ascii="Calibri" w:cs="Calibri"/>
        </w:rPr>
      </w:pPr>
      <w:r w:rsidRPr="00317E7D">
        <w:rPr>
          <w:rFonts w:ascii="Calibri" w:cs="Calibri"/>
        </w:rPr>
        <w:t>89.</w:t>
      </w:r>
      <w:r w:rsidRPr="00317E7D">
        <w:rPr>
          <w:rFonts w:ascii="Calibri" w:cs="Calibri"/>
        </w:rPr>
        <w:tab/>
        <w:t xml:space="preserve">Zhu, M. </w:t>
      </w:r>
      <w:r w:rsidRPr="00317E7D">
        <w:rPr>
          <w:rFonts w:ascii="Calibri" w:cs="Calibri"/>
          <w:i/>
          <w:iCs/>
        </w:rPr>
        <w:t>et al.</w:t>
      </w:r>
      <w:r w:rsidRPr="00317E7D">
        <w:rPr>
          <w:rFonts w:ascii="Calibri" w:cs="Calibri"/>
        </w:rPr>
        <w:t xml:space="preserve"> Immunogenic Cell Death Induction by Ionizing Radiation. </w:t>
      </w:r>
      <w:r w:rsidRPr="00317E7D">
        <w:rPr>
          <w:rFonts w:ascii="Calibri" w:cs="Calibri"/>
          <w:i/>
          <w:iCs/>
        </w:rPr>
        <w:t>Front. Immunol.</w:t>
      </w:r>
      <w:r w:rsidRPr="00317E7D">
        <w:rPr>
          <w:rFonts w:ascii="Calibri" w:cs="Calibri"/>
        </w:rPr>
        <w:t xml:space="preserve"> </w:t>
      </w:r>
      <w:r w:rsidRPr="00317E7D">
        <w:rPr>
          <w:rFonts w:ascii="Calibri" w:cs="Calibri"/>
          <w:b/>
          <w:bCs/>
        </w:rPr>
        <w:t>12</w:t>
      </w:r>
      <w:r w:rsidRPr="00317E7D">
        <w:rPr>
          <w:rFonts w:ascii="Calibri" w:cs="Calibri"/>
        </w:rPr>
        <w:t>, 705361 (2021).</w:t>
      </w:r>
    </w:p>
    <w:p w14:paraId="30889ED8" w14:textId="7A724181" w:rsidR="00317E7D" w:rsidRPr="00317E7D" w:rsidRDefault="00317E7D" w:rsidP="00317E7D">
      <w:pPr>
        <w:pStyle w:val="Bibliography"/>
        <w:rPr>
          <w:rFonts w:ascii="Calibri" w:cs="Calibri"/>
        </w:rPr>
      </w:pPr>
      <w:r w:rsidRPr="00317E7D">
        <w:rPr>
          <w:rFonts w:ascii="Calibri" w:cs="Calibri"/>
        </w:rPr>
        <w:t>90.</w:t>
      </w:r>
      <w:r w:rsidRPr="00317E7D">
        <w:rPr>
          <w:rFonts w:ascii="Calibri" w:cs="Calibri"/>
        </w:rPr>
        <w:tab/>
        <w:t xml:space="preserve">Huang, Y. </w:t>
      </w:r>
      <w:r w:rsidRPr="00317E7D">
        <w:rPr>
          <w:rFonts w:ascii="Calibri" w:cs="Calibri"/>
          <w:i/>
          <w:iCs/>
        </w:rPr>
        <w:t>et al.</w:t>
      </w:r>
      <w:r w:rsidRPr="00317E7D">
        <w:rPr>
          <w:rFonts w:ascii="Calibri" w:cs="Calibri"/>
        </w:rPr>
        <w:t xml:space="preserve"> Comparison of the effects of photon, proton and carbon-ion radiation on the ecto-</w:t>
      </w:r>
      <w:r w:rsidR="00AD6EF4">
        <w:rPr>
          <w:rFonts w:ascii="Calibri" w:cs="Calibri"/>
        </w:rPr>
        <w:t>CRT</w:t>
      </w:r>
      <w:r w:rsidRPr="00317E7D">
        <w:rPr>
          <w:rFonts w:ascii="Calibri" w:cs="Calibri"/>
        </w:rPr>
        <w:t xml:space="preserve"> exposure in various tumor cell lines. </w:t>
      </w:r>
      <w:r w:rsidRPr="00317E7D">
        <w:rPr>
          <w:rFonts w:ascii="Calibri" w:cs="Calibri"/>
          <w:i/>
          <w:iCs/>
        </w:rPr>
        <w:t>Ann. Transl. Med.</w:t>
      </w:r>
      <w:r w:rsidRPr="00317E7D">
        <w:rPr>
          <w:rFonts w:ascii="Calibri" w:cs="Calibri"/>
        </w:rPr>
        <w:t xml:space="preserve"> </w:t>
      </w:r>
      <w:r w:rsidRPr="00317E7D">
        <w:rPr>
          <w:rFonts w:ascii="Calibri" w:cs="Calibri"/>
          <w:b/>
          <w:bCs/>
        </w:rPr>
        <w:t>7</w:t>
      </w:r>
      <w:r w:rsidRPr="00317E7D">
        <w:rPr>
          <w:rFonts w:ascii="Calibri" w:cs="Calibri"/>
        </w:rPr>
        <w:t>, 542–542 (2019).</w:t>
      </w:r>
    </w:p>
    <w:p w14:paraId="04428330" w14:textId="77777777" w:rsidR="00317E7D" w:rsidRPr="00317E7D" w:rsidRDefault="00317E7D" w:rsidP="00317E7D">
      <w:pPr>
        <w:pStyle w:val="Bibliography"/>
        <w:rPr>
          <w:rFonts w:ascii="Calibri" w:cs="Calibri"/>
        </w:rPr>
      </w:pPr>
      <w:r w:rsidRPr="00317E7D">
        <w:rPr>
          <w:rFonts w:ascii="Calibri" w:cs="Calibri"/>
        </w:rPr>
        <w:t>91.</w:t>
      </w:r>
      <w:r w:rsidRPr="00317E7D">
        <w:rPr>
          <w:rFonts w:ascii="Calibri" w:cs="Calibri"/>
        </w:rPr>
        <w:tab/>
        <w:t xml:space="preserve">Liu, S. </w:t>
      </w:r>
      <w:r w:rsidRPr="00317E7D">
        <w:rPr>
          <w:rFonts w:ascii="Calibri" w:cs="Calibri"/>
          <w:i/>
          <w:iCs/>
        </w:rPr>
        <w:t>et al.</w:t>
      </w:r>
      <w:r w:rsidRPr="00317E7D">
        <w:rPr>
          <w:rFonts w:ascii="Calibri" w:cs="Calibri"/>
        </w:rPr>
        <w:t xml:space="preserve"> Effects of radiation on T regulatory cells in normal states and cancer: mechanisms and clinical implications. </w:t>
      </w:r>
      <w:r w:rsidRPr="00317E7D">
        <w:rPr>
          <w:rFonts w:ascii="Calibri" w:cs="Calibri"/>
          <w:i/>
          <w:iCs/>
        </w:rPr>
        <w:t>Am J Cancer Res</w:t>
      </w:r>
      <w:r w:rsidRPr="00317E7D">
        <w:rPr>
          <w:rFonts w:ascii="Calibri" w:cs="Calibri"/>
        </w:rPr>
        <w:t xml:space="preserve"> </w:t>
      </w:r>
      <w:r w:rsidRPr="00317E7D">
        <w:rPr>
          <w:rFonts w:ascii="Calibri" w:cs="Calibri"/>
          <w:b/>
          <w:bCs/>
        </w:rPr>
        <w:t>5</w:t>
      </w:r>
      <w:r w:rsidRPr="00317E7D">
        <w:rPr>
          <w:rFonts w:ascii="Calibri" w:cs="Calibri"/>
        </w:rPr>
        <w:t>, 3276–3285 (2015).</w:t>
      </w:r>
    </w:p>
    <w:p w14:paraId="06AF7D31" w14:textId="77777777" w:rsidR="00317E7D" w:rsidRPr="00317E7D" w:rsidRDefault="00317E7D" w:rsidP="00317E7D">
      <w:pPr>
        <w:pStyle w:val="Bibliography"/>
        <w:rPr>
          <w:rFonts w:ascii="Calibri" w:cs="Calibri"/>
        </w:rPr>
      </w:pPr>
      <w:r w:rsidRPr="00317E7D">
        <w:rPr>
          <w:rFonts w:ascii="Calibri" w:cs="Calibri"/>
        </w:rPr>
        <w:t>92.</w:t>
      </w:r>
      <w:r w:rsidRPr="00317E7D">
        <w:rPr>
          <w:rFonts w:ascii="Calibri" w:cs="Calibri"/>
        </w:rPr>
        <w:tab/>
        <w:t xml:space="preserve">Aryankalayil, M. J. </w:t>
      </w:r>
      <w:r w:rsidRPr="00317E7D">
        <w:rPr>
          <w:rFonts w:ascii="Calibri" w:cs="Calibri"/>
          <w:i/>
          <w:iCs/>
        </w:rPr>
        <w:t>et al.</w:t>
      </w:r>
      <w:r w:rsidRPr="00317E7D">
        <w:rPr>
          <w:rFonts w:ascii="Calibri" w:cs="Calibri"/>
        </w:rPr>
        <w:t xml:space="preserve"> Defining Molecular Signature of Pro-Immunogenic Radiotherapy Targets in Human Prostate Cancer Cells. </w:t>
      </w:r>
      <w:r w:rsidRPr="00317E7D">
        <w:rPr>
          <w:rFonts w:ascii="Calibri" w:cs="Calibri"/>
          <w:i/>
          <w:iCs/>
        </w:rPr>
        <w:t>Radiation Research</w:t>
      </w:r>
      <w:r w:rsidRPr="00317E7D">
        <w:rPr>
          <w:rFonts w:ascii="Calibri" w:cs="Calibri"/>
        </w:rPr>
        <w:t xml:space="preserve"> </w:t>
      </w:r>
      <w:r w:rsidRPr="00317E7D">
        <w:rPr>
          <w:rFonts w:ascii="Calibri" w:cs="Calibri"/>
          <w:b/>
          <w:bCs/>
        </w:rPr>
        <w:t>182</w:t>
      </w:r>
      <w:r w:rsidRPr="00317E7D">
        <w:rPr>
          <w:rFonts w:ascii="Calibri" w:cs="Calibri"/>
        </w:rPr>
        <w:t>, 139–148 (2014).</w:t>
      </w:r>
    </w:p>
    <w:p w14:paraId="15626F7C" w14:textId="77777777" w:rsidR="00317E7D" w:rsidRPr="00317E7D" w:rsidRDefault="00317E7D" w:rsidP="00317E7D">
      <w:pPr>
        <w:pStyle w:val="Bibliography"/>
        <w:rPr>
          <w:rFonts w:ascii="Calibri" w:cs="Calibri"/>
        </w:rPr>
      </w:pPr>
      <w:r w:rsidRPr="00317E7D">
        <w:rPr>
          <w:rFonts w:ascii="Calibri" w:cs="Calibri"/>
        </w:rPr>
        <w:lastRenderedPageBreak/>
        <w:t>93.</w:t>
      </w:r>
      <w:r w:rsidRPr="00317E7D">
        <w:rPr>
          <w:rFonts w:ascii="Calibri" w:cs="Calibri"/>
        </w:rPr>
        <w:tab/>
        <w:t xml:space="preserve">Lugade, A. A. </w:t>
      </w:r>
      <w:r w:rsidRPr="00317E7D">
        <w:rPr>
          <w:rFonts w:ascii="Calibri" w:cs="Calibri"/>
          <w:i/>
          <w:iCs/>
        </w:rPr>
        <w:t>et al.</w:t>
      </w:r>
      <w:r w:rsidRPr="00317E7D">
        <w:rPr>
          <w:rFonts w:ascii="Calibri" w:cs="Calibri"/>
        </w:rPr>
        <w:t xml:space="preserve"> Local Radiation Therapy of B16 Melanoma Tumors Increases the Generation of Tumor Antigen-Specific Effector Cells That Traffic to the Tumor. </w:t>
      </w:r>
      <w:r w:rsidRPr="00317E7D">
        <w:rPr>
          <w:rFonts w:ascii="Calibri" w:cs="Calibri"/>
          <w:i/>
          <w:iCs/>
        </w:rPr>
        <w:t>J Immunol</w:t>
      </w:r>
      <w:r w:rsidRPr="00317E7D">
        <w:rPr>
          <w:rFonts w:ascii="Calibri" w:cs="Calibri"/>
        </w:rPr>
        <w:t xml:space="preserve"> </w:t>
      </w:r>
      <w:r w:rsidRPr="00317E7D">
        <w:rPr>
          <w:rFonts w:ascii="Calibri" w:cs="Calibri"/>
          <w:b/>
          <w:bCs/>
        </w:rPr>
        <w:t>174</w:t>
      </w:r>
      <w:r w:rsidRPr="00317E7D">
        <w:rPr>
          <w:rFonts w:ascii="Calibri" w:cs="Calibri"/>
        </w:rPr>
        <w:t>, 7516–7523 (2005).</w:t>
      </w:r>
    </w:p>
    <w:p w14:paraId="7C5BA1BD" w14:textId="77777777" w:rsidR="00317E7D" w:rsidRPr="00317E7D" w:rsidRDefault="00317E7D" w:rsidP="00317E7D">
      <w:pPr>
        <w:pStyle w:val="Bibliography"/>
        <w:rPr>
          <w:rFonts w:ascii="Calibri" w:cs="Calibri"/>
        </w:rPr>
      </w:pPr>
      <w:r w:rsidRPr="00317E7D">
        <w:rPr>
          <w:rFonts w:ascii="Calibri" w:cs="Calibri"/>
        </w:rPr>
        <w:t>94.</w:t>
      </w:r>
      <w:r w:rsidRPr="00317E7D">
        <w:rPr>
          <w:rFonts w:ascii="Calibri" w:cs="Calibri"/>
        </w:rPr>
        <w:tab/>
        <w:t xml:space="preserve">Hu, Q., Huang, Z., Duan, Y., Fu, Z., &amp; Bin Liu. Reprogramming Tumor Microenvironment with Photothermal Therapy. </w:t>
      </w:r>
      <w:r w:rsidRPr="00317E7D">
        <w:rPr>
          <w:rFonts w:ascii="Calibri" w:cs="Calibri"/>
          <w:i/>
          <w:iCs/>
        </w:rPr>
        <w:t>Bioconjugate Chem.</w:t>
      </w:r>
      <w:r w:rsidRPr="00317E7D">
        <w:rPr>
          <w:rFonts w:ascii="Calibri" w:cs="Calibri"/>
        </w:rPr>
        <w:t xml:space="preserve"> </w:t>
      </w:r>
      <w:r w:rsidRPr="00317E7D">
        <w:rPr>
          <w:rFonts w:ascii="Calibri" w:cs="Calibri"/>
          <w:b/>
          <w:bCs/>
        </w:rPr>
        <w:t>31</w:t>
      </w:r>
      <w:r w:rsidRPr="00317E7D">
        <w:rPr>
          <w:rFonts w:ascii="Calibri" w:cs="Calibri"/>
        </w:rPr>
        <w:t>, 1268–1278 (2020).</w:t>
      </w:r>
    </w:p>
    <w:p w14:paraId="6258CA9E" w14:textId="77777777" w:rsidR="00317E7D" w:rsidRPr="00317E7D" w:rsidRDefault="00317E7D" w:rsidP="00317E7D">
      <w:pPr>
        <w:pStyle w:val="Bibliography"/>
        <w:rPr>
          <w:rFonts w:ascii="Calibri" w:cs="Calibri"/>
        </w:rPr>
      </w:pPr>
      <w:r w:rsidRPr="00317E7D">
        <w:rPr>
          <w:rFonts w:ascii="Calibri" w:cs="Calibri"/>
        </w:rPr>
        <w:t>95.</w:t>
      </w:r>
      <w:r w:rsidRPr="00317E7D">
        <w:rPr>
          <w:rFonts w:ascii="Calibri" w:cs="Calibri"/>
        </w:rPr>
        <w:tab/>
        <w:t xml:space="preserve">Sweeney, E. E., Cano‐Mejia, J. &amp; Fernandes, R. Photothermal Therapy Generates a Thermal Window of Immunogenic Cell Death in Neuroblastoma. </w:t>
      </w:r>
      <w:r w:rsidRPr="00317E7D">
        <w:rPr>
          <w:rFonts w:ascii="Calibri" w:cs="Calibri"/>
          <w:i/>
          <w:iCs/>
        </w:rPr>
        <w:t>Small</w:t>
      </w:r>
      <w:r w:rsidRPr="00317E7D">
        <w:rPr>
          <w:rFonts w:ascii="Calibri" w:cs="Calibri"/>
        </w:rPr>
        <w:t xml:space="preserve"> </w:t>
      </w:r>
      <w:r w:rsidRPr="00317E7D">
        <w:rPr>
          <w:rFonts w:ascii="Calibri" w:cs="Calibri"/>
          <w:b/>
          <w:bCs/>
        </w:rPr>
        <w:t>14</w:t>
      </w:r>
      <w:r w:rsidRPr="00317E7D">
        <w:rPr>
          <w:rFonts w:ascii="Calibri" w:cs="Calibri"/>
        </w:rPr>
        <w:t>, 1800678 (2018).</w:t>
      </w:r>
    </w:p>
    <w:p w14:paraId="0361EC17" w14:textId="77777777" w:rsidR="00317E7D" w:rsidRPr="00317E7D" w:rsidRDefault="00317E7D" w:rsidP="00317E7D">
      <w:pPr>
        <w:pStyle w:val="Bibliography"/>
        <w:rPr>
          <w:rFonts w:ascii="Calibri" w:cs="Calibri"/>
        </w:rPr>
      </w:pPr>
      <w:r w:rsidRPr="00317E7D">
        <w:rPr>
          <w:rFonts w:ascii="Calibri" w:cs="Calibri"/>
        </w:rPr>
        <w:t>96.</w:t>
      </w:r>
      <w:r w:rsidRPr="00317E7D">
        <w:rPr>
          <w:rFonts w:ascii="Calibri" w:cs="Calibri"/>
        </w:rPr>
        <w:tab/>
        <w:t xml:space="preserve">Bear, A. S. </w:t>
      </w:r>
      <w:r w:rsidRPr="00317E7D">
        <w:rPr>
          <w:rFonts w:ascii="Calibri" w:cs="Calibri"/>
          <w:i/>
          <w:iCs/>
        </w:rPr>
        <w:t>et al.</w:t>
      </w:r>
      <w:r w:rsidRPr="00317E7D">
        <w:rPr>
          <w:rFonts w:ascii="Calibri" w:cs="Calibri"/>
        </w:rPr>
        <w:t xml:space="preserve"> Elimination of Metastatic Melanoma Using Gold Nanoshell-Enabled Photothermal Therapy and Adoptive T Cell Transfer. </w:t>
      </w:r>
      <w:r w:rsidRPr="00317E7D">
        <w:rPr>
          <w:rFonts w:ascii="Calibri" w:cs="Calibri"/>
          <w:i/>
          <w:iCs/>
        </w:rPr>
        <w:t>PLoS ONE</w:t>
      </w:r>
      <w:r w:rsidRPr="00317E7D">
        <w:rPr>
          <w:rFonts w:ascii="Calibri" w:cs="Calibri"/>
        </w:rPr>
        <w:t xml:space="preserve"> </w:t>
      </w:r>
      <w:r w:rsidRPr="00317E7D">
        <w:rPr>
          <w:rFonts w:ascii="Calibri" w:cs="Calibri"/>
          <w:b/>
          <w:bCs/>
        </w:rPr>
        <w:t>8</w:t>
      </w:r>
      <w:r w:rsidRPr="00317E7D">
        <w:rPr>
          <w:rFonts w:ascii="Calibri" w:cs="Calibri"/>
        </w:rPr>
        <w:t>, e69073 (2013).</w:t>
      </w:r>
    </w:p>
    <w:p w14:paraId="5EAAD5EB" w14:textId="77777777" w:rsidR="00317E7D" w:rsidRPr="00317E7D" w:rsidRDefault="00317E7D" w:rsidP="00317E7D">
      <w:pPr>
        <w:pStyle w:val="Bibliography"/>
        <w:rPr>
          <w:rFonts w:ascii="Calibri" w:cs="Calibri"/>
        </w:rPr>
      </w:pPr>
      <w:r w:rsidRPr="00317E7D">
        <w:rPr>
          <w:rFonts w:ascii="Calibri" w:cs="Calibri"/>
        </w:rPr>
        <w:t>97.</w:t>
      </w:r>
      <w:r w:rsidRPr="00317E7D">
        <w:rPr>
          <w:rFonts w:ascii="Calibri" w:cs="Calibri"/>
        </w:rPr>
        <w:tab/>
        <w:t xml:space="preserve">Zhou, F. </w:t>
      </w:r>
      <w:r w:rsidRPr="00317E7D">
        <w:rPr>
          <w:rFonts w:ascii="Calibri" w:cs="Calibri"/>
          <w:i/>
          <w:iCs/>
        </w:rPr>
        <w:t>et al.</w:t>
      </w:r>
      <w:r w:rsidRPr="00317E7D">
        <w:rPr>
          <w:rFonts w:ascii="Calibri" w:cs="Calibri"/>
        </w:rPr>
        <w:t xml:space="preserve"> Local Phototherapy Synergizes with Immunoadjuvant for Treatment of Pancreatic Cancer through Induced Immunogenic Tumor Vaccine. </w:t>
      </w:r>
      <w:r w:rsidRPr="00317E7D">
        <w:rPr>
          <w:rFonts w:ascii="Calibri" w:cs="Calibri"/>
          <w:i/>
          <w:iCs/>
        </w:rPr>
        <w:t>Clin Cancer Res</w:t>
      </w:r>
      <w:r w:rsidRPr="00317E7D">
        <w:rPr>
          <w:rFonts w:ascii="Calibri" w:cs="Calibri"/>
        </w:rPr>
        <w:t xml:space="preserve"> </w:t>
      </w:r>
      <w:r w:rsidRPr="00317E7D">
        <w:rPr>
          <w:rFonts w:ascii="Calibri" w:cs="Calibri"/>
          <w:b/>
          <w:bCs/>
        </w:rPr>
        <w:t>24</w:t>
      </w:r>
      <w:r w:rsidRPr="00317E7D">
        <w:rPr>
          <w:rFonts w:ascii="Calibri" w:cs="Calibri"/>
        </w:rPr>
        <w:t>, 5335–5346 (2018).</w:t>
      </w:r>
    </w:p>
    <w:p w14:paraId="5ADD6E9D" w14:textId="77777777" w:rsidR="00317E7D" w:rsidRPr="00317E7D" w:rsidRDefault="00317E7D" w:rsidP="00317E7D">
      <w:pPr>
        <w:pStyle w:val="Bibliography"/>
        <w:rPr>
          <w:rFonts w:ascii="Calibri" w:cs="Calibri"/>
        </w:rPr>
      </w:pPr>
      <w:r w:rsidRPr="00317E7D">
        <w:rPr>
          <w:rFonts w:ascii="Calibri" w:cs="Calibri"/>
        </w:rPr>
        <w:t>98.</w:t>
      </w:r>
      <w:r w:rsidRPr="00317E7D">
        <w:rPr>
          <w:rFonts w:ascii="Calibri" w:cs="Calibri"/>
        </w:rPr>
        <w:tab/>
        <w:t xml:space="preserve">Bahar, A. A. &amp; Ren, D. Antimicrobial Peptides. </w:t>
      </w:r>
      <w:r w:rsidRPr="00317E7D">
        <w:rPr>
          <w:rFonts w:ascii="Calibri" w:cs="Calibri"/>
          <w:i/>
          <w:iCs/>
        </w:rPr>
        <w:t>Pharmaceuticals</w:t>
      </w:r>
      <w:r w:rsidRPr="00317E7D">
        <w:rPr>
          <w:rFonts w:ascii="Calibri" w:cs="Calibri"/>
        </w:rPr>
        <w:t xml:space="preserve"> </w:t>
      </w:r>
      <w:r w:rsidRPr="00317E7D">
        <w:rPr>
          <w:rFonts w:ascii="Calibri" w:cs="Calibri"/>
          <w:b/>
          <w:bCs/>
        </w:rPr>
        <w:t>6</w:t>
      </w:r>
      <w:r w:rsidRPr="00317E7D">
        <w:rPr>
          <w:rFonts w:ascii="Calibri" w:cs="Calibri"/>
        </w:rPr>
        <w:t>, 1543–1575 (2013).</w:t>
      </w:r>
    </w:p>
    <w:p w14:paraId="7BE9597E" w14:textId="77777777" w:rsidR="00317E7D" w:rsidRPr="00317E7D" w:rsidRDefault="00317E7D" w:rsidP="00317E7D">
      <w:pPr>
        <w:pStyle w:val="Bibliography"/>
        <w:rPr>
          <w:rFonts w:ascii="Calibri" w:cs="Calibri"/>
        </w:rPr>
      </w:pPr>
      <w:r w:rsidRPr="00317E7D">
        <w:rPr>
          <w:rFonts w:ascii="Calibri" w:cs="Calibri"/>
        </w:rPr>
        <w:t>99.</w:t>
      </w:r>
      <w:r w:rsidRPr="00317E7D">
        <w:rPr>
          <w:rFonts w:ascii="Calibri" w:cs="Calibri"/>
        </w:rPr>
        <w:tab/>
        <w:t xml:space="preserve">Lei, J. </w:t>
      </w:r>
      <w:r w:rsidRPr="00317E7D">
        <w:rPr>
          <w:rFonts w:ascii="Calibri" w:cs="Calibri"/>
          <w:i/>
          <w:iCs/>
        </w:rPr>
        <w:t>et al.</w:t>
      </w:r>
      <w:r w:rsidRPr="00317E7D">
        <w:rPr>
          <w:rFonts w:ascii="Calibri" w:cs="Calibri"/>
        </w:rPr>
        <w:t xml:space="preserve"> The antimicrobial peptides and their potential clinical applications. </w:t>
      </w:r>
      <w:r w:rsidRPr="00317E7D">
        <w:rPr>
          <w:rFonts w:ascii="Calibri" w:cs="Calibri"/>
          <w:i/>
          <w:iCs/>
        </w:rPr>
        <w:t>Am J Transl Res</w:t>
      </w:r>
      <w:r w:rsidRPr="00317E7D">
        <w:rPr>
          <w:rFonts w:ascii="Calibri" w:cs="Calibri"/>
        </w:rPr>
        <w:t xml:space="preserve"> </w:t>
      </w:r>
      <w:r w:rsidRPr="00317E7D">
        <w:rPr>
          <w:rFonts w:ascii="Calibri" w:cs="Calibri"/>
          <w:b/>
          <w:bCs/>
        </w:rPr>
        <w:t>11</w:t>
      </w:r>
      <w:r w:rsidRPr="00317E7D">
        <w:rPr>
          <w:rFonts w:ascii="Calibri" w:cs="Calibri"/>
        </w:rPr>
        <w:t>, 3919–3931 (2019).</w:t>
      </w:r>
    </w:p>
    <w:p w14:paraId="421B3C85" w14:textId="77777777" w:rsidR="00317E7D" w:rsidRPr="00317E7D" w:rsidRDefault="00317E7D" w:rsidP="00317E7D">
      <w:pPr>
        <w:pStyle w:val="Bibliography"/>
        <w:rPr>
          <w:rFonts w:ascii="Calibri" w:cs="Calibri"/>
        </w:rPr>
      </w:pPr>
      <w:r w:rsidRPr="00317E7D">
        <w:rPr>
          <w:rFonts w:ascii="Calibri" w:cs="Calibri"/>
        </w:rPr>
        <w:t>100.</w:t>
      </w:r>
      <w:r w:rsidRPr="00317E7D">
        <w:rPr>
          <w:rFonts w:ascii="Calibri" w:cs="Calibri"/>
        </w:rPr>
        <w:tab/>
        <w:t xml:space="preserve">Wodlej, C. </w:t>
      </w:r>
      <w:r w:rsidRPr="00317E7D">
        <w:rPr>
          <w:rFonts w:ascii="Calibri" w:cs="Calibri"/>
          <w:i/>
          <w:iCs/>
        </w:rPr>
        <w:t>et al.</w:t>
      </w:r>
      <w:r w:rsidRPr="00317E7D">
        <w:rPr>
          <w:rFonts w:ascii="Calibri" w:cs="Calibri"/>
        </w:rPr>
        <w:t xml:space="preserve"> Interaction of two antitumor peptides with membrane lipids – Influence of phosphatidylserine and cholesterol on specificity for melanoma cells. </w:t>
      </w:r>
      <w:r w:rsidRPr="00317E7D">
        <w:rPr>
          <w:rFonts w:ascii="Calibri" w:cs="Calibri"/>
          <w:i/>
          <w:iCs/>
        </w:rPr>
        <w:t>PLoS ONE</w:t>
      </w:r>
      <w:r w:rsidRPr="00317E7D">
        <w:rPr>
          <w:rFonts w:ascii="Calibri" w:cs="Calibri"/>
        </w:rPr>
        <w:t xml:space="preserve"> </w:t>
      </w:r>
      <w:r w:rsidRPr="00317E7D">
        <w:rPr>
          <w:rFonts w:ascii="Calibri" w:cs="Calibri"/>
          <w:b/>
          <w:bCs/>
        </w:rPr>
        <w:t>14</w:t>
      </w:r>
      <w:r w:rsidRPr="00317E7D">
        <w:rPr>
          <w:rFonts w:ascii="Calibri" w:cs="Calibri"/>
        </w:rPr>
        <w:t>, e0211187 (2019).</w:t>
      </w:r>
    </w:p>
    <w:p w14:paraId="29ED9D00" w14:textId="77777777" w:rsidR="00317E7D" w:rsidRPr="00317E7D" w:rsidRDefault="00317E7D" w:rsidP="00317E7D">
      <w:pPr>
        <w:pStyle w:val="Bibliography"/>
        <w:rPr>
          <w:rFonts w:ascii="Calibri" w:cs="Calibri"/>
        </w:rPr>
      </w:pPr>
      <w:r w:rsidRPr="00317E7D">
        <w:rPr>
          <w:rFonts w:ascii="Calibri" w:cs="Calibri"/>
        </w:rPr>
        <w:t>101.</w:t>
      </w:r>
      <w:r w:rsidRPr="00317E7D">
        <w:rPr>
          <w:rFonts w:ascii="Calibri" w:cs="Calibri"/>
        </w:rPr>
        <w:tab/>
        <w:t xml:space="preserve">Wang, Y. </w:t>
      </w:r>
      <w:r w:rsidRPr="00317E7D">
        <w:rPr>
          <w:rFonts w:ascii="Calibri" w:cs="Calibri"/>
          <w:i/>
          <w:iCs/>
        </w:rPr>
        <w:t>et al.</w:t>
      </w:r>
      <w:r w:rsidRPr="00317E7D">
        <w:rPr>
          <w:rFonts w:ascii="Calibri" w:cs="Calibri"/>
        </w:rPr>
        <w:t xml:space="preserve"> Intratumoral Expression of Mature Human Neutrophil Peptide-1 Mediates Antitumor Immunity in Mice. </w:t>
      </w:r>
      <w:r w:rsidRPr="00317E7D">
        <w:rPr>
          <w:rFonts w:ascii="Calibri" w:cs="Calibri"/>
          <w:i/>
          <w:iCs/>
        </w:rPr>
        <w:t>Clinical Cancer Research</w:t>
      </w:r>
      <w:r w:rsidRPr="00317E7D">
        <w:rPr>
          <w:rFonts w:ascii="Calibri" w:cs="Calibri"/>
        </w:rPr>
        <w:t xml:space="preserve"> </w:t>
      </w:r>
      <w:r w:rsidRPr="00317E7D">
        <w:rPr>
          <w:rFonts w:ascii="Calibri" w:cs="Calibri"/>
          <w:b/>
          <w:bCs/>
        </w:rPr>
        <w:t>15</w:t>
      </w:r>
      <w:r w:rsidRPr="00317E7D">
        <w:rPr>
          <w:rFonts w:ascii="Calibri" w:cs="Calibri"/>
        </w:rPr>
        <w:t>, 6901–6911 (2009).</w:t>
      </w:r>
    </w:p>
    <w:p w14:paraId="1BACC4F2" w14:textId="77777777" w:rsidR="00317E7D" w:rsidRPr="00317E7D" w:rsidRDefault="00317E7D" w:rsidP="00317E7D">
      <w:pPr>
        <w:pStyle w:val="Bibliography"/>
        <w:rPr>
          <w:rFonts w:ascii="Calibri" w:cs="Calibri"/>
        </w:rPr>
      </w:pPr>
      <w:r w:rsidRPr="00317E7D">
        <w:rPr>
          <w:rFonts w:ascii="Calibri" w:cs="Calibri"/>
        </w:rPr>
        <w:t>102.</w:t>
      </w:r>
      <w:r w:rsidRPr="00317E7D">
        <w:rPr>
          <w:rFonts w:ascii="Calibri" w:cs="Calibri"/>
        </w:rPr>
        <w:tab/>
        <w:t xml:space="preserve">Lee, H. S. </w:t>
      </w:r>
      <w:r w:rsidRPr="00317E7D">
        <w:rPr>
          <w:rFonts w:ascii="Calibri" w:cs="Calibri"/>
          <w:i/>
          <w:iCs/>
        </w:rPr>
        <w:t>et al.</w:t>
      </w:r>
      <w:r w:rsidRPr="00317E7D">
        <w:rPr>
          <w:rFonts w:ascii="Calibri" w:cs="Calibri"/>
        </w:rPr>
        <w:t xml:space="preserve"> Mechanism of anticancer activity of buforin IIb, a histone H2A-derived peptide. </w:t>
      </w:r>
      <w:r w:rsidRPr="00317E7D">
        <w:rPr>
          <w:rFonts w:ascii="Calibri" w:cs="Calibri"/>
          <w:i/>
          <w:iCs/>
        </w:rPr>
        <w:t>Cancer Letters</w:t>
      </w:r>
      <w:r w:rsidRPr="00317E7D">
        <w:rPr>
          <w:rFonts w:ascii="Calibri" w:cs="Calibri"/>
        </w:rPr>
        <w:t xml:space="preserve"> </w:t>
      </w:r>
      <w:r w:rsidRPr="00317E7D">
        <w:rPr>
          <w:rFonts w:ascii="Calibri" w:cs="Calibri"/>
          <w:b/>
          <w:bCs/>
        </w:rPr>
        <w:t>271</w:t>
      </w:r>
      <w:r w:rsidRPr="00317E7D">
        <w:rPr>
          <w:rFonts w:ascii="Calibri" w:cs="Calibri"/>
        </w:rPr>
        <w:t>, 47–55 (2008).</w:t>
      </w:r>
    </w:p>
    <w:p w14:paraId="4E0C3761" w14:textId="77777777" w:rsidR="00317E7D" w:rsidRPr="00317E7D" w:rsidRDefault="00317E7D" w:rsidP="00317E7D">
      <w:pPr>
        <w:pStyle w:val="Bibliography"/>
        <w:rPr>
          <w:rFonts w:ascii="Calibri" w:cs="Calibri"/>
        </w:rPr>
      </w:pPr>
      <w:r w:rsidRPr="00317E7D">
        <w:rPr>
          <w:rFonts w:ascii="Calibri" w:cs="Calibri"/>
        </w:rPr>
        <w:lastRenderedPageBreak/>
        <w:t>103.</w:t>
      </w:r>
      <w:r w:rsidRPr="00317E7D">
        <w:rPr>
          <w:rFonts w:ascii="Calibri" w:cs="Calibri"/>
        </w:rPr>
        <w:tab/>
        <w:t xml:space="preserve">Chen, X. </w:t>
      </w:r>
      <w:r w:rsidRPr="00317E7D">
        <w:rPr>
          <w:rFonts w:ascii="Calibri" w:cs="Calibri"/>
          <w:i/>
          <w:iCs/>
        </w:rPr>
        <w:t>et al.</w:t>
      </w:r>
      <w:r w:rsidRPr="00317E7D">
        <w:rPr>
          <w:rFonts w:ascii="Calibri" w:cs="Calibri"/>
        </w:rPr>
        <w:t xml:space="preserve"> A novel antimicrobial peptide, Ranatuerin-2PLx, showing therapeutic potential in inhibiting proliferation of cancer cells. </w:t>
      </w:r>
      <w:r w:rsidRPr="00317E7D">
        <w:rPr>
          <w:rFonts w:ascii="Calibri" w:cs="Calibri"/>
          <w:i/>
          <w:iCs/>
        </w:rPr>
        <w:t>Bioscience Reports</w:t>
      </w:r>
      <w:r w:rsidRPr="00317E7D">
        <w:rPr>
          <w:rFonts w:ascii="Calibri" w:cs="Calibri"/>
        </w:rPr>
        <w:t xml:space="preserve"> </w:t>
      </w:r>
      <w:r w:rsidRPr="00317E7D">
        <w:rPr>
          <w:rFonts w:ascii="Calibri" w:cs="Calibri"/>
          <w:b/>
          <w:bCs/>
        </w:rPr>
        <w:t>38</w:t>
      </w:r>
      <w:r w:rsidRPr="00317E7D">
        <w:rPr>
          <w:rFonts w:ascii="Calibri" w:cs="Calibri"/>
        </w:rPr>
        <w:t>, BSR20180710 (2018).</w:t>
      </w:r>
    </w:p>
    <w:p w14:paraId="45B5584F" w14:textId="77777777" w:rsidR="00317E7D" w:rsidRPr="00317E7D" w:rsidRDefault="00317E7D" w:rsidP="00317E7D">
      <w:pPr>
        <w:pStyle w:val="Bibliography"/>
        <w:rPr>
          <w:rFonts w:ascii="Calibri" w:cs="Calibri"/>
        </w:rPr>
      </w:pPr>
      <w:r w:rsidRPr="00317E7D">
        <w:rPr>
          <w:rFonts w:ascii="Calibri" w:cs="Calibri"/>
        </w:rPr>
        <w:t>104.</w:t>
      </w:r>
      <w:r w:rsidRPr="00317E7D">
        <w:rPr>
          <w:rFonts w:ascii="Calibri" w:cs="Calibri"/>
        </w:rPr>
        <w:tab/>
        <w:t xml:space="preserve">Kim, J.-Y. </w:t>
      </w:r>
      <w:r w:rsidRPr="00317E7D">
        <w:rPr>
          <w:rFonts w:ascii="Calibri" w:cs="Calibri"/>
          <w:i/>
          <w:iCs/>
        </w:rPr>
        <w:t>et al.</w:t>
      </w:r>
      <w:r w:rsidRPr="00317E7D">
        <w:rPr>
          <w:rFonts w:ascii="Calibri" w:cs="Calibri"/>
        </w:rPr>
        <w:t xml:space="preserve"> Necrosis-inducing peptide has the beneficial effect on killing tumor cells through neuropilin (NRP-1) targeting. </w:t>
      </w:r>
      <w:r w:rsidRPr="00317E7D">
        <w:rPr>
          <w:rFonts w:ascii="Calibri" w:cs="Calibri"/>
          <w:i/>
          <w:iCs/>
        </w:rPr>
        <w:t>Oncotarget</w:t>
      </w:r>
      <w:r w:rsidRPr="00317E7D">
        <w:rPr>
          <w:rFonts w:ascii="Calibri" w:cs="Calibri"/>
        </w:rPr>
        <w:t xml:space="preserve"> </w:t>
      </w:r>
      <w:r w:rsidRPr="00317E7D">
        <w:rPr>
          <w:rFonts w:ascii="Calibri" w:cs="Calibri"/>
          <w:b/>
          <w:bCs/>
        </w:rPr>
        <w:t>7</w:t>
      </w:r>
      <w:r w:rsidRPr="00317E7D">
        <w:rPr>
          <w:rFonts w:ascii="Calibri" w:cs="Calibri"/>
        </w:rPr>
        <w:t>, 32449–32461 (2016).</w:t>
      </w:r>
    </w:p>
    <w:p w14:paraId="5909A0E5" w14:textId="77777777" w:rsidR="00317E7D" w:rsidRPr="00317E7D" w:rsidRDefault="00317E7D" w:rsidP="00317E7D">
      <w:pPr>
        <w:pStyle w:val="Bibliography"/>
        <w:rPr>
          <w:rFonts w:ascii="Calibri" w:cs="Calibri"/>
        </w:rPr>
      </w:pPr>
      <w:r w:rsidRPr="00317E7D">
        <w:rPr>
          <w:rFonts w:ascii="Calibri" w:cs="Calibri"/>
        </w:rPr>
        <w:t>105.</w:t>
      </w:r>
      <w:r w:rsidRPr="00317E7D">
        <w:rPr>
          <w:rFonts w:ascii="Calibri" w:cs="Calibri"/>
        </w:rPr>
        <w:tab/>
        <w:t xml:space="preserve">Phan, T. K. </w:t>
      </w:r>
      <w:r w:rsidRPr="00317E7D">
        <w:rPr>
          <w:rFonts w:ascii="Calibri" w:cs="Calibri"/>
          <w:i/>
          <w:iCs/>
        </w:rPr>
        <w:t>et al.</w:t>
      </w:r>
      <w:r w:rsidRPr="00317E7D">
        <w:rPr>
          <w:rFonts w:ascii="Calibri" w:cs="Calibri"/>
        </w:rPr>
        <w:t xml:space="preserve"> Human β-defensin 3 contains an oncolytic motif that binds PI(4,5)P2 to mediate tumour cell permeabilisation. </w:t>
      </w:r>
      <w:r w:rsidRPr="00317E7D">
        <w:rPr>
          <w:rFonts w:ascii="Calibri" w:cs="Calibri"/>
          <w:i/>
          <w:iCs/>
        </w:rPr>
        <w:t>Oncotarget</w:t>
      </w:r>
      <w:r w:rsidRPr="00317E7D">
        <w:rPr>
          <w:rFonts w:ascii="Calibri" w:cs="Calibri"/>
        </w:rPr>
        <w:t xml:space="preserve"> </w:t>
      </w:r>
      <w:r w:rsidRPr="00317E7D">
        <w:rPr>
          <w:rFonts w:ascii="Calibri" w:cs="Calibri"/>
          <w:b/>
          <w:bCs/>
        </w:rPr>
        <w:t>7</w:t>
      </w:r>
      <w:r w:rsidRPr="00317E7D">
        <w:rPr>
          <w:rFonts w:ascii="Calibri" w:cs="Calibri"/>
        </w:rPr>
        <w:t>, 2054–2069 (2016).</w:t>
      </w:r>
    </w:p>
    <w:p w14:paraId="616E54FF" w14:textId="77777777" w:rsidR="00317E7D" w:rsidRPr="00317E7D" w:rsidRDefault="00317E7D" w:rsidP="00317E7D">
      <w:pPr>
        <w:pStyle w:val="Bibliography"/>
        <w:rPr>
          <w:rFonts w:ascii="Calibri" w:cs="Calibri"/>
        </w:rPr>
      </w:pPr>
      <w:r w:rsidRPr="00317E7D">
        <w:rPr>
          <w:rFonts w:ascii="Calibri" w:cs="Calibri"/>
        </w:rPr>
        <w:t>106.</w:t>
      </w:r>
      <w:r w:rsidRPr="00317E7D">
        <w:rPr>
          <w:rFonts w:ascii="Calibri" w:cs="Calibri"/>
        </w:rPr>
        <w:tab/>
        <w:t xml:space="preserve">Zhou, H. </w:t>
      </w:r>
      <w:r w:rsidRPr="00317E7D">
        <w:rPr>
          <w:rFonts w:ascii="Calibri" w:cs="Calibri"/>
          <w:i/>
          <w:iCs/>
        </w:rPr>
        <w:t>et al.</w:t>
      </w:r>
      <w:r w:rsidRPr="00317E7D">
        <w:rPr>
          <w:rFonts w:ascii="Calibri" w:cs="Calibri"/>
        </w:rPr>
        <w:t xml:space="preserve"> The oncolytic peptide LTX-315 triggers immunogenic cell death. </w:t>
      </w:r>
      <w:r w:rsidRPr="00317E7D">
        <w:rPr>
          <w:rFonts w:ascii="Calibri" w:cs="Calibri"/>
          <w:i/>
          <w:iCs/>
        </w:rPr>
        <w:t>Cell Death Dis</w:t>
      </w:r>
      <w:r w:rsidRPr="00317E7D">
        <w:rPr>
          <w:rFonts w:ascii="Calibri" w:cs="Calibri"/>
        </w:rPr>
        <w:t xml:space="preserve"> </w:t>
      </w:r>
      <w:r w:rsidRPr="00317E7D">
        <w:rPr>
          <w:rFonts w:ascii="Calibri" w:cs="Calibri"/>
          <w:b/>
          <w:bCs/>
        </w:rPr>
        <w:t>7</w:t>
      </w:r>
      <w:r w:rsidRPr="00317E7D">
        <w:rPr>
          <w:rFonts w:ascii="Calibri" w:cs="Calibri"/>
        </w:rPr>
        <w:t>, e2134–e2134 (2016).</w:t>
      </w:r>
    </w:p>
    <w:p w14:paraId="60BF9260" w14:textId="77777777" w:rsidR="00317E7D" w:rsidRPr="00317E7D" w:rsidRDefault="00317E7D" w:rsidP="00317E7D">
      <w:pPr>
        <w:pStyle w:val="Bibliography"/>
        <w:rPr>
          <w:rFonts w:ascii="Calibri" w:cs="Calibri"/>
        </w:rPr>
      </w:pPr>
      <w:r w:rsidRPr="00317E7D">
        <w:rPr>
          <w:rFonts w:ascii="Calibri" w:cs="Calibri"/>
        </w:rPr>
        <w:t>107.</w:t>
      </w:r>
      <w:r w:rsidRPr="00317E7D">
        <w:rPr>
          <w:rFonts w:ascii="Calibri" w:cs="Calibri"/>
        </w:rPr>
        <w:tab/>
        <w:t xml:space="preserve">Eike, L.-M., Yang, N., Rekdal, Ø. &amp; Sveinbjørnsson, B. The oncolytic peptide LTX-315 induces cell death and DAMP release by mitochondria distortion in human melanoma cells. </w:t>
      </w:r>
      <w:r w:rsidRPr="00317E7D">
        <w:rPr>
          <w:rFonts w:ascii="Calibri" w:cs="Calibri"/>
          <w:i/>
          <w:iCs/>
        </w:rPr>
        <w:t>Oncotarget</w:t>
      </w:r>
      <w:r w:rsidRPr="00317E7D">
        <w:rPr>
          <w:rFonts w:ascii="Calibri" w:cs="Calibri"/>
        </w:rPr>
        <w:t xml:space="preserve"> </w:t>
      </w:r>
      <w:r w:rsidRPr="00317E7D">
        <w:rPr>
          <w:rFonts w:ascii="Calibri" w:cs="Calibri"/>
          <w:b/>
          <w:bCs/>
        </w:rPr>
        <w:t>6</w:t>
      </w:r>
      <w:r w:rsidRPr="00317E7D">
        <w:rPr>
          <w:rFonts w:ascii="Calibri" w:cs="Calibri"/>
        </w:rPr>
        <w:t>, 34910–34923 (2015).</w:t>
      </w:r>
    </w:p>
    <w:p w14:paraId="305F619D" w14:textId="77777777" w:rsidR="00317E7D" w:rsidRPr="00317E7D" w:rsidRDefault="00317E7D" w:rsidP="00317E7D">
      <w:pPr>
        <w:pStyle w:val="Bibliography"/>
        <w:rPr>
          <w:rFonts w:ascii="Calibri" w:cs="Calibri"/>
        </w:rPr>
      </w:pPr>
      <w:r w:rsidRPr="00317E7D">
        <w:rPr>
          <w:rFonts w:ascii="Calibri" w:cs="Calibri"/>
        </w:rPr>
        <w:t>108.</w:t>
      </w:r>
      <w:r w:rsidRPr="00317E7D">
        <w:rPr>
          <w:rFonts w:ascii="Calibri" w:cs="Calibri"/>
        </w:rPr>
        <w:tab/>
        <w:t xml:space="preserve">Camilio, K. A., Berge, G., Ravuri, C. S., Rekdal, Ø. &amp; Sveinbjørnsson, B. Complete regression and systemic protective immune responses obtained in B16 melanomas after treatment with LTX-315. </w:t>
      </w:r>
      <w:r w:rsidRPr="00317E7D">
        <w:rPr>
          <w:rFonts w:ascii="Calibri" w:cs="Calibri"/>
          <w:i/>
          <w:iCs/>
        </w:rPr>
        <w:t>Cancer Immunol Immunother</w:t>
      </w:r>
      <w:r w:rsidRPr="00317E7D">
        <w:rPr>
          <w:rFonts w:ascii="Calibri" w:cs="Calibri"/>
        </w:rPr>
        <w:t xml:space="preserve"> </w:t>
      </w:r>
      <w:r w:rsidRPr="00317E7D">
        <w:rPr>
          <w:rFonts w:ascii="Calibri" w:cs="Calibri"/>
          <w:b/>
          <w:bCs/>
        </w:rPr>
        <w:t>63</w:t>
      </w:r>
      <w:r w:rsidRPr="00317E7D">
        <w:rPr>
          <w:rFonts w:ascii="Calibri" w:cs="Calibri"/>
        </w:rPr>
        <w:t>, 601–613 (2014).</w:t>
      </w:r>
    </w:p>
    <w:p w14:paraId="56309DB9" w14:textId="77777777" w:rsidR="00317E7D" w:rsidRPr="00317E7D" w:rsidRDefault="00317E7D" w:rsidP="00317E7D">
      <w:pPr>
        <w:pStyle w:val="Bibliography"/>
        <w:rPr>
          <w:rFonts w:ascii="Calibri" w:cs="Calibri"/>
        </w:rPr>
      </w:pPr>
      <w:r w:rsidRPr="00317E7D">
        <w:rPr>
          <w:rFonts w:ascii="Calibri" w:cs="Calibri"/>
        </w:rPr>
        <w:t>109.</w:t>
      </w:r>
      <w:r w:rsidRPr="00317E7D">
        <w:rPr>
          <w:rFonts w:ascii="Calibri" w:cs="Calibri"/>
        </w:rPr>
        <w:tab/>
        <w:t xml:space="preserve">Zhou, H. </w:t>
      </w:r>
      <w:r w:rsidRPr="00317E7D">
        <w:rPr>
          <w:rFonts w:ascii="Calibri" w:cs="Calibri"/>
          <w:i/>
          <w:iCs/>
        </w:rPr>
        <w:t>et al.</w:t>
      </w:r>
      <w:r w:rsidRPr="00317E7D">
        <w:rPr>
          <w:rFonts w:ascii="Calibri" w:cs="Calibri"/>
        </w:rPr>
        <w:t xml:space="preserve"> The oncolytic peptide LTX-315 kills cancer cells through Bax/Bak-regulated mitochondrial membrane permeabilization. </w:t>
      </w:r>
      <w:r w:rsidRPr="00317E7D">
        <w:rPr>
          <w:rFonts w:ascii="Calibri" w:cs="Calibri"/>
          <w:i/>
          <w:iCs/>
        </w:rPr>
        <w:t>Oncotarget</w:t>
      </w:r>
      <w:r w:rsidRPr="00317E7D">
        <w:rPr>
          <w:rFonts w:ascii="Calibri" w:cs="Calibri"/>
        </w:rPr>
        <w:t xml:space="preserve"> </w:t>
      </w:r>
      <w:r w:rsidRPr="00317E7D">
        <w:rPr>
          <w:rFonts w:ascii="Calibri" w:cs="Calibri"/>
          <w:b/>
          <w:bCs/>
        </w:rPr>
        <w:t>6</w:t>
      </w:r>
      <w:r w:rsidRPr="00317E7D">
        <w:rPr>
          <w:rFonts w:ascii="Calibri" w:cs="Calibri"/>
        </w:rPr>
        <w:t>, 26599–26614 (2015).</w:t>
      </w:r>
    </w:p>
    <w:p w14:paraId="221FAC4F" w14:textId="77777777" w:rsidR="00317E7D" w:rsidRPr="00317E7D" w:rsidRDefault="00317E7D" w:rsidP="00317E7D">
      <w:pPr>
        <w:pStyle w:val="Bibliography"/>
        <w:rPr>
          <w:rFonts w:ascii="Calibri" w:cs="Calibri"/>
        </w:rPr>
      </w:pPr>
      <w:r w:rsidRPr="00317E7D">
        <w:rPr>
          <w:rFonts w:ascii="Calibri" w:cs="Calibri"/>
        </w:rPr>
        <w:t>110.</w:t>
      </w:r>
      <w:r w:rsidRPr="00317E7D">
        <w:rPr>
          <w:rFonts w:ascii="Calibri" w:cs="Calibri"/>
        </w:rPr>
        <w:tab/>
        <w:t xml:space="preserve">Krajewski, S. </w:t>
      </w:r>
      <w:r w:rsidRPr="00317E7D">
        <w:rPr>
          <w:rFonts w:ascii="Calibri" w:cs="Calibri"/>
          <w:i/>
          <w:iCs/>
        </w:rPr>
        <w:t>et al.</w:t>
      </w:r>
      <w:r w:rsidRPr="00317E7D">
        <w:rPr>
          <w:rFonts w:ascii="Calibri" w:cs="Calibri"/>
        </w:rPr>
        <w:t xml:space="preserve"> Reduced expression of proapoptotic gene BAX is associated with poor response rates to combination chemotherapy and shorter survival in women with metastatic breast adenocarcinoma. </w:t>
      </w:r>
      <w:r w:rsidRPr="00317E7D">
        <w:rPr>
          <w:rFonts w:ascii="Calibri" w:cs="Calibri"/>
          <w:i/>
          <w:iCs/>
        </w:rPr>
        <w:t>Cancer Res</w:t>
      </w:r>
      <w:r w:rsidRPr="00317E7D">
        <w:rPr>
          <w:rFonts w:ascii="Calibri" w:cs="Calibri"/>
        </w:rPr>
        <w:t xml:space="preserve"> </w:t>
      </w:r>
      <w:r w:rsidRPr="00317E7D">
        <w:rPr>
          <w:rFonts w:ascii="Calibri" w:cs="Calibri"/>
          <w:b/>
          <w:bCs/>
        </w:rPr>
        <w:t>55</w:t>
      </w:r>
      <w:r w:rsidRPr="00317E7D">
        <w:rPr>
          <w:rFonts w:ascii="Calibri" w:cs="Calibri"/>
        </w:rPr>
        <w:t>, 4471–4478 (1995).</w:t>
      </w:r>
    </w:p>
    <w:p w14:paraId="34220DF8" w14:textId="77777777" w:rsidR="00317E7D" w:rsidRPr="00317E7D" w:rsidRDefault="00317E7D" w:rsidP="00317E7D">
      <w:pPr>
        <w:pStyle w:val="Bibliography"/>
        <w:rPr>
          <w:rFonts w:ascii="Calibri" w:cs="Calibri"/>
        </w:rPr>
      </w:pPr>
      <w:r w:rsidRPr="00317E7D">
        <w:rPr>
          <w:rFonts w:ascii="Calibri" w:cs="Calibri"/>
        </w:rPr>
        <w:lastRenderedPageBreak/>
        <w:t>111.</w:t>
      </w:r>
      <w:r w:rsidRPr="00317E7D">
        <w:rPr>
          <w:rFonts w:ascii="Calibri" w:cs="Calibri"/>
        </w:rPr>
        <w:tab/>
        <w:t xml:space="preserve">Camilio, K. A. </w:t>
      </w:r>
      <w:r w:rsidRPr="00317E7D">
        <w:rPr>
          <w:rFonts w:ascii="Calibri" w:cs="Calibri"/>
          <w:i/>
          <w:iCs/>
        </w:rPr>
        <w:t>et al.</w:t>
      </w:r>
      <w:r w:rsidRPr="00317E7D">
        <w:rPr>
          <w:rFonts w:ascii="Calibri" w:cs="Calibri"/>
        </w:rPr>
        <w:t xml:space="preserve"> Combining the oncolytic peptide LTX-315 with doxorubicin demonstrates therapeutic potential in a triple-negative breast cancer model. </w:t>
      </w:r>
      <w:r w:rsidRPr="00317E7D">
        <w:rPr>
          <w:rFonts w:ascii="Calibri" w:cs="Calibri"/>
          <w:i/>
          <w:iCs/>
        </w:rPr>
        <w:t>Breast Cancer Res</w:t>
      </w:r>
      <w:r w:rsidRPr="00317E7D">
        <w:rPr>
          <w:rFonts w:ascii="Calibri" w:cs="Calibri"/>
        </w:rPr>
        <w:t xml:space="preserve"> </w:t>
      </w:r>
      <w:r w:rsidRPr="00317E7D">
        <w:rPr>
          <w:rFonts w:ascii="Calibri" w:cs="Calibri"/>
          <w:b/>
          <w:bCs/>
        </w:rPr>
        <w:t>21</w:t>
      </w:r>
      <w:r w:rsidRPr="00317E7D">
        <w:rPr>
          <w:rFonts w:ascii="Calibri" w:cs="Calibri"/>
        </w:rPr>
        <w:t>, 9 (2019).</w:t>
      </w:r>
    </w:p>
    <w:p w14:paraId="197EB093" w14:textId="77777777" w:rsidR="00317E7D" w:rsidRPr="00317E7D" w:rsidRDefault="00317E7D" w:rsidP="00317E7D">
      <w:pPr>
        <w:pStyle w:val="Bibliography"/>
        <w:rPr>
          <w:rFonts w:ascii="Calibri" w:cs="Calibri"/>
        </w:rPr>
      </w:pPr>
      <w:r w:rsidRPr="00317E7D">
        <w:rPr>
          <w:rFonts w:ascii="Calibri" w:cs="Calibri"/>
        </w:rPr>
        <w:t>112.</w:t>
      </w:r>
      <w:r w:rsidRPr="00317E7D">
        <w:rPr>
          <w:rFonts w:ascii="Calibri" w:cs="Calibri"/>
        </w:rPr>
        <w:tab/>
        <w:t xml:space="preserve">Eike, L.-M., Mauseth, B., Camilio, K. A., Rekdal, Ø. &amp; Sveinbjørnsson, B. The Cytolytic Amphipathic β(2,2)-Amino Acid LTX-401 Induces DAMP Release in Melanoma Cells and Causes Complete Regression of B16 Melanoma. </w:t>
      </w:r>
      <w:r w:rsidRPr="00317E7D">
        <w:rPr>
          <w:rFonts w:ascii="Calibri" w:cs="Calibri"/>
          <w:i/>
          <w:iCs/>
        </w:rPr>
        <w:t>PLoS ONE</w:t>
      </w:r>
      <w:r w:rsidRPr="00317E7D">
        <w:rPr>
          <w:rFonts w:ascii="Calibri" w:cs="Calibri"/>
        </w:rPr>
        <w:t xml:space="preserve"> </w:t>
      </w:r>
      <w:r w:rsidRPr="00317E7D">
        <w:rPr>
          <w:rFonts w:ascii="Calibri" w:cs="Calibri"/>
          <w:b/>
          <w:bCs/>
        </w:rPr>
        <w:t>11</w:t>
      </w:r>
      <w:r w:rsidRPr="00317E7D">
        <w:rPr>
          <w:rFonts w:ascii="Calibri" w:cs="Calibri"/>
        </w:rPr>
        <w:t>, e0148980 (2016).</w:t>
      </w:r>
    </w:p>
    <w:p w14:paraId="2C48A3D6" w14:textId="77777777" w:rsidR="00317E7D" w:rsidRPr="00317E7D" w:rsidRDefault="00317E7D" w:rsidP="00317E7D">
      <w:pPr>
        <w:pStyle w:val="Bibliography"/>
        <w:rPr>
          <w:rFonts w:ascii="Calibri" w:cs="Calibri"/>
        </w:rPr>
      </w:pPr>
      <w:r w:rsidRPr="00317E7D">
        <w:rPr>
          <w:rFonts w:ascii="Calibri" w:cs="Calibri"/>
        </w:rPr>
        <w:t>113.</w:t>
      </w:r>
      <w:r w:rsidRPr="00317E7D">
        <w:rPr>
          <w:rFonts w:ascii="Calibri" w:cs="Calibri"/>
        </w:rPr>
        <w:tab/>
        <w:t xml:space="preserve">Xie, W. </w:t>
      </w:r>
      <w:r w:rsidRPr="00317E7D">
        <w:rPr>
          <w:rFonts w:ascii="Calibri" w:cs="Calibri"/>
          <w:i/>
          <w:iCs/>
        </w:rPr>
        <w:t>et al.</w:t>
      </w:r>
      <w:r w:rsidRPr="00317E7D">
        <w:rPr>
          <w:rFonts w:ascii="Calibri" w:cs="Calibri"/>
        </w:rPr>
        <w:t xml:space="preserve"> Tumor lysis with LTX-401 creates anticancer immunity. </w:t>
      </w:r>
      <w:r w:rsidRPr="00317E7D">
        <w:rPr>
          <w:rFonts w:ascii="Calibri" w:cs="Calibri"/>
          <w:i/>
          <w:iCs/>
        </w:rPr>
        <w:t>OncoImmunology</w:t>
      </w:r>
      <w:r w:rsidRPr="00317E7D">
        <w:rPr>
          <w:rFonts w:ascii="Calibri" w:cs="Calibri"/>
        </w:rPr>
        <w:t xml:space="preserve"> </w:t>
      </w:r>
      <w:r w:rsidRPr="00317E7D">
        <w:rPr>
          <w:rFonts w:ascii="Calibri" w:cs="Calibri"/>
          <w:b/>
          <w:bCs/>
        </w:rPr>
        <w:t>8</w:t>
      </w:r>
      <w:r w:rsidRPr="00317E7D">
        <w:rPr>
          <w:rFonts w:ascii="Calibri" w:cs="Calibri"/>
        </w:rPr>
        <w:t>, e1594555 (2019).</w:t>
      </w:r>
    </w:p>
    <w:p w14:paraId="79C21790" w14:textId="77777777" w:rsidR="00317E7D" w:rsidRPr="00317E7D" w:rsidRDefault="00317E7D" w:rsidP="00317E7D">
      <w:pPr>
        <w:pStyle w:val="Bibliography"/>
        <w:rPr>
          <w:rFonts w:ascii="Calibri" w:cs="Calibri"/>
        </w:rPr>
      </w:pPr>
      <w:r w:rsidRPr="00317E7D">
        <w:rPr>
          <w:rFonts w:ascii="Calibri" w:cs="Calibri"/>
        </w:rPr>
        <w:t>114.</w:t>
      </w:r>
      <w:r w:rsidRPr="00317E7D">
        <w:rPr>
          <w:rFonts w:ascii="Calibri" w:cs="Calibri"/>
        </w:rPr>
        <w:tab/>
        <w:t xml:space="preserve">Munshi, T., Sparrow, A., Wren, B. W., Reljic, R. &amp; Willcocks, S. J. The Antimicrobial Peptide, Bactenecin 5, Supports Cell-Mediated but Not Humoral Immunity in the Context of a Mycobacterial Antigen Vaccine Model. </w:t>
      </w:r>
      <w:r w:rsidRPr="00317E7D">
        <w:rPr>
          <w:rFonts w:ascii="Calibri" w:cs="Calibri"/>
          <w:i/>
          <w:iCs/>
        </w:rPr>
        <w:t>Antibiotics</w:t>
      </w:r>
      <w:r w:rsidRPr="00317E7D">
        <w:rPr>
          <w:rFonts w:ascii="Calibri" w:cs="Calibri"/>
        </w:rPr>
        <w:t xml:space="preserve"> </w:t>
      </w:r>
      <w:r w:rsidRPr="00317E7D">
        <w:rPr>
          <w:rFonts w:ascii="Calibri" w:cs="Calibri"/>
          <w:b/>
          <w:bCs/>
        </w:rPr>
        <w:t>9</w:t>
      </w:r>
      <w:r w:rsidRPr="00317E7D">
        <w:rPr>
          <w:rFonts w:ascii="Calibri" w:cs="Calibri"/>
        </w:rPr>
        <w:t>, 926 (2020).</w:t>
      </w:r>
    </w:p>
    <w:p w14:paraId="260EF2D0" w14:textId="77777777" w:rsidR="00317E7D" w:rsidRPr="00317E7D" w:rsidRDefault="00317E7D" w:rsidP="00317E7D">
      <w:pPr>
        <w:pStyle w:val="Bibliography"/>
        <w:rPr>
          <w:rFonts w:ascii="Calibri" w:cs="Calibri"/>
        </w:rPr>
      </w:pPr>
      <w:r w:rsidRPr="00317E7D">
        <w:rPr>
          <w:rFonts w:ascii="Calibri" w:cs="Calibri"/>
        </w:rPr>
        <w:t>115.</w:t>
      </w:r>
      <w:r w:rsidRPr="00317E7D">
        <w:rPr>
          <w:rFonts w:ascii="Calibri" w:cs="Calibri"/>
        </w:rPr>
        <w:tab/>
        <w:t xml:space="preserve">Olafsdottir, T. A., Lingnau, K., Nagy, E. &amp; Jonsdottir, I. IC31 </w:t>
      </w:r>
      <w:r w:rsidRPr="00317E7D">
        <w:rPr>
          <w:rFonts w:ascii="Calibri" w:cs="Calibri"/>
          <w:vertAlign w:val="superscript"/>
        </w:rPr>
        <w:t>®</w:t>
      </w:r>
      <w:r w:rsidRPr="00317E7D">
        <w:rPr>
          <w:rFonts w:ascii="Calibri" w:cs="Calibri"/>
        </w:rPr>
        <w:t xml:space="preserve"> , a Two-Component Novel Adjuvant Mixed with a Conjugate Vaccine Enhances Protective Immunity against Pneumococcal Disease in Neonatal Mice. </w:t>
      </w:r>
      <w:r w:rsidRPr="00317E7D">
        <w:rPr>
          <w:rFonts w:ascii="Calibri" w:cs="Calibri"/>
          <w:i/>
          <w:iCs/>
        </w:rPr>
        <w:t>Scandinavian Journal of Immunology</w:t>
      </w:r>
      <w:r w:rsidRPr="00317E7D">
        <w:rPr>
          <w:rFonts w:ascii="Calibri" w:cs="Calibri"/>
        </w:rPr>
        <w:t xml:space="preserve"> </w:t>
      </w:r>
      <w:r w:rsidRPr="00317E7D">
        <w:rPr>
          <w:rFonts w:ascii="Calibri" w:cs="Calibri"/>
          <w:b/>
          <w:bCs/>
        </w:rPr>
        <w:t>69</w:t>
      </w:r>
      <w:r w:rsidRPr="00317E7D">
        <w:rPr>
          <w:rFonts w:ascii="Calibri" w:cs="Calibri"/>
        </w:rPr>
        <w:t>, 194–202 (2009).</w:t>
      </w:r>
    </w:p>
    <w:p w14:paraId="2685E703" w14:textId="77777777" w:rsidR="00317E7D" w:rsidRPr="00317E7D" w:rsidRDefault="00317E7D" w:rsidP="00317E7D">
      <w:pPr>
        <w:pStyle w:val="Bibliography"/>
        <w:rPr>
          <w:rFonts w:ascii="Calibri" w:cs="Calibri"/>
        </w:rPr>
      </w:pPr>
      <w:r w:rsidRPr="00317E7D">
        <w:rPr>
          <w:rFonts w:ascii="Calibri" w:cs="Calibri"/>
        </w:rPr>
        <w:t>116.</w:t>
      </w:r>
      <w:r w:rsidRPr="00317E7D">
        <w:rPr>
          <w:rFonts w:ascii="Calibri" w:cs="Calibri"/>
        </w:rPr>
        <w:tab/>
        <w:t xml:space="preserve">Sriram, G. </w:t>
      </w:r>
      <w:r w:rsidRPr="00317E7D">
        <w:rPr>
          <w:rFonts w:ascii="Calibri" w:cs="Calibri"/>
          <w:i/>
          <w:iCs/>
        </w:rPr>
        <w:t>et al.</w:t>
      </w:r>
      <w:r w:rsidRPr="00317E7D">
        <w:rPr>
          <w:rFonts w:ascii="Calibri" w:cs="Calibri"/>
        </w:rPr>
        <w:t xml:space="preserve"> The injury response to DNA damage in live tumor cells promotes antitumor immunity. </w:t>
      </w:r>
      <w:r w:rsidRPr="00317E7D">
        <w:rPr>
          <w:rFonts w:ascii="Calibri" w:cs="Calibri"/>
          <w:i/>
          <w:iCs/>
        </w:rPr>
        <w:t>Sci. Signal.</w:t>
      </w:r>
      <w:r w:rsidRPr="00317E7D">
        <w:rPr>
          <w:rFonts w:ascii="Calibri" w:cs="Calibri"/>
        </w:rPr>
        <w:t xml:space="preserve"> </w:t>
      </w:r>
      <w:r w:rsidRPr="00317E7D">
        <w:rPr>
          <w:rFonts w:ascii="Calibri" w:cs="Calibri"/>
          <w:b/>
          <w:bCs/>
        </w:rPr>
        <w:t>14</w:t>
      </w:r>
      <w:r w:rsidRPr="00317E7D">
        <w:rPr>
          <w:rFonts w:ascii="Calibri" w:cs="Calibri"/>
        </w:rPr>
        <w:t>, eabc4764 (2021).</w:t>
      </w:r>
    </w:p>
    <w:p w14:paraId="79FC2292" w14:textId="77777777" w:rsidR="00317E7D" w:rsidRPr="00317E7D" w:rsidRDefault="00317E7D" w:rsidP="00317E7D">
      <w:pPr>
        <w:pStyle w:val="Bibliography"/>
        <w:rPr>
          <w:rFonts w:ascii="Calibri" w:cs="Calibri"/>
        </w:rPr>
      </w:pPr>
      <w:r w:rsidRPr="00317E7D">
        <w:rPr>
          <w:rFonts w:ascii="Calibri" w:cs="Calibri"/>
        </w:rPr>
        <w:t>117.</w:t>
      </w:r>
      <w:r w:rsidRPr="00317E7D">
        <w:rPr>
          <w:rFonts w:ascii="Calibri" w:cs="Calibri"/>
        </w:rPr>
        <w:tab/>
        <w:t xml:space="preserve">Lin, M., Liu, N., Qin, Z. &amp; Wang, Y. Mitochondrial-derived damage-associated molecular patterns amplify neuroinflammation in neurodegenerative diseases. </w:t>
      </w:r>
      <w:r w:rsidRPr="00317E7D">
        <w:rPr>
          <w:rFonts w:ascii="Calibri" w:cs="Calibri"/>
          <w:i/>
          <w:iCs/>
        </w:rPr>
        <w:t>Acta Pharmacol Sin</w:t>
      </w:r>
      <w:r w:rsidRPr="00317E7D">
        <w:rPr>
          <w:rFonts w:ascii="Calibri" w:cs="Calibri"/>
        </w:rPr>
        <w:t xml:space="preserve"> (2022) doi:10.1038/s41401-022-00879-6.</w:t>
      </w:r>
    </w:p>
    <w:p w14:paraId="58C73BFD" w14:textId="77777777" w:rsidR="00317E7D" w:rsidRPr="00317E7D" w:rsidRDefault="00317E7D" w:rsidP="00317E7D">
      <w:pPr>
        <w:pStyle w:val="Bibliography"/>
        <w:rPr>
          <w:rFonts w:ascii="Calibri" w:cs="Calibri"/>
        </w:rPr>
      </w:pPr>
      <w:r w:rsidRPr="00317E7D">
        <w:rPr>
          <w:rFonts w:ascii="Calibri" w:cs="Calibri"/>
        </w:rPr>
        <w:t>118.</w:t>
      </w:r>
      <w:r w:rsidRPr="00317E7D">
        <w:rPr>
          <w:rFonts w:ascii="Calibri" w:cs="Calibri"/>
        </w:rPr>
        <w:tab/>
        <w:t xml:space="preserve">Gambardella, S. </w:t>
      </w:r>
      <w:r w:rsidRPr="00317E7D">
        <w:rPr>
          <w:rFonts w:ascii="Calibri" w:cs="Calibri"/>
          <w:i/>
          <w:iCs/>
        </w:rPr>
        <w:t>et al.</w:t>
      </w:r>
      <w:r w:rsidRPr="00317E7D">
        <w:rPr>
          <w:rFonts w:ascii="Calibri" w:cs="Calibri"/>
        </w:rPr>
        <w:t xml:space="preserve"> ccf-mtDNA as a Potential Link Between the Brain and Immune System in Neuro-Immunological Disorders. </w:t>
      </w:r>
      <w:r w:rsidRPr="00317E7D">
        <w:rPr>
          <w:rFonts w:ascii="Calibri" w:cs="Calibri"/>
          <w:i/>
          <w:iCs/>
        </w:rPr>
        <w:t>Front. Immunol.</w:t>
      </w:r>
      <w:r w:rsidRPr="00317E7D">
        <w:rPr>
          <w:rFonts w:ascii="Calibri" w:cs="Calibri"/>
        </w:rPr>
        <w:t xml:space="preserve"> </w:t>
      </w:r>
      <w:r w:rsidRPr="00317E7D">
        <w:rPr>
          <w:rFonts w:ascii="Calibri" w:cs="Calibri"/>
          <w:b/>
          <w:bCs/>
        </w:rPr>
        <w:t>10</w:t>
      </w:r>
      <w:r w:rsidRPr="00317E7D">
        <w:rPr>
          <w:rFonts w:ascii="Calibri" w:cs="Calibri"/>
        </w:rPr>
        <w:t>, 1064 (2019).</w:t>
      </w:r>
    </w:p>
    <w:p w14:paraId="6E5549F9" w14:textId="77777777" w:rsidR="00317E7D" w:rsidRPr="00317E7D" w:rsidRDefault="00317E7D" w:rsidP="00317E7D">
      <w:pPr>
        <w:pStyle w:val="Bibliography"/>
        <w:rPr>
          <w:rFonts w:ascii="Calibri" w:cs="Calibri"/>
        </w:rPr>
      </w:pPr>
      <w:r w:rsidRPr="00317E7D">
        <w:rPr>
          <w:rFonts w:ascii="Calibri" w:cs="Calibri"/>
        </w:rPr>
        <w:lastRenderedPageBreak/>
        <w:t>119.</w:t>
      </w:r>
      <w:r w:rsidRPr="00317E7D">
        <w:rPr>
          <w:rFonts w:ascii="Calibri" w:cs="Calibri"/>
        </w:rPr>
        <w:tab/>
        <w:t xml:space="preserve">Wilkins, H. M. </w:t>
      </w:r>
      <w:r w:rsidRPr="00317E7D">
        <w:rPr>
          <w:rFonts w:ascii="Calibri" w:cs="Calibri"/>
          <w:i/>
          <w:iCs/>
        </w:rPr>
        <w:t>et al.</w:t>
      </w:r>
      <w:r w:rsidRPr="00317E7D">
        <w:rPr>
          <w:rFonts w:ascii="Calibri" w:cs="Calibri"/>
        </w:rPr>
        <w:t xml:space="preserve"> Extracellular Mitochondria and Mitochondrial Components Act as Damage-Associated Molecular Pattern Molecules in the Mouse Brain. </w:t>
      </w:r>
      <w:r w:rsidRPr="00317E7D">
        <w:rPr>
          <w:rFonts w:ascii="Calibri" w:cs="Calibri"/>
          <w:i/>
          <w:iCs/>
        </w:rPr>
        <w:t>J Neuroimmune Pharmacol</w:t>
      </w:r>
      <w:r w:rsidRPr="00317E7D">
        <w:rPr>
          <w:rFonts w:ascii="Calibri" w:cs="Calibri"/>
        </w:rPr>
        <w:t xml:space="preserve"> </w:t>
      </w:r>
      <w:r w:rsidRPr="00317E7D">
        <w:rPr>
          <w:rFonts w:ascii="Calibri" w:cs="Calibri"/>
          <w:b/>
          <w:bCs/>
        </w:rPr>
        <w:t>11</w:t>
      </w:r>
      <w:r w:rsidRPr="00317E7D">
        <w:rPr>
          <w:rFonts w:ascii="Calibri" w:cs="Calibri"/>
        </w:rPr>
        <w:t>, 622–628 (2016).</w:t>
      </w:r>
    </w:p>
    <w:p w14:paraId="5903D954" w14:textId="77777777" w:rsidR="00317E7D" w:rsidRPr="00317E7D" w:rsidRDefault="00317E7D" w:rsidP="00317E7D">
      <w:pPr>
        <w:pStyle w:val="Bibliography"/>
        <w:rPr>
          <w:rFonts w:ascii="Calibri" w:cs="Calibri"/>
        </w:rPr>
      </w:pPr>
      <w:r w:rsidRPr="00317E7D">
        <w:rPr>
          <w:rFonts w:ascii="Calibri" w:cs="Calibri"/>
        </w:rPr>
        <w:t>120.</w:t>
      </w:r>
      <w:r w:rsidRPr="00317E7D">
        <w:rPr>
          <w:rFonts w:ascii="Calibri" w:cs="Calibri"/>
        </w:rPr>
        <w:tab/>
        <w:t xml:space="preserve">Tanaka, H. </w:t>
      </w:r>
      <w:r w:rsidRPr="00317E7D">
        <w:rPr>
          <w:rFonts w:ascii="Calibri" w:cs="Calibri"/>
          <w:i/>
          <w:iCs/>
        </w:rPr>
        <w:t>et al.</w:t>
      </w:r>
      <w:r w:rsidRPr="00317E7D">
        <w:rPr>
          <w:rFonts w:ascii="Calibri" w:cs="Calibri"/>
        </w:rPr>
        <w:t xml:space="preserve"> YAP-dependent necrosis occurs in early stages of Alzheimer’s disease and regulates mouse model pathology. </w:t>
      </w:r>
      <w:r w:rsidRPr="00317E7D">
        <w:rPr>
          <w:rFonts w:ascii="Calibri" w:cs="Calibri"/>
          <w:i/>
          <w:iCs/>
        </w:rPr>
        <w:t>Nat Commun</w:t>
      </w:r>
      <w:r w:rsidRPr="00317E7D">
        <w:rPr>
          <w:rFonts w:ascii="Calibri" w:cs="Calibri"/>
        </w:rPr>
        <w:t xml:space="preserve"> </w:t>
      </w:r>
      <w:r w:rsidRPr="00317E7D">
        <w:rPr>
          <w:rFonts w:ascii="Calibri" w:cs="Calibri"/>
          <w:b/>
          <w:bCs/>
        </w:rPr>
        <w:t>11</w:t>
      </w:r>
      <w:r w:rsidRPr="00317E7D">
        <w:rPr>
          <w:rFonts w:ascii="Calibri" w:cs="Calibri"/>
        </w:rPr>
        <w:t>, 507 (2020).</w:t>
      </w:r>
    </w:p>
    <w:p w14:paraId="03B55FBC" w14:textId="77777777" w:rsidR="00317E7D" w:rsidRPr="00317E7D" w:rsidRDefault="00317E7D" w:rsidP="00317E7D">
      <w:pPr>
        <w:pStyle w:val="Bibliography"/>
        <w:rPr>
          <w:rFonts w:ascii="Calibri" w:cs="Calibri"/>
        </w:rPr>
      </w:pPr>
      <w:r w:rsidRPr="00317E7D">
        <w:rPr>
          <w:rFonts w:ascii="Calibri" w:cs="Calibri"/>
        </w:rPr>
        <w:t>121.</w:t>
      </w:r>
      <w:r w:rsidRPr="00317E7D">
        <w:rPr>
          <w:rFonts w:ascii="Calibri" w:cs="Calibri"/>
        </w:rPr>
        <w:tab/>
        <w:t xml:space="preserve">Walter, S. </w:t>
      </w:r>
      <w:r w:rsidRPr="00317E7D">
        <w:rPr>
          <w:rFonts w:ascii="Calibri" w:cs="Calibri"/>
          <w:i/>
          <w:iCs/>
        </w:rPr>
        <w:t>et al.</w:t>
      </w:r>
      <w:r w:rsidRPr="00317E7D">
        <w:rPr>
          <w:rFonts w:ascii="Calibri" w:cs="Calibri"/>
        </w:rPr>
        <w:t xml:space="preserve"> Role of the Toll-Like Receptor 4 in Neuroinflammation in Alzheimer’s Disease. </w:t>
      </w:r>
      <w:r w:rsidRPr="00317E7D">
        <w:rPr>
          <w:rFonts w:ascii="Calibri" w:cs="Calibri"/>
          <w:i/>
          <w:iCs/>
        </w:rPr>
        <w:t>Cell Physiol Biochem</w:t>
      </w:r>
      <w:r w:rsidRPr="00317E7D">
        <w:rPr>
          <w:rFonts w:ascii="Calibri" w:cs="Calibri"/>
        </w:rPr>
        <w:t xml:space="preserve"> </w:t>
      </w:r>
      <w:r w:rsidRPr="00317E7D">
        <w:rPr>
          <w:rFonts w:ascii="Calibri" w:cs="Calibri"/>
          <w:b/>
          <w:bCs/>
        </w:rPr>
        <w:t>20</w:t>
      </w:r>
      <w:r w:rsidRPr="00317E7D">
        <w:rPr>
          <w:rFonts w:ascii="Calibri" w:cs="Calibri"/>
        </w:rPr>
        <w:t>, 947–956 (2007).</w:t>
      </w:r>
    </w:p>
    <w:p w14:paraId="60265835" w14:textId="77777777" w:rsidR="00317E7D" w:rsidRPr="00317E7D" w:rsidRDefault="00317E7D" w:rsidP="00317E7D">
      <w:pPr>
        <w:pStyle w:val="Bibliography"/>
        <w:rPr>
          <w:rFonts w:ascii="Calibri" w:cs="Calibri"/>
        </w:rPr>
      </w:pPr>
      <w:r w:rsidRPr="00317E7D">
        <w:rPr>
          <w:rFonts w:ascii="Calibri" w:cs="Calibri"/>
        </w:rPr>
        <w:t>122.</w:t>
      </w:r>
      <w:r w:rsidRPr="00317E7D">
        <w:rPr>
          <w:rFonts w:ascii="Calibri" w:cs="Calibri"/>
        </w:rPr>
        <w:tab/>
        <w:t xml:space="preserve">Lee, D. Y. </w:t>
      </w:r>
      <w:r w:rsidRPr="00317E7D">
        <w:rPr>
          <w:rFonts w:ascii="Calibri" w:cs="Calibri"/>
          <w:i/>
          <w:iCs/>
        </w:rPr>
        <w:t>et al.</w:t>
      </w:r>
      <w:r w:rsidRPr="00317E7D">
        <w:rPr>
          <w:rFonts w:ascii="Calibri" w:cs="Calibri"/>
        </w:rPr>
        <w:t xml:space="preserve"> Activation of PERK Signaling Attenuates Aβ-Mediated ER Stress. </w:t>
      </w:r>
      <w:r w:rsidRPr="00317E7D">
        <w:rPr>
          <w:rFonts w:ascii="Calibri" w:cs="Calibri"/>
          <w:i/>
          <w:iCs/>
        </w:rPr>
        <w:t>PLoS ONE</w:t>
      </w:r>
      <w:r w:rsidRPr="00317E7D">
        <w:rPr>
          <w:rFonts w:ascii="Calibri" w:cs="Calibri"/>
        </w:rPr>
        <w:t xml:space="preserve"> </w:t>
      </w:r>
      <w:r w:rsidRPr="00317E7D">
        <w:rPr>
          <w:rFonts w:ascii="Calibri" w:cs="Calibri"/>
          <w:b/>
          <w:bCs/>
        </w:rPr>
        <w:t>5</w:t>
      </w:r>
      <w:r w:rsidRPr="00317E7D">
        <w:rPr>
          <w:rFonts w:ascii="Calibri" w:cs="Calibri"/>
        </w:rPr>
        <w:t>, e10489 (2010).</w:t>
      </w:r>
    </w:p>
    <w:p w14:paraId="3A12C9D6" w14:textId="77777777" w:rsidR="00317E7D" w:rsidRPr="00317E7D" w:rsidRDefault="00317E7D" w:rsidP="00317E7D">
      <w:pPr>
        <w:pStyle w:val="Bibliography"/>
        <w:rPr>
          <w:rFonts w:ascii="Calibri" w:cs="Calibri"/>
        </w:rPr>
      </w:pPr>
      <w:r w:rsidRPr="00317E7D">
        <w:rPr>
          <w:rFonts w:ascii="Calibri" w:cs="Calibri"/>
        </w:rPr>
        <w:t>123.</w:t>
      </w:r>
      <w:r w:rsidRPr="00317E7D">
        <w:rPr>
          <w:rFonts w:ascii="Calibri" w:cs="Calibri"/>
        </w:rPr>
        <w:tab/>
        <w:t xml:space="preserve">Chang, R. C. C., Wong, A. K. Y., Ng, H.-K. &amp; Hugon, J. Phosphorylation of eukaryotic initiation factor-2α (eIF2α) is associated with neuronal degeneration in Alzheimerʼs disease: </w:t>
      </w:r>
      <w:r w:rsidRPr="00317E7D">
        <w:rPr>
          <w:rFonts w:ascii="Calibri" w:cs="Calibri"/>
          <w:i/>
          <w:iCs/>
        </w:rPr>
        <w:t>NeuroReport</w:t>
      </w:r>
      <w:r w:rsidRPr="00317E7D">
        <w:rPr>
          <w:rFonts w:ascii="Calibri" w:cs="Calibri"/>
        </w:rPr>
        <w:t xml:space="preserve"> </w:t>
      </w:r>
      <w:r w:rsidRPr="00317E7D">
        <w:rPr>
          <w:rFonts w:ascii="Calibri" w:cs="Calibri"/>
          <w:b/>
          <w:bCs/>
        </w:rPr>
        <w:t>13</w:t>
      </w:r>
      <w:r w:rsidRPr="00317E7D">
        <w:rPr>
          <w:rFonts w:ascii="Calibri" w:cs="Calibri"/>
        </w:rPr>
        <w:t>, 2429–2432 (2002).</w:t>
      </w:r>
    </w:p>
    <w:p w14:paraId="7DD5F5BF" w14:textId="77777777" w:rsidR="00317E7D" w:rsidRPr="00317E7D" w:rsidRDefault="00317E7D" w:rsidP="00317E7D">
      <w:pPr>
        <w:pStyle w:val="Bibliography"/>
        <w:rPr>
          <w:rFonts w:ascii="Calibri" w:cs="Calibri"/>
        </w:rPr>
      </w:pPr>
      <w:r w:rsidRPr="00317E7D">
        <w:rPr>
          <w:rFonts w:ascii="Calibri" w:cs="Calibri"/>
        </w:rPr>
        <w:t>124.</w:t>
      </w:r>
      <w:r w:rsidRPr="00317E7D">
        <w:rPr>
          <w:rFonts w:ascii="Calibri" w:cs="Calibri"/>
        </w:rPr>
        <w:tab/>
        <w:t xml:space="preserve">Carrillo-Mora, P., Luna, R. &amp; Colín-Barenque, L. Amyloid Beta: Multiple Mechanisms of Toxicity and Only Some Protective Effects? </w:t>
      </w:r>
      <w:r w:rsidRPr="00317E7D">
        <w:rPr>
          <w:rFonts w:ascii="Calibri" w:cs="Calibri"/>
          <w:i/>
          <w:iCs/>
        </w:rPr>
        <w:t>Oxidative Medicine and Cellular Longevity</w:t>
      </w:r>
      <w:r w:rsidRPr="00317E7D">
        <w:rPr>
          <w:rFonts w:ascii="Calibri" w:cs="Calibri"/>
        </w:rPr>
        <w:t xml:space="preserve"> </w:t>
      </w:r>
      <w:r w:rsidRPr="00317E7D">
        <w:rPr>
          <w:rFonts w:ascii="Calibri" w:cs="Calibri"/>
          <w:b/>
          <w:bCs/>
        </w:rPr>
        <w:t>2014</w:t>
      </w:r>
      <w:r w:rsidRPr="00317E7D">
        <w:rPr>
          <w:rFonts w:ascii="Calibri" w:cs="Calibri"/>
        </w:rPr>
        <w:t>, 1–15 (2014).</w:t>
      </w:r>
    </w:p>
    <w:p w14:paraId="1441ACE1" w14:textId="77777777" w:rsidR="00317E7D" w:rsidRPr="00317E7D" w:rsidRDefault="00317E7D" w:rsidP="00317E7D">
      <w:pPr>
        <w:pStyle w:val="Bibliography"/>
        <w:rPr>
          <w:rFonts w:ascii="Calibri" w:cs="Calibri"/>
        </w:rPr>
      </w:pPr>
      <w:r w:rsidRPr="00317E7D">
        <w:rPr>
          <w:rFonts w:ascii="Calibri" w:cs="Calibri"/>
        </w:rPr>
        <w:t>125.</w:t>
      </w:r>
      <w:r w:rsidRPr="00317E7D">
        <w:rPr>
          <w:rFonts w:ascii="Calibri" w:cs="Calibri"/>
        </w:rPr>
        <w:tab/>
        <w:t xml:space="preserve">Irwin, M. </w:t>
      </w:r>
      <w:r w:rsidRPr="00317E7D">
        <w:rPr>
          <w:rFonts w:ascii="Calibri" w:cs="Calibri"/>
          <w:i/>
          <w:iCs/>
        </w:rPr>
        <w:t>et al.</w:t>
      </w:r>
      <w:r w:rsidRPr="00317E7D">
        <w:rPr>
          <w:rFonts w:ascii="Calibri" w:cs="Calibri"/>
        </w:rPr>
        <w:t xml:space="preserve"> A Positive Feedback Loop of Hippo- and c-Jun-Amino-Terminal Kinase Signaling Pathways Regulates Amyloid-Beta-Mediated Neurodegeneration. </w:t>
      </w:r>
      <w:r w:rsidRPr="00317E7D">
        <w:rPr>
          <w:rFonts w:ascii="Calibri" w:cs="Calibri"/>
          <w:i/>
          <w:iCs/>
        </w:rPr>
        <w:t>Front. Cell Dev. Biol.</w:t>
      </w:r>
      <w:r w:rsidRPr="00317E7D">
        <w:rPr>
          <w:rFonts w:ascii="Calibri" w:cs="Calibri"/>
        </w:rPr>
        <w:t xml:space="preserve"> </w:t>
      </w:r>
      <w:r w:rsidRPr="00317E7D">
        <w:rPr>
          <w:rFonts w:ascii="Calibri" w:cs="Calibri"/>
          <w:b/>
          <w:bCs/>
        </w:rPr>
        <w:t>8</w:t>
      </w:r>
      <w:r w:rsidRPr="00317E7D">
        <w:rPr>
          <w:rFonts w:ascii="Calibri" w:cs="Calibri"/>
        </w:rPr>
        <w:t>, 117 (2020).</w:t>
      </w:r>
    </w:p>
    <w:p w14:paraId="3691FD65" w14:textId="77777777" w:rsidR="00317E7D" w:rsidRPr="00317E7D" w:rsidRDefault="00317E7D" w:rsidP="00317E7D">
      <w:pPr>
        <w:pStyle w:val="Bibliography"/>
        <w:rPr>
          <w:rFonts w:ascii="Calibri" w:cs="Calibri"/>
        </w:rPr>
      </w:pPr>
      <w:r w:rsidRPr="00317E7D">
        <w:rPr>
          <w:rFonts w:ascii="Calibri" w:cs="Calibri"/>
        </w:rPr>
        <w:t>126.</w:t>
      </w:r>
      <w:r w:rsidRPr="00317E7D">
        <w:rPr>
          <w:rFonts w:ascii="Calibri" w:cs="Calibri"/>
        </w:rPr>
        <w:tab/>
        <w:t xml:space="preserve">Hao, Y., Chun, A., Cheung, K., Rashidi, B. &amp; Yang, X. Tumor Suppressor LATS1 Is a Negative Regulator of Oncogene YAP. </w:t>
      </w:r>
      <w:r w:rsidRPr="00317E7D">
        <w:rPr>
          <w:rFonts w:ascii="Calibri" w:cs="Calibri"/>
          <w:i/>
          <w:iCs/>
        </w:rPr>
        <w:t>Journal of Biological Chemistry</w:t>
      </w:r>
      <w:r w:rsidRPr="00317E7D">
        <w:rPr>
          <w:rFonts w:ascii="Calibri" w:cs="Calibri"/>
        </w:rPr>
        <w:t xml:space="preserve"> </w:t>
      </w:r>
      <w:r w:rsidRPr="00317E7D">
        <w:rPr>
          <w:rFonts w:ascii="Calibri" w:cs="Calibri"/>
          <w:b/>
          <w:bCs/>
        </w:rPr>
        <w:t>283</w:t>
      </w:r>
      <w:r w:rsidRPr="00317E7D">
        <w:rPr>
          <w:rFonts w:ascii="Calibri" w:cs="Calibri"/>
        </w:rPr>
        <w:t>, 5496–5509 (2008).</w:t>
      </w:r>
    </w:p>
    <w:p w14:paraId="19B2D460" w14:textId="77777777" w:rsidR="00317E7D" w:rsidRPr="00317E7D" w:rsidRDefault="00317E7D" w:rsidP="00317E7D">
      <w:pPr>
        <w:pStyle w:val="Bibliography"/>
        <w:rPr>
          <w:rFonts w:ascii="Calibri" w:cs="Calibri"/>
        </w:rPr>
      </w:pPr>
      <w:r w:rsidRPr="00317E7D">
        <w:rPr>
          <w:rFonts w:ascii="Calibri" w:cs="Calibri"/>
        </w:rPr>
        <w:t>127.</w:t>
      </w:r>
      <w:r w:rsidRPr="00317E7D">
        <w:rPr>
          <w:rFonts w:ascii="Calibri" w:cs="Calibri"/>
        </w:rPr>
        <w:tab/>
        <w:t xml:space="preserve">Abylkassov, R. &amp; Xie, Y. Role of Yes-associated protein in cancer: An update. </w:t>
      </w:r>
      <w:r w:rsidRPr="00317E7D">
        <w:rPr>
          <w:rFonts w:ascii="Calibri" w:cs="Calibri"/>
          <w:i/>
          <w:iCs/>
        </w:rPr>
        <w:t>Oncology Letters</w:t>
      </w:r>
      <w:r w:rsidRPr="00317E7D">
        <w:rPr>
          <w:rFonts w:ascii="Calibri" w:cs="Calibri"/>
        </w:rPr>
        <w:t xml:space="preserve"> </w:t>
      </w:r>
      <w:r w:rsidRPr="00317E7D">
        <w:rPr>
          <w:rFonts w:ascii="Calibri" w:cs="Calibri"/>
          <w:b/>
          <w:bCs/>
        </w:rPr>
        <w:t>12</w:t>
      </w:r>
      <w:r w:rsidRPr="00317E7D">
        <w:rPr>
          <w:rFonts w:ascii="Calibri" w:cs="Calibri"/>
        </w:rPr>
        <w:t>, 2277–2282 (2016).</w:t>
      </w:r>
    </w:p>
    <w:p w14:paraId="7C8A21B1" w14:textId="77777777" w:rsidR="00317E7D" w:rsidRPr="00317E7D" w:rsidRDefault="00317E7D" w:rsidP="00317E7D">
      <w:pPr>
        <w:pStyle w:val="Bibliography"/>
        <w:rPr>
          <w:rFonts w:ascii="Calibri" w:cs="Calibri"/>
        </w:rPr>
      </w:pPr>
      <w:r w:rsidRPr="00317E7D">
        <w:rPr>
          <w:rFonts w:ascii="Calibri" w:cs="Calibri"/>
        </w:rPr>
        <w:lastRenderedPageBreak/>
        <w:t>128.</w:t>
      </w:r>
      <w:r w:rsidRPr="00317E7D">
        <w:rPr>
          <w:rFonts w:ascii="Calibri" w:cs="Calibri"/>
        </w:rPr>
        <w:tab/>
        <w:t xml:space="preserve">Mueller, K. A. </w:t>
      </w:r>
      <w:r w:rsidRPr="00317E7D">
        <w:rPr>
          <w:rFonts w:ascii="Calibri" w:cs="Calibri"/>
          <w:i/>
          <w:iCs/>
        </w:rPr>
        <w:t>et al.</w:t>
      </w:r>
      <w:r w:rsidRPr="00317E7D">
        <w:rPr>
          <w:rFonts w:ascii="Calibri" w:cs="Calibri"/>
        </w:rPr>
        <w:t xml:space="preserve"> Hippo Signaling Pathway Dysregulation in Human Huntington’s Disease Brain and Neuronal Stem Cells. </w:t>
      </w:r>
      <w:r w:rsidRPr="00317E7D">
        <w:rPr>
          <w:rFonts w:ascii="Calibri" w:cs="Calibri"/>
          <w:i/>
          <w:iCs/>
        </w:rPr>
        <w:t>Sci Rep</w:t>
      </w:r>
      <w:r w:rsidRPr="00317E7D">
        <w:rPr>
          <w:rFonts w:ascii="Calibri" w:cs="Calibri"/>
        </w:rPr>
        <w:t xml:space="preserve"> </w:t>
      </w:r>
      <w:r w:rsidRPr="00317E7D">
        <w:rPr>
          <w:rFonts w:ascii="Calibri" w:cs="Calibri"/>
          <w:b/>
          <w:bCs/>
        </w:rPr>
        <w:t>8</w:t>
      </w:r>
      <w:r w:rsidRPr="00317E7D">
        <w:rPr>
          <w:rFonts w:ascii="Calibri" w:cs="Calibri"/>
        </w:rPr>
        <w:t>, 11355 (2018).</w:t>
      </w:r>
    </w:p>
    <w:p w14:paraId="5A3B73B1" w14:textId="77777777" w:rsidR="00317E7D" w:rsidRPr="00317E7D" w:rsidRDefault="00317E7D" w:rsidP="00317E7D">
      <w:pPr>
        <w:pStyle w:val="Bibliography"/>
        <w:rPr>
          <w:rFonts w:ascii="Calibri" w:cs="Calibri"/>
        </w:rPr>
      </w:pPr>
      <w:r w:rsidRPr="00317E7D">
        <w:rPr>
          <w:rFonts w:ascii="Calibri" w:cs="Calibri"/>
        </w:rPr>
        <w:t>129.</w:t>
      </w:r>
      <w:r w:rsidRPr="00317E7D">
        <w:rPr>
          <w:rFonts w:ascii="Calibri" w:cs="Calibri"/>
        </w:rPr>
        <w:tab/>
        <w:t xml:space="preserve">Moujalled, D., Strasser, A. &amp; Liddell, J. R. Molecular mechanisms of cell death in neurological diseases. </w:t>
      </w:r>
      <w:r w:rsidRPr="00317E7D">
        <w:rPr>
          <w:rFonts w:ascii="Calibri" w:cs="Calibri"/>
          <w:i/>
          <w:iCs/>
        </w:rPr>
        <w:t>Cell Death Differ</w:t>
      </w:r>
      <w:r w:rsidRPr="00317E7D">
        <w:rPr>
          <w:rFonts w:ascii="Calibri" w:cs="Calibri"/>
        </w:rPr>
        <w:t xml:space="preserve"> </w:t>
      </w:r>
      <w:r w:rsidRPr="00317E7D">
        <w:rPr>
          <w:rFonts w:ascii="Calibri" w:cs="Calibri"/>
          <w:b/>
          <w:bCs/>
        </w:rPr>
        <w:t>28</w:t>
      </w:r>
      <w:r w:rsidRPr="00317E7D">
        <w:rPr>
          <w:rFonts w:ascii="Calibri" w:cs="Calibri"/>
        </w:rPr>
        <w:t>, 2029–2044 (2021).</w:t>
      </w:r>
    </w:p>
    <w:p w14:paraId="35D238D3" w14:textId="77777777" w:rsidR="00317E7D" w:rsidRPr="00317E7D" w:rsidRDefault="00317E7D" w:rsidP="00317E7D">
      <w:pPr>
        <w:pStyle w:val="Bibliography"/>
        <w:rPr>
          <w:rFonts w:ascii="Calibri" w:cs="Calibri"/>
        </w:rPr>
      </w:pPr>
      <w:r w:rsidRPr="00317E7D">
        <w:rPr>
          <w:rFonts w:ascii="Calibri" w:cs="Calibri"/>
        </w:rPr>
        <w:t>130.</w:t>
      </w:r>
      <w:r w:rsidRPr="00317E7D">
        <w:rPr>
          <w:rFonts w:ascii="Calibri" w:cs="Calibri"/>
        </w:rPr>
        <w:tab/>
        <w:t xml:space="preserve">Koper, M. J. </w:t>
      </w:r>
      <w:r w:rsidRPr="00317E7D">
        <w:rPr>
          <w:rFonts w:ascii="Calibri" w:cs="Calibri"/>
          <w:i/>
          <w:iCs/>
        </w:rPr>
        <w:t>et al.</w:t>
      </w:r>
      <w:r w:rsidRPr="00317E7D">
        <w:rPr>
          <w:rFonts w:ascii="Calibri" w:cs="Calibri"/>
        </w:rPr>
        <w:t xml:space="preserve"> Necrosome complex detected in granulovacuolar degeneration is associated with neuronal loss in Alzheimer’s disease. </w:t>
      </w:r>
      <w:r w:rsidRPr="00317E7D">
        <w:rPr>
          <w:rFonts w:ascii="Calibri" w:cs="Calibri"/>
          <w:i/>
          <w:iCs/>
        </w:rPr>
        <w:t>Acta Neuropathol</w:t>
      </w:r>
      <w:r w:rsidRPr="00317E7D">
        <w:rPr>
          <w:rFonts w:ascii="Calibri" w:cs="Calibri"/>
        </w:rPr>
        <w:t xml:space="preserve"> </w:t>
      </w:r>
      <w:r w:rsidRPr="00317E7D">
        <w:rPr>
          <w:rFonts w:ascii="Calibri" w:cs="Calibri"/>
          <w:b/>
          <w:bCs/>
        </w:rPr>
        <w:t>139</w:t>
      </w:r>
      <w:r w:rsidRPr="00317E7D">
        <w:rPr>
          <w:rFonts w:ascii="Calibri" w:cs="Calibri"/>
        </w:rPr>
        <w:t>, 463–484 (2020).</w:t>
      </w:r>
    </w:p>
    <w:p w14:paraId="5CDAC33A" w14:textId="77777777" w:rsidR="00317E7D" w:rsidRPr="00317E7D" w:rsidRDefault="00317E7D" w:rsidP="00317E7D">
      <w:pPr>
        <w:pStyle w:val="Bibliography"/>
        <w:rPr>
          <w:rFonts w:ascii="Calibri" w:cs="Calibri"/>
        </w:rPr>
      </w:pPr>
      <w:r w:rsidRPr="00317E7D">
        <w:rPr>
          <w:rFonts w:ascii="Calibri" w:cs="Calibri"/>
        </w:rPr>
        <w:t>131.</w:t>
      </w:r>
      <w:r w:rsidRPr="00317E7D">
        <w:rPr>
          <w:rFonts w:ascii="Calibri" w:cs="Calibri"/>
        </w:rPr>
        <w:tab/>
        <w:t xml:space="preserve">Motawi, T. M. K., Abdel-Nasser, Z. M. &amp; Shahin, N. N. Ameliorative Effect of Necrosulfonamide in a Rat Model of Alzheimer’s Disease: Targeting Mixed Lineage Kinase Domain-like Protein-Mediated Necroptosis. </w:t>
      </w:r>
      <w:r w:rsidRPr="00317E7D">
        <w:rPr>
          <w:rFonts w:ascii="Calibri" w:cs="Calibri"/>
          <w:i/>
          <w:iCs/>
        </w:rPr>
        <w:t>ACS Chem. Neurosci.</w:t>
      </w:r>
      <w:r w:rsidRPr="00317E7D">
        <w:rPr>
          <w:rFonts w:ascii="Calibri" w:cs="Calibri"/>
        </w:rPr>
        <w:t xml:space="preserve"> </w:t>
      </w:r>
      <w:r w:rsidRPr="00317E7D">
        <w:rPr>
          <w:rFonts w:ascii="Calibri" w:cs="Calibri"/>
          <w:b/>
          <w:bCs/>
        </w:rPr>
        <w:t>11</w:t>
      </w:r>
      <w:r w:rsidRPr="00317E7D">
        <w:rPr>
          <w:rFonts w:ascii="Calibri" w:cs="Calibri"/>
        </w:rPr>
        <w:t>, 3386–3397 (2020).</w:t>
      </w:r>
    </w:p>
    <w:p w14:paraId="4F807A56" w14:textId="77777777" w:rsidR="00317E7D" w:rsidRPr="00317E7D" w:rsidRDefault="00317E7D" w:rsidP="00317E7D">
      <w:pPr>
        <w:pStyle w:val="Bibliography"/>
        <w:rPr>
          <w:rFonts w:ascii="Calibri" w:cs="Calibri"/>
        </w:rPr>
      </w:pPr>
      <w:r w:rsidRPr="00317E7D">
        <w:rPr>
          <w:rFonts w:ascii="Calibri" w:cs="Calibri"/>
        </w:rPr>
        <w:t>132.</w:t>
      </w:r>
      <w:r w:rsidRPr="00317E7D">
        <w:rPr>
          <w:rFonts w:ascii="Calibri" w:cs="Calibri"/>
        </w:rPr>
        <w:tab/>
        <w:t xml:space="preserve">Zhao, W. </w:t>
      </w:r>
      <w:r w:rsidRPr="00317E7D">
        <w:rPr>
          <w:rFonts w:ascii="Calibri" w:cs="Calibri"/>
          <w:i/>
          <w:iCs/>
        </w:rPr>
        <w:t>et al.</w:t>
      </w:r>
      <w:r w:rsidRPr="00317E7D">
        <w:rPr>
          <w:rFonts w:ascii="Calibri" w:cs="Calibri"/>
        </w:rPr>
        <w:t xml:space="preserve"> Targeting Necroptosis as a Promising Therapy for Alzheimer’s Disease. </w:t>
      </w:r>
      <w:r w:rsidRPr="00317E7D">
        <w:rPr>
          <w:rFonts w:ascii="Calibri" w:cs="Calibri"/>
          <w:i/>
          <w:iCs/>
        </w:rPr>
        <w:t>ACS Chem. Neurosci.</w:t>
      </w:r>
      <w:r w:rsidRPr="00317E7D">
        <w:rPr>
          <w:rFonts w:ascii="Calibri" w:cs="Calibri"/>
        </w:rPr>
        <w:t xml:space="preserve"> acschemneuro.2c00172 (2022) doi:10.1021/acschemneuro.2c00172.</w:t>
      </w:r>
    </w:p>
    <w:p w14:paraId="0EE20F29" w14:textId="77777777" w:rsidR="00317E7D" w:rsidRPr="00317E7D" w:rsidRDefault="00317E7D" w:rsidP="00317E7D">
      <w:pPr>
        <w:pStyle w:val="Bibliography"/>
        <w:rPr>
          <w:rFonts w:ascii="Calibri" w:cs="Calibri"/>
        </w:rPr>
      </w:pPr>
      <w:r w:rsidRPr="00317E7D">
        <w:rPr>
          <w:rFonts w:ascii="Calibri" w:cs="Calibri"/>
        </w:rPr>
        <w:t>133.</w:t>
      </w:r>
      <w:r w:rsidRPr="00317E7D">
        <w:rPr>
          <w:rFonts w:ascii="Calibri" w:cs="Calibri"/>
        </w:rPr>
        <w:tab/>
        <w:t xml:space="preserve">Tan, M.-S. </w:t>
      </w:r>
      <w:r w:rsidRPr="00317E7D">
        <w:rPr>
          <w:rFonts w:ascii="Calibri" w:cs="Calibri"/>
          <w:i/>
          <w:iCs/>
        </w:rPr>
        <w:t>et al.</w:t>
      </w:r>
      <w:r w:rsidRPr="00317E7D">
        <w:rPr>
          <w:rFonts w:ascii="Calibri" w:cs="Calibri"/>
        </w:rPr>
        <w:t xml:space="preserve"> Amyloid- β induces NLRP1-dependent neuronal pyroptosis in models of Alzheimer’s disease. </w:t>
      </w:r>
      <w:r w:rsidRPr="00317E7D">
        <w:rPr>
          <w:rFonts w:ascii="Calibri" w:cs="Calibri"/>
          <w:i/>
          <w:iCs/>
        </w:rPr>
        <w:t>Cell Death &amp; Disease</w:t>
      </w:r>
      <w:r w:rsidRPr="00317E7D">
        <w:rPr>
          <w:rFonts w:ascii="Calibri" w:cs="Calibri"/>
        </w:rPr>
        <w:t xml:space="preserve"> </w:t>
      </w:r>
      <w:r w:rsidRPr="00317E7D">
        <w:rPr>
          <w:rFonts w:ascii="Calibri" w:cs="Calibri"/>
          <w:b/>
          <w:bCs/>
        </w:rPr>
        <w:t>5</w:t>
      </w:r>
      <w:r w:rsidRPr="00317E7D">
        <w:rPr>
          <w:rFonts w:ascii="Calibri" w:cs="Calibri"/>
        </w:rPr>
        <w:t>, e1382–e1382 (2014).</w:t>
      </w:r>
    </w:p>
    <w:p w14:paraId="116C4A2D" w14:textId="77777777" w:rsidR="00317E7D" w:rsidRPr="00317E7D" w:rsidRDefault="00317E7D" w:rsidP="00317E7D">
      <w:pPr>
        <w:pStyle w:val="Bibliography"/>
        <w:rPr>
          <w:rFonts w:ascii="Calibri" w:cs="Calibri"/>
        </w:rPr>
      </w:pPr>
      <w:r w:rsidRPr="00317E7D">
        <w:rPr>
          <w:rFonts w:ascii="Calibri" w:cs="Calibri"/>
        </w:rPr>
        <w:t>134.</w:t>
      </w:r>
      <w:r w:rsidRPr="00317E7D">
        <w:rPr>
          <w:rFonts w:ascii="Calibri" w:cs="Calibri"/>
        </w:rPr>
        <w:tab/>
        <w:t xml:space="preserve">Halle, A. </w:t>
      </w:r>
      <w:r w:rsidRPr="00317E7D">
        <w:rPr>
          <w:rFonts w:ascii="Calibri" w:cs="Calibri"/>
          <w:i/>
          <w:iCs/>
        </w:rPr>
        <w:t>et al.</w:t>
      </w:r>
      <w:r w:rsidRPr="00317E7D">
        <w:rPr>
          <w:rFonts w:ascii="Calibri" w:cs="Calibri"/>
        </w:rPr>
        <w:t xml:space="preserve"> The NALP3 inflammasome is involved in the innate immune response to amyloid-β. </w:t>
      </w:r>
      <w:r w:rsidRPr="00317E7D">
        <w:rPr>
          <w:rFonts w:ascii="Calibri" w:cs="Calibri"/>
          <w:i/>
          <w:iCs/>
        </w:rPr>
        <w:t>Nat Immunol</w:t>
      </w:r>
      <w:r w:rsidRPr="00317E7D">
        <w:rPr>
          <w:rFonts w:ascii="Calibri" w:cs="Calibri"/>
        </w:rPr>
        <w:t xml:space="preserve"> </w:t>
      </w:r>
      <w:r w:rsidRPr="00317E7D">
        <w:rPr>
          <w:rFonts w:ascii="Calibri" w:cs="Calibri"/>
          <w:b/>
          <w:bCs/>
        </w:rPr>
        <w:t>9</w:t>
      </w:r>
      <w:r w:rsidRPr="00317E7D">
        <w:rPr>
          <w:rFonts w:ascii="Calibri" w:cs="Calibri"/>
        </w:rPr>
        <w:t>, 857–865 (2008).</w:t>
      </w:r>
    </w:p>
    <w:p w14:paraId="02664F42" w14:textId="77777777" w:rsidR="00317E7D" w:rsidRPr="00317E7D" w:rsidRDefault="00317E7D" w:rsidP="00317E7D">
      <w:pPr>
        <w:pStyle w:val="Bibliography"/>
        <w:rPr>
          <w:rFonts w:ascii="Calibri" w:cs="Calibri"/>
        </w:rPr>
      </w:pPr>
      <w:r w:rsidRPr="00317E7D">
        <w:rPr>
          <w:rFonts w:ascii="Calibri" w:cs="Calibri"/>
        </w:rPr>
        <w:t>135.</w:t>
      </w:r>
      <w:r w:rsidRPr="00317E7D">
        <w:rPr>
          <w:rFonts w:ascii="Calibri" w:cs="Calibri"/>
        </w:rPr>
        <w:tab/>
        <w:t xml:space="preserve">Nakanishi, A. </w:t>
      </w:r>
      <w:r w:rsidRPr="00317E7D">
        <w:rPr>
          <w:rFonts w:ascii="Calibri" w:cs="Calibri"/>
          <w:i/>
          <w:iCs/>
        </w:rPr>
        <w:t>et al.</w:t>
      </w:r>
      <w:r w:rsidRPr="00317E7D">
        <w:rPr>
          <w:rFonts w:ascii="Calibri" w:cs="Calibri"/>
        </w:rPr>
        <w:t xml:space="preserve"> Amyloid β directly interacts with NLRP3 to initiate inflammasome activation: identification of an intrinsic NLRP3 ligand in a cell-free system. </w:t>
      </w:r>
      <w:r w:rsidRPr="00317E7D">
        <w:rPr>
          <w:rFonts w:ascii="Calibri" w:cs="Calibri"/>
          <w:i/>
          <w:iCs/>
        </w:rPr>
        <w:t>Inflamm Regen</w:t>
      </w:r>
      <w:r w:rsidRPr="00317E7D">
        <w:rPr>
          <w:rFonts w:ascii="Calibri" w:cs="Calibri"/>
        </w:rPr>
        <w:t xml:space="preserve"> </w:t>
      </w:r>
      <w:r w:rsidRPr="00317E7D">
        <w:rPr>
          <w:rFonts w:ascii="Calibri" w:cs="Calibri"/>
          <w:b/>
          <w:bCs/>
        </w:rPr>
        <w:t>38</w:t>
      </w:r>
      <w:r w:rsidRPr="00317E7D">
        <w:rPr>
          <w:rFonts w:ascii="Calibri" w:cs="Calibri"/>
        </w:rPr>
        <w:t>, (2018).</w:t>
      </w:r>
    </w:p>
    <w:p w14:paraId="29FB3F37" w14:textId="77777777" w:rsidR="00317E7D" w:rsidRPr="00317E7D" w:rsidRDefault="00317E7D" w:rsidP="00317E7D">
      <w:pPr>
        <w:pStyle w:val="Bibliography"/>
        <w:rPr>
          <w:rFonts w:ascii="Calibri" w:cs="Calibri"/>
        </w:rPr>
      </w:pPr>
      <w:r w:rsidRPr="00317E7D">
        <w:rPr>
          <w:rFonts w:ascii="Calibri" w:cs="Calibri"/>
        </w:rPr>
        <w:t>136.</w:t>
      </w:r>
      <w:r w:rsidRPr="00317E7D">
        <w:rPr>
          <w:rFonts w:ascii="Calibri" w:cs="Calibri"/>
        </w:rPr>
        <w:tab/>
        <w:t xml:space="preserve">Goodman, L. ALZHEIMERʼS DISEASE: A Clinico-pathologic Analysis of Twenty-three Cases with a Theory on Pathogenesis. </w:t>
      </w:r>
      <w:r w:rsidRPr="00317E7D">
        <w:rPr>
          <w:rFonts w:ascii="Calibri" w:cs="Calibri"/>
          <w:i/>
          <w:iCs/>
        </w:rPr>
        <w:t>The Journal of Nervous and Mental Disease</w:t>
      </w:r>
      <w:r w:rsidRPr="00317E7D">
        <w:rPr>
          <w:rFonts w:ascii="Calibri" w:cs="Calibri"/>
        </w:rPr>
        <w:t xml:space="preserve"> </w:t>
      </w:r>
      <w:r w:rsidRPr="00317E7D">
        <w:rPr>
          <w:rFonts w:ascii="Calibri" w:cs="Calibri"/>
          <w:b/>
          <w:bCs/>
        </w:rPr>
        <w:t>118</w:t>
      </w:r>
      <w:r w:rsidRPr="00317E7D">
        <w:rPr>
          <w:rFonts w:ascii="Calibri" w:cs="Calibri"/>
        </w:rPr>
        <w:t>, 97–130 (1953).</w:t>
      </w:r>
    </w:p>
    <w:p w14:paraId="26B4E937" w14:textId="77777777" w:rsidR="00317E7D" w:rsidRPr="00317E7D" w:rsidRDefault="00317E7D" w:rsidP="00317E7D">
      <w:pPr>
        <w:pStyle w:val="Bibliography"/>
        <w:rPr>
          <w:rFonts w:ascii="Calibri" w:cs="Calibri"/>
        </w:rPr>
      </w:pPr>
      <w:r w:rsidRPr="00317E7D">
        <w:rPr>
          <w:rFonts w:ascii="Calibri" w:cs="Calibri"/>
        </w:rPr>
        <w:lastRenderedPageBreak/>
        <w:t>137.</w:t>
      </w:r>
      <w:r w:rsidRPr="00317E7D">
        <w:rPr>
          <w:rFonts w:ascii="Calibri" w:cs="Calibri"/>
        </w:rPr>
        <w:tab/>
        <w:t xml:space="preserve">Reichert, C. O. </w:t>
      </w:r>
      <w:r w:rsidRPr="00317E7D">
        <w:rPr>
          <w:rFonts w:ascii="Calibri" w:cs="Calibri"/>
          <w:i/>
          <w:iCs/>
        </w:rPr>
        <w:t>et al.</w:t>
      </w:r>
      <w:r w:rsidRPr="00317E7D">
        <w:rPr>
          <w:rFonts w:ascii="Calibri" w:cs="Calibri"/>
        </w:rPr>
        <w:t xml:space="preserve"> Ferroptosis Mechanisms Involved in Neurodegenerative Diseases. </w:t>
      </w:r>
      <w:r w:rsidRPr="00317E7D">
        <w:rPr>
          <w:rFonts w:ascii="Calibri" w:cs="Calibri"/>
          <w:i/>
          <w:iCs/>
        </w:rPr>
        <w:t>IJMS</w:t>
      </w:r>
      <w:r w:rsidRPr="00317E7D">
        <w:rPr>
          <w:rFonts w:ascii="Calibri" w:cs="Calibri"/>
        </w:rPr>
        <w:t xml:space="preserve"> </w:t>
      </w:r>
      <w:r w:rsidRPr="00317E7D">
        <w:rPr>
          <w:rFonts w:ascii="Calibri" w:cs="Calibri"/>
          <w:b/>
          <w:bCs/>
        </w:rPr>
        <w:t>21</w:t>
      </w:r>
      <w:r w:rsidRPr="00317E7D">
        <w:rPr>
          <w:rFonts w:ascii="Calibri" w:cs="Calibri"/>
        </w:rPr>
        <w:t>, 8765 (2020).</w:t>
      </w:r>
    </w:p>
    <w:p w14:paraId="0563B15C" w14:textId="77777777" w:rsidR="00317E7D" w:rsidRPr="00317E7D" w:rsidRDefault="00317E7D" w:rsidP="00317E7D">
      <w:pPr>
        <w:pStyle w:val="Bibliography"/>
        <w:rPr>
          <w:rFonts w:ascii="Calibri" w:cs="Calibri"/>
        </w:rPr>
      </w:pPr>
      <w:r w:rsidRPr="00317E7D">
        <w:rPr>
          <w:rFonts w:ascii="Calibri" w:cs="Calibri"/>
        </w:rPr>
        <w:t>138.</w:t>
      </w:r>
      <w:r w:rsidRPr="00317E7D">
        <w:rPr>
          <w:rFonts w:ascii="Calibri" w:cs="Calibri"/>
        </w:rPr>
        <w:tab/>
        <w:t xml:space="preserve">Hallgren, B. &amp; Sourander, P. THE NON-HAEMIN IRON IN THE CEREBRAL CORTEX IN ALZHEIMER’S DISEASE. </w:t>
      </w:r>
      <w:r w:rsidRPr="00317E7D">
        <w:rPr>
          <w:rFonts w:ascii="Calibri" w:cs="Calibri"/>
          <w:i/>
          <w:iCs/>
        </w:rPr>
        <w:t>J Neurochem</w:t>
      </w:r>
      <w:r w:rsidRPr="00317E7D">
        <w:rPr>
          <w:rFonts w:ascii="Calibri" w:cs="Calibri"/>
        </w:rPr>
        <w:t xml:space="preserve"> </w:t>
      </w:r>
      <w:r w:rsidRPr="00317E7D">
        <w:rPr>
          <w:rFonts w:ascii="Calibri" w:cs="Calibri"/>
          <w:b/>
          <w:bCs/>
        </w:rPr>
        <w:t>5</w:t>
      </w:r>
      <w:r w:rsidRPr="00317E7D">
        <w:rPr>
          <w:rFonts w:ascii="Calibri" w:cs="Calibri"/>
        </w:rPr>
        <w:t>, 307–310 (1960).</w:t>
      </w:r>
    </w:p>
    <w:p w14:paraId="5C97C9BF" w14:textId="77777777" w:rsidR="00317E7D" w:rsidRPr="00317E7D" w:rsidRDefault="00317E7D" w:rsidP="00317E7D">
      <w:pPr>
        <w:pStyle w:val="Bibliography"/>
        <w:rPr>
          <w:rFonts w:ascii="Calibri" w:cs="Calibri"/>
        </w:rPr>
      </w:pPr>
      <w:r w:rsidRPr="00317E7D">
        <w:rPr>
          <w:rFonts w:ascii="Calibri" w:cs="Calibri"/>
        </w:rPr>
        <w:t>139.</w:t>
      </w:r>
      <w:r w:rsidRPr="00317E7D">
        <w:rPr>
          <w:rFonts w:ascii="Calibri" w:cs="Calibri"/>
        </w:rPr>
        <w:tab/>
        <w:t xml:space="preserve">Rao, S. S. </w:t>
      </w:r>
      <w:r w:rsidRPr="00317E7D">
        <w:rPr>
          <w:rFonts w:ascii="Calibri" w:cs="Calibri"/>
          <w:i/>
          <w:iCs/>
        </w:rPr>
        <w:t>et al.</w:t>
      </w:r>
      <w:r w:rsidRPr="00317E7D">
        <w:rPr>
          <w:rFonts w:ascii="Calibri" w:cs="Calibri"/>
        </w:rPr>
        <w:t xml:space="preserve"> Characterising the spatial and temporal brain metal profile in a mouse model of tauopathy. </w:t>
      </w:r>
      <w:r w:rsidRPr="00317E7D">
        <w:rPr>
          <w:rFonts w:ascii="Calibri" w:cs="Calibri"/>
          <w:i/>
          <w:iCs/>
        </w:rPr>
        <w:t>Metallomics</w:t>
      </w:r>
      <w:r w:rsidRPr="00317E7D">
        <w:rPr>
          <w:rFonts w:ascii="Calibri" w:cs="Calibri"/>
        </w:rPr>
        <w:t xml:space="preserve"> </w:t>
      </w:r>
      <w:r w:rsidRPr="00317E7D">
        <w:rPr>
          <w:rFonts w:ascii="Calibri" w:cs="Calibri"/>
          <w:b/>
          <w:bCs/>
        </w:rPr>
        <w:t>12</w:t>
      </w:r>
      <w:r w:rsidRPr="00317E7D">
        <w:rPr>
          <w:rFonts w:ascii="Calibri" w:cs="Calibri"/>
        </w:rPr>
        <w:t>, 301–313 (2020).</w:t>
      </w:r>
    </w:p>
    <w:p w14:paraId="46238E7C" w14:textId="77777777" w:rsidR="00317E7D" w:rsidRPr="00317E7D" w:rsidRDefault="00317E7D" w:rsidP="00317E7D">
      <w:pPr>
        <w:pStyle w:val="Bibliography"/>
        <w:rPr>
          <w:rFonts w:ascii="Calibri" w:cs="Calibri"/>
        </w:rPr>
      </w:pPr>
      <w:r w:rsidRPr="00317E7D">
        <w:rPr>
          <w:rFonts w:ascii="Calibri" w:cs="Calibri"/>
        </w:rPr>
        <w:t>140.</w:t>
      </w:r>
      <w:r w:rsidRPr="00317E7D">
        <w:rPr>
          <w:rFonts w:ascii="Calibri" w:cs="Calibri"/>
        </w:rPr>
        <w:tab/>
        <w:t xml:space="preserve">Yan, N. &amp; Zhang, J. Iron Metabolism, Ferroptosis, and the Links With Alzheimer’s Disease. </w:t>
      </w:r>
      <w:r w:rsidRPr="00317E7D">
        <w:rPr>
          <w:rFonts w:ascii="Calibri" w:cs="Calibri"/>
          <w:i/>
          <w:iCs/>
        </w:rPr>
        <w:t>Front. Neurosci.</w:t>
      </w:r>
      <w:r w:rsidRPr="00317E7D">
        <w:rPr>
          <w:rFonts w:ascii="Calibri" w:cs="Calibri"/>
        </w:rPr>
        <w:t xml:space="preserve"> </w:t>
      </w:r>
      <w:r w:rsidRPr="00317E7D">
        <w:rPr>
          <w:rFonts w:ascii="Calibri" w:cs="Calibri"/>
          <w:b/>
          <w:bCs/>
        </w:rPr>
        <w:t>13</w:t>
      </w:r>
      <w:r w:rsidRPr="00317E7D">
        <w:rPr>
          <w:rFonts w:ascii="Calibri" w:cs="Calibri"/>
        </w:rPr>
        <w:t>, 1443 (2020).</w:t>
      </w:r>
    </w:p>
    <w:p w14:paraId="5D1E0CAD" w14:textId="77777777" w:rsidR="00317E7D" w:rsidRPr="00317E7D" w:rsidRDefault="00317E7D" w:rsidP="00317E7D">
      <w:pPr>
        <w:pStyle w:val="Bibliography"/>
        <w:rPr>
          <w:rFonts w:ascii="Calibri" w:cs="Calibri"/>
        </w:rPr>
      </w:pPr>
      <w:r w:rsidRPr="00317E7D">
        <w:rPr>
          <w:rFonts w:ascii="Calibri" w:cs="Calibri"/>
        </w:rPr>
        <w:t>141.</w:t>
      </w:r>
      <w:r w:rsidRPr="00317E7D">
        <w:rPr>
          <w:rFonts w:ascii="Calibri" w:cs="Calibri"/>
        </w:rPr>
        <w:tab/>
        <w:t xml:space="preserve">Hambright, W. S., Fonseca, R. S., Chen, L., Na, R. &amp; Ran, Q. Ablation of ferroptosis regulator glutathione peroxidase 4 in forebrain neurons promotes cognitive impairment and neurodegeneration. </w:t>
      </w:r>
      <w:r w:rsidRPr="00317E7D">
        <w:rPr>
          <w:rFonts w:ascii="Calibri" w:cs="Calibri"/>
          <w:i/>
          <w:iCs/>
        </w:rPr>
        <w:t>Redox Biology</w:t>
      </w:r>
      <w:r w:rsidRPr="00317E7D">
        <w:rPr>
          <w:rFonts w:ascii="Calibri" w:cs="Calibri"/>
        </w:rPr>
        <w:t xml:space="preserve"> </w:t>
      </w:r>
      <w:r w:rsidRPr="00317E7D">
        <w:rPr>
          <w:rFonts w:ascii="Calibri" w:cs="Calibri"/>
          <w:b/>
          <w:bCs/>
        </w:rPr>
        <w:t>12</w:t>
      </w:r>
      <w:r w:rsidRPr="00317E7D">
        <w:rPr>
          <w:rFonts w:ascii="Calibri" w:cs="Calibri"/>
        </w:rPr>
        <w:t>, 8–17 (2017).</w:t>
      </w:r>
    </w:p>
    <w:p w14:paraId="64D93CAF" w14:textId="77777777" w:rsidR="00317E7D" w:rsidRPr="00317E7D" w:rsidRDefault="00317E7D" w:rsidP="00317E7D">
      <w:pPr>
        <w:pStyle w:val="Bibliography"/>
        <w:rPr>
          <w:rFonts w:ascii="Calibri" w:cs="Calibri"/>
        </w:rPr>
      </w:pPr>
      <w:r w:rsidRPr="00317E7D">
        <w:rPr>
          <w:rFonts w:ascii="Calibri" w:cs="Calibri"/>
        </w:rPr>
        <w:t>142.</w:t>
      </w:r>
      <w:r w:rsidRPr="00317E7D">
        <w:rPr>
          <w:rFonts w:ascii="Calibri" w:cs="Calibri"/>
        </w:rPr>
        <w:tab/>
        <w:t xml:space="preserve">Paradís-Bas, M., Tulla-Puche, J. &amp; Albericio, F. The road to the synthesis of “difficult peptides”. </w:t>
      </w:r>
      <w:r w:rsidRPr="00317E7D">
        <w:rPr>
          <w:rFonts w:ascii="Calibri" w:cs="Calibri"/>
          <w:i/>
          <w:iCs/>
        </w:rPr>
        <w:t>Chem. Soc. Rev.</w:t>
      </w:r>
      <w:r w:rsidRPr="00317E7D">
        <w:rPr>
          <w:rFonts w:ascii="Calibri" w:cs="Calibri"/>
        </w:rPr>
        <w:t xml:space="preserve"> </w:t>
      </w:r>
      <w:r w:rsidRPr="00317E7D">
        <w:rPr>
          <w:rFonts w:ascii="Calibri" w:cs="Calibri"/>
          <w:b/>
          <w:bCs/>
        </w:rPr>
        <w:t>45</w:t>
      </w:r>
      <w:r w:rsidRPr="00317E7D">
        <w:rPr>
          <w:rFonts w:ascii="Calibri" w:cs="Calibri"/>
        </w:rPr>
        <w:t>, 631–654 (2016).</w:t>
      </w:r>
    </w:p>
    <w:p w14:paraId="7CF9FEBB" w14:textId="77777777" w:rsidR="00317E7D" w:rsidRPr="00317E7D" w:rsidRDefault="00317E7D" w:rsidP="00317E7D">
      <w:pPr>
        <w:pStyle w:val="Bibliography"/>
        <w:rPr>
          <w:rFonts w:ascii="Calibri" w:cs="Calibri"/>
        </w:rPr>
      </w:pPr>
      <w:r w:rsidRPr="00317E7D">
        <w:rPr>
          <w:rFonts w:ascii="Calibri" w:cs="Calibri"/>
        </w:rPr>
        <w:t>143.</w:t>
      </w:r>
      <w:r w:rsidRPr="00317E7D">
        <w:rPr>
          <w:rFonts w:ascii="Calibri" w:cs="Calibri"/>
        </w:rPr>
        <w:tab/>
        <w:t xml:space="preserve">Kasim, J. K., Kavianinia, I., Harris, P. W. R. &amp; Brimble, M. A. Three Decades of Amyloid Beta Synthesis: Challenges and Advances. </w:t>
      </w:r>
      <w:r w:rsidRPr="00317E7D">
        <w:rPr>
          <w:rFonts w:ascii="Calibri" w:cs="Calibri"/>
          <w:i/>
          <w:iCs/>
        </w:rPr>
        <w:t>Front. Chem.</w:t>
      </w:r>
      <w:r w:rsidRPr="00317E7D">
        <w:rPr>
          <w:rFonts w:ascii="Calibri" w:cs="Calibri"/>
        </w:rPr>
        <w:t xml:space="preserve"> </w:t>
      </w:r>
      <w:r w:rsidRPr="00317E7D">
        <w:rPr>
          <w:rFonts w:ascii="Calibri" w:cs="Calibri"/>
          <w:b/>
          <w:bCs/>
        </w:rPr>
        <w:t>7</w:t>
      </w:r>
      <w:r w:rsidRPr="00317E7D">
        <w:rPr>
          <w:rFonts w:ascii="Calibri" w:cs="Calibri"/>
        </w:rPr>
        <w:t>, 472 (2019).</w:t>
      </w:r>
    </w:p>
    <w:p w14:paraId="1DAE4120" w14:textId="77777777" w:rsidR="00317E7D" w:rsidRPr="00317E7D" w:rsidRDefault="00317E7D" w:rsidP="00317E7D">
      <w:pPr>
        <w:pStyle w:val="Bibliography"/>
        <w:rPr>
          <w:rFonts w:ascii="Calibri" w:cs="Calibri"/>
        </w:rPr>
      </w:pPr>
      <w:r w:rsidRPr="00317E7D">
        <w:rPr>
          <w:rFonts w:ascii="Calibri" w:cs="Calibri"/>
        </w:rPr>
        <w:t>144.</w:t>
      </w:r>
      <w:r w:rsidRPr="00317E7D">
        <w:rPr>
          <w:rFonts w:ascii="Calibri" w:cs="Calibri"/>
        </w:rPr>
        <w:tab/>
        <w:t xml:space="preserve">Leverone, J. A$beta;1-15 is less immunogenic than A$beta;1-40/42 for intranasal immunization of wild-type mice but may be effective for ?boosting? </w:t>
      </w:r>
      <w:r w:rsidRPr="00317E7D">
        <w:rPr>
          <w:rFonts w:ascii="Calibri" w:cs="Calibri"/>
          <w:i/>
          <w:iCs/>
        </w:rPr>
        <w:t>Vaccine</w:t>
      </w:r>
      <w:r w:rsidRPr="00317E7D">
        <w:rPr>
          <w:rFonts w:ascii="Calibri" w:cs="Calibri"/>
        </w:rPr>
        <w:t xml:space="preserve"> </w:t>
      </w:r>
      <w:r w:rsidRPr="00317E7D">
        <w:rPr>
          <w:rFonts w:ascii="Calibri" w:cs="Calibri"/>
          <w:b/>
          <w:bCs/>
        </w:rPr>
        <w:t>21</w:t>
      </w:r>
      <w:r w:rsidRPr="00317E7D">
        <w:rPr>
          <w:rFonts w:ascii="Calibri" w:cs="Calibri"/>
        </w:rPr>
        <w:t>, 2197–2206 (2003).</w:t>
      </w:r>
    </w:p>
    <w:p w14:paraId="41051F66" w14:textId="77777777" w:rsidR="00317E7D" w:rsidRPr="00317E7D" w:rsidRDefault="00317E7D" w:rsidP="00317E7D">
      <w:pPr>
        <w:pStyle w:val="Bibliography"/>
        <w:rPr>
          <w:rFonts w:ascii="Calibri" w:cs="Calibri"/>
        </w:rPr>
      </w:pPr>
      <w:r w:rsidRPr="00317E7D">
        <w:rPr>
          <w:rFonts w:ascii="Calibri" w:cs="Calibri"/>
        </w:rPr>
        <w:t>145.</w:t>
      </w:r>
      <w:r w:rsidRPr="00317E7D">
        <w:rPr>
          <w:rFonts w:ascii="Calibri" w:cs="Calibri"/>
        </w:rPr>
        <w:tab/>
        <w:t xml:space="preserve">Hamsici, S., White, A. D. &amp; Acar, H. Peptide framework for screening the effects of amino acids on assembly. </w:t>
      </w:r>
      <w:r w:rsidRPr="00317E7D">
        <w:rPr>
          <w:rFonts w:ascii="Calibri" w:cs="Calibri"/>
          <w:i/>
          <w:iCs/>
        </w:rPr>
        <w:t>Science Advances</w:t>
      </w:r>
      <w:r w:rsidRPr="00317E7D">
        <w:rPr>
          <w:rFonts w:ascii="Calibri" w:cs="Calibri"/>
        </w:rPr>
        <w:t xml:space="preserve"> (2022) doi:10.1126/sciadv.abj0305.</w:t>
      </w:r>
    </w:p>
    <w:p w14:paraId="7C925D6C" w14:textId="77777777" w:rsidR="00317E7D" w:rsidRPr="00317E7D" w:rsidRDefault="00317E7D" w:rsidP="00317E7D">
      <w:pPr>
        <w:pStyle w:val="Bibliography"/>
        <w:rPr>
          <w:rFonts w:ascii="Calibri" w:cs="Calibri"/>
        </w:rPr>
      </w:pPr>
      <w:r w:rsidRPr="00317E7D">
        <w:rPr>
          <w:rFonts w:ascii="Calibri" w:cs="Calibri"/>
        </w:rPr>
        <w:t>146.</w:t>
      </w:r>
      <w:r w:rsidRPr="00317E7D">
        <w:rPr>
          <w:rFonts w:ascii="Calibri" w:cs="Calibri"/>
        </w:rPr>
        <w:tab/>
        <w:t xml:space="preserve">Galluzzi, L., Buqué, A., Kepp, O., Zitvogel, L. &amp; Kroemer, G. Immunogenic cell death in cancer and infectious disease. </w:t>
      </w:r>
      <w:r w:rsidRPr="00317E7D">
        <w:rPr>
          <w:rFonts w:ascii="Calibri" w:cs="Calibri"/>
          <w:i/>
          <w:iCs/>
        </w:rPr>
        <w:t>Nat Rev Immunol</w:t>
      </w:r>
      <w:r w:rsidRPr="00317E7D">
        <w:rPr>
          <w:rFonts w:ascii="Calibri" w:cs="Calibri"/>
        </w:rPr>
        <w:t xml:space="preserve"> </w:t>
      </w:r>
      <w:r w:rsidRPr="00317E7D">
        <w:rPr>
          <w:rFonts w:ascii="Calibri" w:cs="Calibri"/>
          <w:b/>
          <w:bCs/>
        </w:rPr>
        <w:t>17</w:t>
      </w:r>
      <w:r w:rsidRPr="00317E7D">
        <w:rPr>
          <w:rFonts w:ascii="Calibri" w:cs="Calibri"/>
        </w:rPr>
        <w:t>, 97–111 (2017).</w:t>
      </w:r>
    </w:p>
    <w:p w14:paraId="1617027B" w14:textId="77777777" w:rsidR="00317E7D" w:rsidRPr="00317E7D" w:rsidRDefault="00317E7D" w:rsidP="00317E7D">
      <w:pPr>
        <w:pStyle w:val="Bibliography"/>
        <w:rPr>
          <w:rFonts w:ascii="Calibri" w:cs="Calibri"/>
        </w:rPr>
      </w:pPr>
      <w:r w:rsidRPr="00317E7D">
        <w:rPr>
          <w:rFonts w:ascii="Calibri" w:cs="Calibri"/>
        </w:rPr>
        <w:lastRenderedPageBreak/>
        <w:t>147.</w:t>
      </w:r>
      <w:r w:rsidRPr="00317E7D">
        <w:rPr>
          <w:rFonts w:ascii="Calibri" w:cs="Calibri"/>
        </w:rPr>
        <w:tab/>
        <w:t xml:space="preserve">Hu, L. </w:t>
      </w:r>
      <w:r w:rsidRPr="00317E7D">
        <w:rPr>
          <w:rFonts w:ascii="Calibri" w:cs="Calibri"/>
          <w:i/>
          <w:iCs/>
        </w:rPr>
        <w:t>et al.</w:t>
      </w:r>
      <w:r w:rsidRPr="00317E7D">
        <w:rPr>
          <w:rFonts w:ascii="Calibri" w:cs="Calibri"/>
        </w:rPr>
        <w:t xml:space="preserve"> Chemotherapy-induced pyroptosis is mediated by BAK/BAX-caspase-3-GSDME pathway and inhibited by 2-bromopalmitate. </w:t>
      </w:r>
      <w:r w:rsidRPr="00317E7D">
        <w:rPr>
          <w:rFonts w:ascii="Calibri" w:cs="Calibri"/>
          <w:i/>
          <w:iCs/>
        </w:rPr>
        <w:t>Cell Death Dis</w:t>
      </w:r>
      <w:r w:rsidRPr="00317E7D">
        <w:rPr>
          <w:rFonts w:ascii="Calibri" w:cs="Calibri"/>
        </w:rPr>
        <w:t xml:space="preserve"> </w:t>
      </w:r>
      <w:r w:rsidRPr="00317E7D">
        <w:rPr>
          <w:rFonts w:ascii="Calibri" w:cs="Calibri"/>
          <w:b/>
          <w:bCs/>
        </w:rPr>
        <w:t>11</w:t>
      </w:r>
      <w:r w:rsidRPr="00317E7D">
        <w:rPr>
          <w:rFonts w:ascii="Calibri" w:cs="Calibri"/>
        </w:rPr>
        <w:t>, (2020).</w:t>
      </w:r>
    </w:p>
    <w:p w14:paraId="0BC6E11C" w14:textId="77777777" w:rsidR="00317E7D" w:rsidRPr="00317E7D" w:rsidRDefault="00317E7D" w:rsidP="00317E7D">
      <w:pPr>
        <w:pStyle w:val="Bibliography"/>
        <w:rPr>
          <w:rFonts w:ascii="Calibri" w:cs="Calibri"/>
        </w:rPr>
      </w:pPr>
      <w:r w:rsidRPr="00317E7D">
        <w:rPr>
          <w:rFonts w:ascii="Calibri" w:cs="Calibri"/>
        </w:rPr>
        <w:t>148.</w:t>
      </w:r>
      <w:r w:rsidRPr="00317E7D">
        <w:rPr>
          <w:rFonts w:ascii="Calibri" w:cs="Calibri"/>
        </w:rPr>
        <w:tab/>
        <w:t xml:space="preserve">Li, Y., Liu, X., Pan, W., Li, N. &amp; Tang, B. Photothermal therapy-induced immunogenic cell death based on natural melanin nanoparticles against breast cancer. </w:t>
      </w:r>
      <w:r w:rsidRPr="00317E7D">
        <w:rPr>
          <w:rFonts w:ascii="Calibri" w:cs="Calibri"/>
          <w:i/>
          <w:iCs/>
        </w:rPr>
        <w:t>Chem. Commun.</w:t>
      </w:r>
      <w:r w:rsidRPr="00317E7D">
        <w:rPr>
          <w:rFonts w:ascii="Calibri" w:cs="Calibri"/>
        </w:rPr>
        <w:t xml:space="preserve"> </w:t>
      </w:r>
      <w:r w:rsidRPr="00317E7D">
        <w:rPr>
          <w:rFonts w:ascii="Calibri" w:cs="Calibri"/>
          <w:b/>
          <w:bCs/>
        </w:rPr>
        <w:t>56</w:t>
      </w:r>
      <w:r w:rsidRPr="00317E7D">
        <w:rPr>
          <w:rFonts w:ascii="Calibri" w:cs="Calibri"/>
        </w:rPr>
        <w:t>, 1389–1392 (2020).</w:t>
      </w:r>
    </w:p>
    <w:p w14:paraId="67B69A07" w14:textId="77777777" w:rsidR="00317E7D" w:rsidRPr="00317E7D" w:rsidRDefault="00317E7D" w:rsidP="00317E7D">
      <w:pPr>
        <w:pStyle w:val="Bibliography"/>
        <w:rPr>
          <w:rFonts w:ascii="Calibri" w:cs="Calibri"/>
        </w:rPr>
      </w:pPr>
      <w:r w:rsidRPr="00317E7D">
        <w:rPr>
          <w:rFonts w:ascii="Calibri" w:cs="Calibri"/>
        </w:rPr>
        <w:t>149.</w:t>
      </w:r>
      <w:r w:rsidRPr="00317E7D">
        <w:rPr>
          <w:rFonts w:ascii="Calibri" w:cs="Calibri"/>
        </w:rPr>
        <w:tab/>
        <w:t xml:space="preserve">Hayashi, T. </w:t>
      </w:r>
      <w:r w:rsidRPr="00317E7D">
        <w:rPr>
          <w:rFonts w:ascii="Calibri" w:cs="Calibri"/>
          <w:i/>
          <w:iCs/>
        </w:rPr>
        <w:t>et al.</w:t>
      </w:r>
      <w:r w:rsidRPr="00317E7D">
        <w:rPr>
          <w:rFonts w:ascii="Calibri" w:cs="Calibri"/>
        </w:rPr>
        <w:t xml:space="preserve"> DAMP-Inducing Adjuvant and PAMP Adjuvants Parallelly Enhance Protective Type-2 and Type-1 Immune Responses to Influenza Split Vaccination. </w:t>
      </w:r>
      <w:r w:rsidRPr="00317E7D">
        <w:rPr>
          <w:rFonts w:ascii="Calibri" w:cs="Calibri"/>
          <w:i/>
          <w:iCs/>
        </w:rPr>
        <w:t>Front. Immunol.</w:t>
      </w:r>
      <w:r w:rsidRPr="00317E7D">
        <w:rPr>
          <w:rFonts w:ascii="Calibri" w:cs="Calibri"/>
        </w:rPr>
        <w:t xml:space="preserve"> </w:t>
      </w:r>
      <w:r w:rsidRPr="00317E7D">
        <w:rPr>
          <w:rFonts w:ascii="Calibri" w:cs="Calibri"/>
          <w:b/>
          <w:bCs/>
        </w:rPr>
        <w:t>9</w:t>
      </w:r>
      <w:r w:rsidRPr="00317E7D">
        <w:rPr>
          <w:rFonts w:ascii="Calibri" w:cs="Calibri"/>
        </w:rPr>
        <w:t>, (2018).</w:t>
      </w:r>
    </w:p>
    <w:p w14:paraId="633FFAD9" w14:textId="77777777" w:rsidR="00317E7D" w:rsidRPr="00317E7D" w:rsidRDefault="00317E7D" w:rsidP="00317E7D">
      <w:pPr>
        <w:pStyle w:val="Bibliography"/>
        <w:rPr>
          <w:rFonts w:ascii="Calibri" w:cs="Calibri"/>
        </w:rPr>
      </w:pPr>
      <w:r w:rsidRPr="00317E7D">
        <w:rPr>
          <w:rFonts w:ascii="Calibri" w:cs="Calibri"/>
        </w:rPr>
        <w:t>150.</w:t>
      </w:r>
      <w:r w:rsidRPr="00317E7D">
        <w:rPr>
          <w:rFonts w:ascii="Calibri" w:cs="Calibri"/>
        </w:rPr>
        <w:tab/>
        <w:t xml:space="preserve">Gao, J., Wang, W., Pei, Q., Lord, M. S. &amp; Yu, H. Engineering nanomedicines through boosting immunogenic cell death for improved cancer immunotherapy. </w:t>
      </w:r>
      <w:r w:rsidRPr="00317E7D">
        <w:rPr>
          <w:rFonts w:ascii="Calibri" w:cs="Calibri"/>
          <w:i/>
          <w:iCs/>
        </w:rPr>
        <w:t>Acta Pharmacol Sin</w:t>
      </w:r>
      <w:r w:rsidRPr="00317E7D">
        <w:rPr>
          <w:rFonts w:ascii="Calibri" w:cs="Calibri"/>
        </w:rPr>
        <w:t xml:space="preserve"> </w:t>
      </w:r>
      <w:r w:rsidRPr="00317E7D">
        <w:rPr>
          <w:rFonts w:ascii="Calibri" w:cs="Calibri"/>
          <w:b/>
          <w:bCs/>
        </w:rPr>
        <w:t>41</w:t>
      </w:r>
      <w:r w:rsidRPr="00317E7D">
        <w:rPr>
          <w:rFonts w:ascii="Calibri" w:cs="Calibri"/>
        </w:rPr>
        <w:t>, 986–994 (2020).</w:t>
      </w:r>
    </w:p>
    <w:p w14:paraId="28873DC9" w14:textId="77777777" w:rsidR="00317E7D" w:rsidRPr="00317E7D" w:rsidRDefault="00317E7D" w:rsidP="00317E7D">
      <w:pPr>
        <w:pStyle w:val="Bibliography"/>
        <w:rPr>
          <w:rFonts w:ascii="Calibri" w:cs="Calibri"/>
        </w:rPr>
      </w:pPr>
      <w:r w:rsidRPr="00317E7D">
        <w:rPr>
          <w:rFonts w:ascii="Calibri" w:cs="Calibri"/>
        </w:rPr>
        <w:t>151.</w:t>
      </w:r>
      <w:r w:rsidRPr="00317E7D">
        <w:rPr>
          <w:rFonts w:ascii="Calibri" w:cs="Calibri"/>
        </w:rPr>
        <w:tab/>
        <w:t xml:space="preserve">Zhu, X. </w:t>
      </w:r>
      <w:r w:rsidRPr="00317E7D">
        <w:rPr>
          <w:rFonts w:ascii="Calibri" w:cs="Calibri"/>
          <w:i/>
          <w:iCs/>
        </w:rPr>
        <w:t>et al.</w:t>
      </w:r>
      <w:r w:rsidRPr="00317E7D">
        <w:rPr>
          <w:rFonts w:ascii="Calibri" w:cs="Calibri"/>
        </w:rPr>
        <w:t xml:space="preserve"> Temperature-feedback upconversion nanocomposite for accurate photothermal therapy at facile temperature. </w:t>
      </w:r>
      <w:r w:rsidRPr="00317E7D">
        <w:rPr>
          <w:rFonts w:ascii="Calibri" w:cs="Calibri"/>
          <w:i/>
          <w:iCs/>
        </w:rPr>
        <w:t>Nat Commun</w:t>
      </w:r>
      <w:r w:rsidRPr="00317E7D">
        <w:rPr>
          <w:rFonts w:ascii="Calibri" w:cs="Calibri"/>
        </w:rPr>
        <w:t xml:space="preserve"> </w:t>
      </w:r>
      <w:r w:rsidRPr="00317E7D">
        <w:rPr>
          <w:rFonts w:ascii="Calibri" w:cs="Calibri"/>
          <w:b/>
          <w:bCs/>
        </w:rPr>
        <w:t>7</w:t>
      </w:r>
      <w:r w:rsidRPr="00317E7D">
        <w:rPr>
          <w:rFonts w:ascii="Calibri" w:cs="Calibri"/>
        </w:rPr>
        <w:t>, 10437 (2016).</w:t>
      </w:r>
    </w:p>
    <w:p w14:paraId="675A1186" w14:textId="77777777" w:rsidR="00317E7D" w:rsidRPr="00317E7D" w:rsidRDefault="00317E7D" w:rsidP="00317E7D">
      <w:pPr>
        <w:pStyle w:val="Bibliography"/>
        <w:rPr>
          <w:rFonts w:ascii="Calibri" w:cs="Calibri"/>
        </w:rPr>
      </w:pPr>
      <w:r w:rsidRPr="00317E7D">
        <w:rPr>
          <w:rFonts w:ascii="Calibri" w:cs="Calibri"/>
        </w:rPr>
        <w:t>152.</w:t>
      </w:r>
      <w:r w:rsidRPr="00317E7D">
        <w:rPr>
          <w:rFonts w:ascii="Calibri" w:cs="Calibri"/>
        </w:rPr>
        <w:tab/>
        <w:t xml:space="preserve">Paules, C. I., Sullivan, S. G., Subbarao, K. &amp; Fauci, A. S. Chasing Seasonal Influenza — The Need for a Universal Influenza Vaccine. </w:t>
      </w:r>
      <w:r w:rsidRPr="00317E7D">
        <w:rPr>
          <w:rFonts w:ascii="Calibri" w:cs="Calibri"/>
          <w:i/>
          <w:iCs/>
        </w:rPr>
        <w:t>New England Journal of Medicine</w:t>
      </w:r>
      <w:r w:rsidRPr="00317E7D">
        <w:rPr>
          <w:rFonts w:ascii="Calibri" w:cs="Calibri"/>
        </w:rPr>
        <w:t xml:space="preserve"> </w:t>
      </w:r>
      <w:r w:rsidRPr="00317E7D">
        <w:rPr>
          <w:rFonts w:ascii="Calibri" w:cs="Calibri"/>
          <w:b/>
          <w:bCs/>
        </w:rPr>
        <w:t>378</w:t>
      </w:r>
      <w:r w:rsidRPr="00317E7D">
        <w:rPr>
          <w:rFonts w:ascii="Calibri" w:cs="Calibri"/>
        </w:rPr>
        <w:t>, 7–9 (2018).</w:t>
      </w:r>
    </w:p>
    <w:p w14:paraId="055F22CA" w14:textId="77777777" w:rsidR="00317E7D" w:rsidRPr="00317E7D" w:rsidRDefault="00317E7D" w:rsidP="00317E7D">
      <w:pPr>
        <w:pStyle w:val="Bibliography"/>
        <w:rPr>
          <w:rFonts w:ascii="Calibri" w:cs="Calibri"/>
        </w:rPr>
      </w:pPr>
      <w:r w:rsidRPr="00317E7D">
        <w:rPr>
          <w:rFonts w:ascii="Calibri" w:cs="Calibri"/>
        </w:rPr>
        <w:t>153.</w:t>
      </w:r>
      <w:r w:rsidRPr="00317E7D">
        <w:rPr>
          <w:rFonts w:ascii="Calibri" w:cs="Calibri"/>
        </w:rPr>
        <w:tab/>
        <w:t xml:space="preserve">Shao, W., Li, X., Goraya, M., Wang, S. &amp; Chen, J.-L. Evolution of Influenza A Virus by Mutation and Re-Assortment. </w:t>
      </w:r>
      <w:r w:rsidRPr="00317E7D">
        <w:rPr>
          <w:rFonts w:ascii="Calibri" w:cs="Calibri"/>
          <w:i/>
          <w:iCs/>
        </w:rPr>
        <w:t>IJMS</w:t>
      </w:r>
      <w:r w:rsidRPr="00317E7D">
        <w:rPr>
          <w:rFonts w:ascii="Calibri" w:cs="Calibri"/>
        </w:rPr>
        <w:t xml:space="preserve"> </w:t>
      </w:r>
      <w:r w:rsidRPr="00317E7D">
        <w:rPr>
          <w:rFonts w:ascii="Calibri" w:cs="Calibri"/>
          <w:b/>
          <w:bCs/>
        </w:rPr>
        <w:t>18</w:t>
      </w:r>
      <w:r w:rsidRPr="00317E7D">
        <w:rPr>
          <w:rFonts w:ascii="Calibri" w:cs="Calibri"/>
        </w:rPr>
        <w:t>, 1650 (2017).</w:t>
      </w:r>
    </w:p>
    <w:p w14:paraId="2DC66272" w14:textId="77777777" w:rsidR="00317E7D" w:rsidRPr="00317E7D" w:rsidRDefault="00317E7D" w:rsidP="00317E7D">
      <w:pPr>
        <w:pStyle w:val="Bibliography"/>
        <w:rPr>
          <w:rFonts w:ascii="Calibri" w:cs="Calibri"/>
        </w:rPr>
      </w:pPr>
      <w:r w:rsidRPr="00317E7D">
        <w:rPr>
          <w:rFonts w:ascii="Calibri" w:cs="Calibri"/>
        </w:rPr>
        <w:t>154.</w:t>
      </w:r>
      <w:r w:rsidRPr="00317E7D">
        <w:rPr>
          <w:rFonts w:ascii="Calibri" w:cs="Calibri"/>
        </w:rPr>
        <w:tab/>
        <w:t xml:space="preserve">Davis, C. W. </w:t>
      </w:r>
      <w:r w:rsidRPr="00317E7D">
        <w:rPr>
          <w:rFonts w:ascii="Calibri" w:cs="Calibri"/>
          <w:i/>
          <w:iCs/>
        </w:rPr>
        <w:t>et al.</w:t>
      </w:r>
      <w:r w:rsidRPr="00317E7D">
        <w:rPr>
          <w:rFonts w:ascii="Calibri" w:cs="Calibri"/>
        </w:rPr>
        <w:t xml:space="preserve"> Influenza vaccine–induced human bone marrow plasma cells decline within a year after vaccination. </w:t>
      </w:r>
      <w:r w:rsidRPr="00317E7D">
        <w:rPr>
          <w:rFonts w:ascii="Calibri" w:cs="Calibri"/>
          <w:i/>
          <w:iCs/>
        </w:rPr>
        <w:t>Science</w:t>
      </w:r>
      <w:r w:rsidRPr="00317E7D">
        <w:rPr>
          <w:rFonts w:ascii="Calibri" w:cs="Calibri"/>
        </w:rPr>
        <w:t xml:space="preserve"> </w:t>
      </w:r>
      <w:r w:rsidRPr="00317E7D">
        <w:rPr>
          <w:rFonts w:ascii="Calibri" w:cs="Calibri"/>
          <w:b/>
          <w:bCs/>
        </w:rPr>
        <w:t>370</w:t>
      </w:r>
      <w:r w:rsidRPr="00317E7D">
        <w:rPr>
          <w:rFonts w:ascii="Calibri" w:cs="Calibri"/>
        </w:rPr>
        <w:t>, 237–241 (2020).</w:t>
      </w:r>
    </w:p>
    <w:p w14:paraId="2EBB78B2" w14:textId="77777777" w:rsidR="00317E7D" w:rsidRPr="00317E7D" w:rsidRDefault="00317E7D" w:rsidP="00317E7D">
      <w:pPr>
        <w:pStyle w:val="Bibliography"/>
        <w:rPr>
          <w:rFonts w:ascii="Calibri" w:cs="Calibri"/>
        </w:rPr>
      </w:pPr>
      <w:r w:rsidRPr="00317E7D">
        <w:rPr>
          <w:rFonts w:ascii="Calibri" w:cs="Calibri"/>
        </w:rPr>
        <w:t>155.</w:t>
      </w:r>
      <w:r w:rsidRPr="00317E7D">
        <w:rPr>
          <w:rFonts w:ascii="Calibri" w:cs="Calibri"/>
        </w:rPr>
        <w:tab/>
        <w:t xml:space="preserve">Moran, T. M., Park, H., Fernandez-Sesma, A. &amp; Schulman, J. L. Th2 Responses to Inactivated Influenza Virus Can Be Converted to Th1 Responses and Facilitate Recovery </w:t>
      </w:r>
      <w:r w:rsidRPr="00317E7D">
        <w:rPr>
          <w:rFonts w:ascii="Calibri" w:cs="Calibri"/>
        </w:rPr>
        <w:lastRenderedPageBreak/>
        <w:t xml:space="preserve">from Heterosubtypic Virus Infection. </w:t>
      </w:r>
      <w:r w:rsidRPr="00317E7D">
        <w:rPr>
          <w:rFonts w:ascii="Calibri" w:cs="Calibri"/>
          <w:i/>
          <w:iCs/>
        </w:rPr>
        <w:t>The Journal of Infectious Diseases</w:t>
      </w:r>
      <w:r w:rsidRPr="00317E7D">
        <w:rPr>
          <w:rFonts w:ascii="Calibri" w:cs="Calibri"/>
        </w:rPr>
        <w:t xml:space="preserve"> </w:t>
      </w:r>
      <w:r w:rsidRPr="00317E7D">
        <w:rPr>
          <w:rFonts w:ascii="Calibri" w:cs="Calibri"/>
          <w:b/>
          <w:bCs/>
        </w:rPr>
        <w:t>180</w:t>
      </w:r>
      <w:r w:rsidRPr="00317E7D">
        <w:rPr>
          <w:rFonts w:ascii="Calibri" w:cs="Calibri"/>
        </w:rPr>
        <w:t>, 579–585 (1999).</w:t>
      </w:r>
    </w:p>
    <w:p w14:paraId="691210DD" w14:textId="77777777" w:rsidR="00317E7D" w:rsidRPr="00317E7D" w:rsidRDefault="00317E7D" w:rsidP="00317E7D">
      <w:pPr>
        <w:pStyle w:val="Bibliography"/>
        <w:rPr>
          <w:rFonts w:ascii="Calibri" w:cs="Calibri"/>
        </w:rPr>
      </w:pPr>
      <w:r w:rsidRPr="00317E7D">
        <w:rPr>
          <w:rFonts w:ascii="Calibri" w:cs="Calibri"/>
        </w:rPr>
        <w:t>156.</w:t>
      </w:r>
      <w:r w:rsidRPr="00317E7D">
        <w:rPr>
          <w:rFonts w:ascii="Calibri" w:cs="Calibri"/>
        </w:rPr>
        <w:tab/>
        <w:t xml:space="preserve">Oleszycka, E. </w:t>
      </w:r>
      <w:r w:rsidRPr="00317E7D">
        <w:rPr>
          <w:rFonts w:ascii="Calibri" w:cs="Calibri"/>
          <w:i/>
          <w:iCs/>
        </w:rPr>
        <w:t>et al.</w:t>
      </w:r>
      <w:r w:rsidRPr="00317E7D">
        <w:rPr>
          <w:rFonts w:ascii="Calibri" w:cs="Calibri"/>
        </w:rPr>
        <w:t xml:space="preserve"> The vaccine adjuvant alum promotes IL-10 production that suppresses Th1 responses. </w:t>
      </w:r>
      <w:r w:rsidRPr="00317E7D">
        <w:rPr>
          <w:rFonts w:ascii="Calibri" w:cs="Calibri"/>
          <w:i/>
          <w:iCs/>
        </w:rPr>
        <w:t>Eur. J. Immunol.</w:t>
      </w:r>
      <w:r w:rsidRPr="00317E7D">
        <w:rPr>
          <w:rFonts w:ascii="Calibri" w:cs="Calibri"/>
        </w:rPr>
        <w:t xml:space="preserve"> </w:t>
      </w:r>
      <w:r w:rsidRPr="00317E7D">
        <w:rPr>
          <w:rFonts w:ascii="Calibri" w:cs="Calibri"/>
          <w:b/>
          <w:bCs/>
        </w:rPr>
        <w:t>48</w:t>
      </w:r>
      <w:r w:rsidRPr="00317E7D">
        <w:rPr>
          <w:rFonts w:ascii="Calibri" w:cs="Calibri"/>
        </w:rPr>
        <w:t>, 705–715 (2018).</w:t>
      </w:r>
    </w:p>
    <w:p w14:paraId="751DE412" w14:textId="77777777" w:rsidR="00317E7D" w:rsidRPr="00317E7D" w:rsidRDefault="00317E7D" w:rsidP="00317E7D">
      <w:pPr>
        <w:pStyle w:val="Bibliography"/>
        <w:rPr>
          <w:rFonts w:ascii="Calibri" w:cs="Calibri"/>
        </w:rPr>
      </w:pPr>
      <w:r w:rsidRPr="00317E7D">
        <w:rPr>
          <w:rFonts w:ascii="Calibri" w:cs="Calibri"/>
        </w:rPr>
        <w:t>157.</w:t>
      </w:r>
      <w:r w:rsidRPr="00317E7D">
        <w:rPr>
          <w:rFonts w:ascii="Calibri" w:cs="Calibri"/>
        </w:rPr>
        <w:tab/>
        <w:t xml:space="preserve">Miyauchi, K. </w:t>
      </w:r>
      <w:r w:rsidRPr="00317E7D">
        <w:rPr>
          <w:rFonts w:ascii="Calibri" w:cs="Calibri"/>
          <w:i/>
          <w:iCs/>
        </w:rPr>
        <w:t>et al.</w:t>
      </w:r>
      <w:r w:rsidRPr="00317E7D">
        <w:rPr>
          <w:rFonts w:ascii="Calibri" w:cs="Calibri"/>
        </w:rPr>
        <w:t xml:space="preserve"> Protective neutralizing influenza antibody response in the absence of T follicular helper cells. </w:t>
      </w:r>
      <w:r w:rsidRPr="00317E7D">
        <w:rPr>
          <w:rFonts w:ascii="Calibri" w:cs="Calibri"/>
          <w:i/>
          <w:iCs/>
        </w:rPr>
        <w:t>Nat Immunol</w:t>
      </w:r>
      <w:r w:rsidRPr="00317E7D">
        <w:rPr>
          <w:rFonts w:ascii="Calibri" w:cs="Calibri"/>
        </w:rPr>
        <w:t xml:space="preserve"> </w:t>
      </w:r>
      <w:r w:rsidRPr="00317E7D">
        <w:rPr>
          <w:rFonts w:ascii="Calibri" w:cs="Calibri"/>
          <w:b/>
          <w:bCs/>
        </w:rPr>
        <w:t>17</w:t>
      </w:r>
      <w:r w:rsidRPr="00317E7D">
        <w:rPr>
          <w:rFonts w:ascii="Calibri" w:cs="Calibri"/>
        </w:rPr>
        <w:t>, 1447–1458 (2016).</w:t>
      </w:r>
    </w:p>
    <w:p w14:paraId="16C37510" w14:textId="77777777" w:rsidR="00317E7D" w:rsidRPr="00317E7D" w:rsidRDefault="00317E7D" w:rsidP="00317E7D">
      <w:pPr>
        <w:pStyle w:val="Bibliography"/>
        <w:rPr>
          <w:rFonts w:ascii="Calibri" w:cs="Calibri"/>
        </w:rPr>
      </w:pPr>
      <w:r w:rsidRPr="00317E7D">
        <w:rPr>
          <w:rFonts w:ascii="Calibri" w:cs="Calibri"/>
        </w:rPr>
        <w:t>158.</w:t>
      </w:r>
      <w:r w:rsidRPr="00317E7D">
        <w:rPr>
          <w:rFonts w:ascii="Calibri" w:cs="Calibri"/>
        </w:rPr>
        <w:tab/>
        <w:t xml:space="preserve">Stevens, T. L. </w:t>
      </w:r>
      <w:r w:rsidRPr="00317E7D">
        <w:rPr>
          <w:rFonts w:ascii="Calibri" w:cs="Calibri"/>
          <w:i/>
          <w:iCs/>
        </w:rPr>
        <w:t>et al.</w:t>
      </w:r>
      <w:r w:rsidRPr="00317E7D">
        <w:rPr>
          <w:rFonts w:ascii="Calibri" w:cs="Calibri"/>
        </w:rPr>
        <w:t xml:space="preserve"> Regulation of antibody isotype secretion by subsets of antigen-specific helper T cells. </w:t>
      </w:r>
      <w:r w:rsidRPr="00317E7D">
        <w:rPr>
          <w:rFonts w:ascii="Calibri" w:cs="Calibri"/>
          <w:i/>
          <w:iCs/>
        </w:rPr>
        <w:t>Nature</w:t>
      </w:r>
      <w:r w:rsidRPr="00317E7D">
        <w:rPr>
          <w:rFonts w:ascii="Calibri" w:cs="Calibri"/>
        </w:rPr>
        <w:t xml:space="preserve"> </w:t>
      </w:r>
      <w:r w:rsidRPr="00317E7D">
        <w:rPr>
          <w:rFonts w:ascii="Calibri" w:cs="Calibri"/>
          <w:b/>
          <w:bCs/>
        </w:rPr>
        <w:t>334</w:t>
      </w:r>
      <w:r w:rsidRPr="00317E7D">
        <w:rPr>
          <w:rFonts w:ascii="Calibri" w:cs="Calibri"/>
        </w:rPr>
        <w:t>, 255–258 (1988).</w:t>
      </w:r>
    </w:p>
    <w:p w14:paraId="636E974A" w14:textId="77777777" w:rsidR="00317E7D" w:rsidRPr="00317E7D" w:rsidRDefault="00317E7D" w:rsidP="00317E7D">
      <w:pPr>
        <w:pStyle w:val="Bibliography"/>
        <w:rPr>
          <w:rFonts w:ascii="Calibri" w:cs="Calibri"/>
        </w:rPr>
      </w:pPr>
      <w:r w:rsidRPr="00317E7D">
        <w:rPr>
          <w:rFonts w:ascii="Calibri" w:cs="Calibri"/>
        </w:rPr>
        <w:t>159.</w:t>
      </w:r>
      <w:r w:rsidRPr="00317E7D">
        <w:rPr>
          <w:rFonts w:ascii="Calibri" w:cs="Calibri"/>
        </w:rPr>
        <w:tab/>
        <w:t xml:space="preserve">Firacative, C. </w:t>
      </w:r>
      <w:r w:rsidRPr="00317E7D">
        <w:rPr>
          <w:rFonts w:ascii="Calibri" w:cs="Calibri"/>
          <w:i/>
          <w:iCs/>
        </w:rPr>
        <w:t>et al.</w:t>
      </w:r>
      <w:r w:rsidRPr="00317E7D">
        <w:rPr>
          <w:rFonts w:ascii="Calibri" w:cs="Calibri"/>
        </w:rPr>
        <w:t xml:space="preserve"> Identification of T helper (Th)1- and Th2-associated antigens of Cryptococcus neoformans in a murine model of pulmonary infection. </w:t>
      </w:r>
      <w:r w:rsidRPr="00317E7D">
        <w:rPr>
          <w:rFonts w:ascii="Calibri" w:cs="Calibri"/>
          <w:i/>
          <w:iCs/>
        </w:rPr>
        <w:t>Sci Rep</w:t>
      </w:r>
      <w:r w:rsidRPr="00317E7D">
        <w:rPr>
          <w:rFonts w:ascii="Calibri" w:cs="Calibri"/>
        </w:rPr>
        <w:t xml:space="preserve"> </w:t>
      </w:r>
      <w:r w:rsidRPr="00317E7D">
        <w:rPr>
          <w:rFonts w:ascii="Calibri" w:cs="Calibri"/>
          <w:b/>
          <w:bCs/>
        </w:rPr>
        <w:t>8</w:t>
      </w:r>
      <w:r w:rsidRPr="00317E7D">
        <w:rPr>
          <w:rFonts w:ascii="Calibri" w:cs="Calibri"/>
        </w:rPr>
        <w:t>, 2681 (2018).</w:t>
      </w:r>
    </w:p>
    <w:p w14:paraId="24AEDFBB" w14:textId="77777777" w:rsidR="00317E7D" w:rsidRPr="00317E7D" w:rsidRDefault="00317E7D" w:rsidP="00317E7D">
      <w:pPr>
        <w:pStyle w:val="Bibliography"/>
        <w:rPr>
          <w:rFonts w:ascii="Calibri" w:cs="Calibri"/>
        </w:rPr>
      </w:pPr>
      <w:r w:rsidRPr="00317E7D">
        <w:rPr>
          <w:rFonts w:ascii="Calibri" w:cs="Calibri"/>
        </w:rPr>
        <w:t>160.</w:t>
      </w:r>
      <w:r w:rsidRPr="00317E7D">
        <w:rPr>
          <w:rFonts w:ascii="Calibri" w:cs="Calibri"/>
        </w:rPr>
        <w:tab/>
        <w:t xml:space="preserve">Liu, Y. </w:t>
      </w:r>
      <w:r w:rsidRPr="00317E7D">
        <w:rPr>
          <w:rFonts w:ascii="Calibri" w:cs="Calibri"/>
          <w:i/>
          <w:iCs/>
        </w:rPr>
        <w:t>et al.</w:t>
      </w:r>
      <w:r w:rsidRPr="00317E7D">
        <w:rPr>
          <w:rFonts w:ascii="Calibri" w:cs="Calibri"/>
        </w:rPr>
        <w:t xml:space="preserve"> Visualization of perforin/gasdermin/complement-formed pores in real cell membranes using atomic force microscopy. </w:t>
      </w:r>
      <w:r w:rsidRPr="00317E7D">
        <w:rPr>
          <w:rFonts w:ascii="Calibri" w:cs="Calibri"/>
          <w:i/>
          <w:iCs/>
        </w:rPr>
        <w:t>Cellular &amp; Molecular Immunology</w:t>
      </w:r>
      <w:r w:rsidRPr="00317E7D">
        <w:rPr>
          <w:rFonts w:ascii="Calibri" w:cs="Calibri"/>
        </w:rPr>
        <w:t xml:space="preserve"> </w:t>
      </w:r>
      <w:r w:rsidRPr="00317E7D">
        <w:rPr>
          <w:rFonts w:ascii="Calibri" w:cs="Calibri"/>
          <w:b/>
          <w:bCs/>
        </w:rPr>
        <w:t>16</w:t>
      </w:r>
      <w:r w:rsidRPr="00317E7D">
        <w:rPr>
          <w:rFonts w:ascii="Calibri" w:cs="Calibri"/>
        </w:rPr>
        <w:t>, 611–620 (2019).</w:t>
      </w:r>
    </w:p>
    <w:p w14:paraId="63C9C759" w14:textId="77777777" w:rsidR="00317E7D" w:rsidRPr="00317E7D" w:rsidRDefault="00317E7D" w:rsidP="00317E7D">
      <w:pPr>
        <w:pStyle w:val="Bibliography"/>
        <w:rPr>
          <w:rFonts w:ascii="Calibri" w:cs="Calibri"/>
        </w:rPr>
      </w:pPr>
      <w:r w:rsidRPr="00317E7D">
        <w:rPr>
          <w:rFonts w:ascii="Calibri" w:cs="Calibri"/>
        </w:rPr>
        <w:t>161.</w:t>
      </w:r>
      <w:r w:rsidRPr="00317E7D">
        <w:rPr>
          <w:rFonts w:ascii="Calibri" w:cs="Calibri"/>
        </w:rPr>
        <w:tab/>
        <w:t xml:space="preserve">Walsh, P. </w:t>
      </w:r>
      <w:r w:rsidRPr="00317E7D">
        <w:rPr>
          <w:rFonts w:ascii="Calibri" w:cs="Calibri"/>
          <w:i/>
          <w:iCs/>
        </w:rPr>
        <w:t>et al.</w:t>
      </w:r>
      <w:r w:rsidRPr="00317E7D">
        <w:rPr>
          <w:rFonts w:ascii="Calibri" w:cs="Calibri"/>
        </w:rPr>
        <w:t xml:space="preserve"> The Mechanism of Membrane Disruption by Cytotoxic Amyloid Oligomers Formed by Prion Protein(106–126) Is Dependent on Bilayer Composition. </w:t>
      </w:r>
      <w:r w:rsidRPr="00317E7D">
        <w:rPr>
          <w:rFonts w:ascii="Calibri" w:cs="Calibri"/>
          <w:i/>
          <w:iCs/>
        </w:rPr>
        <w:t>Journal of Biological Chemistry</w:t>
      </w:r>
      <w:r w:rsidRPr="00317E7D">
        <w:rPr>
          <w:rFonts w:ascii="Calibri" w:cs="Calibri"/>
        </w:rPr>
        <w:t xml:space="preserve"> </w:t>
      </w:r>
      <w:r w:rsidRPr="00317E7D">
        <w:rPr>
          <w:rFonts w:ascii="Calibri" w:cs="Calibri"/>
          <w:b/>
          <w:bCs/>
        </w:rPr>
        <w:t>289</w:t>
      </w:r>
      <w:r w:rsidRPr="00317E7D">
        <w:rPr>
          <w:rFonts w:ascii="Calibri" w:cs="Calibri"/>
        </w:rPr>
        <w:t>, 10419–10430 (2014).</w:t>
      </w:r>
    </w:p>
    <w:p w14:paraId="4EF186EF" w14:textId="77777777" w:rsidR="00317E7D" w:rsidRPr="00317E7D" w:rsidRDefault="00317E7D" w:rsidP="00317E7D">
      <w:pPr>
        <w:pStyle w:val="Bibliography"/>
        <w:rPr>
          <w:rFonts w:ascii="Calibri" w:cs="Calibri"/>
        </w:rPr>
      </w:pPr>
      <w:r w:rsidRPr="00317E7D">
        <w:rPr>
          <w:rFonts w:ascii="Calibri" w:cs="Calibri"/>
        </w:rPr>
        <w:t>162.</w:t>
      </w:r>
      <w:r w:rsidRPr="00317E7D">
        <w:rPr>
          <w:rFonts w:ascii="Calibri" w:cs="Calibri"/>
        </w:rPr>
        <w:tab/>
        <w:t xml:space="preserve">Liu, X. &amp; Lieberman, J. Knocking ’em Dead: Pore-Forming Proteins in Immune Defense. </w:t>
      </w:r>
      <w:r w:rsidRPr="00317E7D">
        <w:rPr>
          <w:rFonts w:ascii="Calibri" w:cs="Calibri"/>
          <w:i/>
          <w:iCs/>
        </w:rPr>
        <w:t>Annual Review of Immunology</w:t>
      </w:r>
      <w:r w:rsidRPr="00317E7D">
        <w:rPr>
          <w:rFonts w:ascii="Calibri" w:cs="Calibri"/>
        </w:rPr>
        <w:t xml:space="preserve"> </w:t>
      </w:r>
      <w:r w:rsidRPr="00317E7D">
        <w:rPr>
          <w:rFonts w:ascii="Calibri" w:cs="Calibri"/>
          <w:b/>
          <w:bCs/>
        </w:rPr>
        <w:t>38</w:t>
      </w:r>
      <w:r w:rsidRPr="00317E7D">
        <w:rPr>
          <w:rFonts w:ascii="Calibri" w:cs="Calibri"/>
        </w:rPr>
        <w:t>, 455–485 (2020).</w:t>
      </w:r>
    </w:p>
    <w:p w14:paraId="22D2645B" w14:textId="77777777" w:rsidR="00317E7D" w:rsidRPr="00317E7D" w:rsidRDefault="00317E7D" w:rsidP="00317E7D">
      <w:pPr>
        <w:pStyle w:val="Bibliography"/>
        <w:rPr>
          <w:rFonts w:ascii="Calibri" w:cs="Calibri"/>
        </w:rPr>
      </w:pPr>
      <w:r w:rsidRPr="00317E7D">
        <w:rPr>
          <w:rFonts w:ascii="Calibri" w:cs="Calibri"/>
        </w:rPr>
        <w:t>163.</w:t>
      </w:r>
      <w:r w:rsidRPr="00317E7D">
        <w:rPr>
          <w:rFonts w:ascii="Calibri" w:cs="Calibri"/>
        </w:rPr>
        <w:tab/>
        <w:t xml:space="preserve">Zhou, J. </w:t>
      </w:r>
      <w:r w:rsidRPr="00317E7D">
        <w:rPr>
          <w:rFonts w:ascii="Calibri" w:cs="Calibri"/>
          <w:i/>
          <w:iCs/>
        </w:rPr>
        <w:t>et al.</w:t>
      </w:r>
      <w:r w:rsidRPr="00317E7D">
        <w:rPr>
          <w:rFonts w:ascii="Calibri" w:cs="Calibri"/>
        </w:rPr>
        <w:t xml:space="preserve"> Immunogenic cell death in cancer therapy: Present and emerging inducers. </w:t>
      </w:r>
      <w:r w:rsidRPr="00317E7D">
        <w:rPr>
          <w:rFonts w:ascii="Calibri" w:cs="Calibri"/>
          <w:i/>
          <w:iCs/>
        </w:rPr>
        <w:t>Journal of Cellular and Molecular Medicine</w:t>
      </w:r>
      <w:r w:rsidRPr="00317E7D">
        <w:rPr>
          <w:rFonts w:ascii="Calibri" w:cs="Calibri"/>
        </w:rPr>
        <w:t xml:space="preserve"> </w:t>
      </w:r>
      <w:r w:rsidRPr="00317E7D">
        <w:rPr>
          <w:rFonts w:ascii="Calibri" w:cs="Calibri"/>
          <w:b/>
          <w:bCs/>
        </w:rPr>
        <w:t>23</w:t>
      </w:r>
      <w:r w:rsidRPr="00317E7D">
        <w:rPr>
          <w:rFonts w:ascii="Calibri" w:cs="Calibri"/>
        </w:rPr>
        <w:t>, 4854–4865 (2019).</w:t>
      </w:r>
    </w:p>
    <w:p w14:paraId="7C60AF40" w14:textId="77777777" w:rsidR="00317E7D" w:rsidRPr="00317E7D" w:rsidRDefault="00317E7D" w:rsidP="00317E7D">
      <w:pPr>
        <w:pStyle w:val="Bibliography"/>
        <w:rPr>
          <w:rFonts w:ascii="Calibri" w:cs="Calibri"/>
        </w:rPr>
      </w:pPr>
      <w:r w:rsidRPr="00317E7D">
        <w:rPr>
          <w:rFonts w:ascii="Calibri" w:cs="Calibri"/>
        </w:rPr>
        <w:lastRenderedPageBreak/>
        <w:t>164.</w:t>
      </w:r>
      <w:r w:rsidRPr="00317E7D">
        <w:rPr>
          <w:rFonts w:ascii="Calibri" w:cs="Calibri"/>
        </w:rPr>
        <w:tab/>
        <w:t xml:space="preserve">Chen, G. Y. &amp; Nuñez, G. Sterile inflammation: sensing and reacting to damage. </w:t>
      </w:r>
      <w:r w:rsidRPr="00317E7D">
        <w:rPr>
          <w:rFonts w:ascii="Calibri" w:cs="Calibri"/>
          <w:i/>
          <w:iCs/>
        </w:rPr>
        <w:t>Nat Rev Immunol</w:t>
      </w:r>
      <w:r w:rsidRPr="00317E7D">
        <w:rPr>
          <w:rFonts w:ascii="Calibri" w:cs="Calibri"/>
        </w:rPr>
        <w:t xml:space="preserve"> </w:t>
      </w:r>
      <w:r w:rsidRPr="00317E7D">
        <w:rPr>
          <w:rFonts w:ascii="Calibri" w:cs="Calibri"/>
          <w:b/>
          <w:bCs/>
        </w:rPr>
        <w:t>10</w:t>
      </w:r>
      <w:r w:rsidRPr="00317E7D">
        <w:rPr>
          <w:rFonts w:ascii="Calibri" w:cs="Calibri"/>
        </w:rPr>
        <w:t>, 826–837 (2010).</w:t>
      </w:r>
    </w:p>
    <w:p w14:paraId="2430334C" w14:textId="77777777" w:rsidR="00317E7D" w:rsidRPr="00317E7D" w:rsidRDefault="00317E7D" w:rsidP="00317E7D">
      <w:pPr>
        <w:pStyle w:val="Bibliography"/>
        <w:rPr>
          <w:rFonts w:ascii="Calibri" w:cs="Calibri"/>
        </w:rPr>
      </w:pPr>
      <w:r w:rsidRPr="00317E7D">
        <w:rPr>
          <w:rFonts w:ascii="Calibri" w:cs="Calibri"/>
        </w:rPr>
        <w:t>165.</w:t>
      </w:r>
      <w:r w:rsidRPr="00317E7D">
        <w:rPr>
          <w:rFonts w:ascii="Calibri" w:cs="Calibri"/>
        </w:rPr>
        <w:tab/>
        <w:t xml:space="preserve">Fagone, P. </w:t>
      </w:r>
      <w:r w:rsidRPr="00317E7D">
        <w:rPr>
          <w:rFonts w:ascii="Calibri" w:cs="Calibri"/>
          <w:i/>
          <w:iCs/>
        </w:rPr>
        <w:t>et al.</w:t>
      </w:r>
      <w:r w:rsidRPr="00317E7D">
        <w:rPr>
          <w:rFonts w:ascii="Calibri" w:cs="Calibri"/>
        </w:rPr>
        <w:t xml:space="preserve"> Molecular adjuvant HMGB1 enhances anti-influenza immunity during DNA vaccination. </w:t>
      </w:r>
      <w:r w:rsidRPr="00317E7D">
        <w:rPr>
          <w:rFonts w:ascii="Calibri" w:cs="Calibri"/>
          <w:i/>
          <w:iCs/>
        </w:rPr>
        <w:t>Gene Therapy</w:t>
      </w:r>
      <w:r w:rsidRPr="00317E7D">
        <w:rPr>
          <w:rFonts w:ascii="Calibri" w:cs="Calibri"/>
        </w:rPr>
        <w:t xml:space="preserve"> </w:t>
      </w:r>
      <w:r w:rsidRPr="00317E7D">
        <w:rPr>
          <w:rFonts w:ascii="Calibri" w:cs="Calibri"/>
          <w:b/>
          <w:bCs/>
        </w:rPr>
        <w:t>18</w:t>
      </w:r>
      <w:r w:rsidRPr="00317E7D">
        <w:rPr>
          <w:rFonts w:ascii="Calibri" w:cs="Calibri"/>
        </w:rPr>
        <w:t>, 1070–1077 (2011).</w:t>
      </w:r>
    </w:p>
    <w:p w14:paraId="682CA6A0" w14:textId="77777777" w:rsidR="00317E7D" w:rsidRPr="00317E7D" w:rsidRDefault="00317E7D" w:rsidP="00317E7D">
      <w:pPr>
        <w:pStyle w:val="Bibliography"/>
        <w:rPr>
          <w:rFonts w:ascii="Calibri" w:cs="Calibri"/>
        </w:rPr>
      </w:pPr>
      <w:r w:rsidRPr="00317E7D">
        <w:rPr>
          <w:rFonts w:ascii="Calibri" w:cs="Calibri"/>
        </w:rPr>
        <w:t>166.</w:t>
      </w:r>
      <w:r w:rsidRPr="00317E7D">
        <w:rPr>
          <w:rFonts w:ascii="Calibri" w:cs="Calibri"/>
        </w:rPr>
        <w:tab/>
        <w:t xml:space="preserve">Murshid, A., Gong, J. &amp; Calderwood, S. K. Hsp90 mediates Efficient Antigen Cross Presentation Through the Scavenger Receptor SREC-I. </w:t>
      </w:r>
      <w:r w:rsidRPr="00317E7D">
        <w:rPr>
          <w:rFonts w:ascii="Calibri" w:cs="Calibri"/>
          <w:i/>
          <w:iCs/>
        </w:rPr>
        <w:t>J Immunol</w:t>
      </w:r>
      <w:r w:rsidRPr="00317E7D">
        <w:rPr>
          <w:rFonts w:ascii="Calibri" w:cs="Calibri"/>
        </w:rPr>
        <w:t xml:space="preserve"> </w:t>
      </w:r>
      <w:r w:rsidRPr="00317E7D">
        <w:rPr>
          <w:rFonts w:ascii="Calibri" w:cs="Calibri"/>
          <w:b/>
          <w:bCs/>
        </w:rPr>
        <w:t>185</w:t>
      </w:r>
      <w:r w:rsidRPr="00317E7D">
        <w:rPr>
          <w:rFonts w:ascii="Calibri" w:cs="Calibri"/>
        </w:rPr>
        <w:t>, 2903–2917 (2010).</w:t>
      </w:r>
    </w:p>
    <w:p w14:paraId="140134ED" w14:textId="77777777" w:rsidR="00317E7D" w:rsidRPr="00317E7D" w:rsidRDefault="00317E7D" w:rsidP="00317E7D">
      <w:pPr>
        <w:pStyle w:val="Bibliography"/>
        <w:rPr>
          <w:rFonts w:ascii="Calibri" w:cs="Calibri"/>
        </w:rPr>
      </w:pPr>
      <w:r w:rsidRPr="00317E7D">
        <w:rPr>
          <w:rFonts w:ascii="Calibri" w:cs="Calibri"/>
        </w:rPr>
        <w:t>167.</w:t>
      </w:r>
      <w:r w:rsidRPr="00317E7D">
        <w:rPr>
          <w:rFonts w:ascii="Calibri" w:cs="Calibri"/>
        </w:rPr>
        <w:tab/>
        <w:t xml:space="preserve">Dumitriu, I. E., Bianchi, M. E., Bacci, M., Manfredi, A. A. &amp; Rovere-Querini, P. The secretion of HMGB1 is required for the migration of maturing dendritic cells. </w:t>
      </w:r>
      <w:r w:rsidRPr="00317E7D">
        <w:rPr>
          <w:rFonts w:ascii="Calibri" w:cs="Calibri"/>
          <w:i/>
          <w:iCs/>
        </w:rPr>
        <w:t>Journal of Leukocyte Biology</w:t>
      </w:r>
      <w:r w:rsidRPr="00317E7D">
        <w:rPr>
          <w:rFonts w:ascii="Calibri" w:cs="Calibri"/>
        </w:rPr>
        <w:t xml:space="preserve"> </w:t>
      </w:r>
      <w:r w:rsidRPr="00317E7D">
        <w:rPr>
          <w:rFonts w:ascii="Calibri" w:cs="Calibri"/>
          <w:b/>
          <w:bCs/>
        </w:rPr>
        <w:t>81</w:t>
      </w:r>
      <w:r w:rsidRPr="00317E7D">
        <w:rPr>
          <w:rFonts w:ascii="Calibri" w:cs="Calibri"/>
        </w:rPr>
        <w:t>, 84–91 (2007).</w:t>
      </w:r>
    </w:p>
    <w:p w14:paraId="0D5811B0" w14:textId="77777777" w:rsidR="00317E7D" w:rsidRPr="00317E7D" w:rsidRDefault="00317E7D" w:rsidP="00317E7D">
      <w:pPr>
        <w:pStyle w:val="Bibliography"/>
        <w:rPr>
          <w:rFonts w:ascii="Calibri" w:cs="Calibri"/>
        </w:rPr>
      </w:pPr>
      <w:r w:rsidRPr="00317E7D">
        <w:rPr>
          <w:rFonts w:ascii="Calibri" w:cs="Calibri"/>
        </w:rPr>
        <w:t>168.</w:t>
      </w:r>
      <w:r w:rsidRPr="00317E7D">
        <w:rPr>
          <w:rFonts w:ascii="Calibri" w:cs="Calibri"/>
        </w:rPr>
        <w:tab/>
        <w:t xml:space="preserve">Gray, V. P. </w:t>
      </w:r>
      <w:r w:rsidRPr="00317E7D">
        <w:rPr>
          <w:rFonts w:ascii="Calibri" w:cs="Calibri"/>
          <w:i/>
          <w:iCs/>
        </w:rPr>
        <w:t>et al.</w:t>
      </w:r>
      <w:r w:rsidRPr="00317E7D">
        <w:rPr>
          <w:rFonts w:ascii="Calibri" w:cs="Calibri"/>
        </w:rPr>
        <w:t xml:space="preserve"> Biomaterials via peptide assembly: design, characterization, and application in tissue engineering. </w:t>
      </w:r>
      <w:r w:rsidRPr="00317E7D">
        <w:rPr>
          <w:rFonts w:ascii="Calibri" w:cs="Calibri"/>
          <w:i/>
          <w:iCs/>
        </w:rPr>
        <w:t>Acta Biomaterialia</w:t>
      </w:r>
      <w:r w:rsidRPr="00317E7D">
        <w:rPr>
          <w:rFonts w:ascii="Calibri" w:cs="Calibri"/>
        </w:rPr>
        <w:t xml:space="preserve"> (2021) doi:10.1016/j.actbio.2021.10.030.</w:t>
      </w:r>
    </w:p>
    <w:p w14:paraId="06AB3926" w14:textId="77777777" w:rsidR="00317E7D" w:rsidRPr="00317E7D" w:rsidRDefault="00317E7D" w:rsidP="00317E7D">
      <w:pPr>
        <w:pStyle w:val="Bibliography"/>
        <w:rPr>
          <w:rFonts w:ascii="Calibri" w:cs="Calibri"/>
        </w:rPr>
      </w:pPr>
      <w:r w:rsidRPr="00317E7D">
        <w:rPr>
          <w:rFonts w:ascii="Calibri" w:cs="Calibri"/>
        </w:rPr>
        <w:t>169.</w:t>
      </w:r>
      <w:r w:rsidRPr="00317E7D">
        <w:rPr>
          <w:rFonts w:ascii="Calibri" w:cs="Calibri"/>
        </w:rPr>
        <w:tab/>
        <w:t xml:space="preserve">Hamsici, S. </w:t>
      </w:r>
      <w:r w:rsidRPr="00317E7D">
        <w:rPr>
          <w:rFonts w:ascii="Calibri" w:cs="Calibri"/>
          <w:i/>
          <w:iCs/>
        </w:rPr>
        <w:t>et al.</w:t>
      </w:r>
      <w:r w:rsidRPr="00317E7D">
        <w:rPr>
          <w:rFonts w:ascii="Calibri" w:cs="Calibri"/>
        </w:rPr>
        <w:t xml:space="preserve"> CHAPTER 9 Drug Delivery Applications of Peptide Materials. in </w:t>
      </w:r>
      <w:r w:rsidRPr="00317E7D">
        <w:rPr>
          <w:rFonts w:ascii="Calibri" w:cs="Calibri"/>
          <w:i/>
          <w:iCs/>
        </w:rPr>
        <w:t>Peptide-based Biomaterials</w:t>
      </w:r>
      <w:r w:rsidRPr="00317E7D">
        <w:rPr>
          <w:rFonts w:ascii="Calibri" w:cs="Calibri"/>
        </w:rPr>
        <w:t xml:space="preserve"> 291–334 (The Royal Society of Chemistry, 2021). doi:10.1039/9781839161148-00291.</w:t>
      </w:r>
    </w:p>
    <w:p w14:paraId="71BC20B9" w14:textId="77777777" w:rsidR="00317E7D" w:rsidRPr="00317E7D" w:rsidRDefault="00317E7D" w:rsidP="00317E7D">
      <w:pPr>
        <w:pStyle w:val="Bibliography"/>
        <w:rPr>
          <w:rFonts w:ascii="Calibri" w:cs="Calibri"/>
        </w:rPr>
      </w:pPr>
      <w:r w:rsidRPr="00317E7D">
        <w:rPr>
          <w:rFonts w:ascii="Calibri" w:cs="Calibri"/>
        </w:rPr>
        <w:t>170.</w:t>
      </w:r>
      <w:r w:rsidRPr="00317E7D">
        <w:rPr>
          <w:rFonts w:ascii="Calibri" w:cs="Calibri"/>
        </w:rPr>
        <w:tab/>
        <w:t xml:space="preserve">Acar, H. </w:t>
      </w:r>
      <w:r w:rsidRPr="00317E7D">
        <w:rPr>
          <w:rFonts w:ascii="Calibri" w:cs="Calibri"/>
          <w:i/>
          <w:iCs/>
        </w:rPr>
        <w:t>et al.</w:t>
      </w:r>
      <w:r w:rsidRPr="00317E7D">
        <w:rPr>
          <w:rFonts w:ascii="Calibri" w:cs="Calibri"/>
        </w:rPr>
        <w:t xml:space="preserve"> Self-assembling peptide-based building blocks in medical applications. </w:t>
      </w:r>
      <w:r w:rsidRPr="00317E7D">
        <w:rPr>
          <w:rFonts w:ascii="Calibri" w:cs="Calibri"/>
          <w:i/>
          <w:iCs/>
        </w:rPr>
        <w:t>Adv. Drug Deliv. Rev.</w:t>
      </w:r>
      <w:r w:rsidRPr="00317E7D">
        <w:rPr>
          <w:rFonts w:ascii="Calibri" w:cs="Calibri"/>
        </w:rPr>
        <w:t xml:space="preserve"> </w:t>
      </w:r>
      <w:r w:rsidRPr="00317E7D">
        <w:rPr>
          <w:rFonts w:ascii="Calibri" w:cs="Calibri"/>
          <w:b/>
          <w:bCs/>
        </w:rPr>
        <w:t>110–111</w:t>
      </w:r>
      <w:r w:rsidRPr="00317E7D">
        <w:rPr>
          <w:rFonts w:ascii="Calibri" w:cs="Calibri"/>
        </w:rPr>
        <w:t>, 65–79 (2017).</w:t>
      </w:r>
    </w:p>
    <w:p w14:paraId="594042B4" w14:textId="77777777" w:rsidR="00317E7D" w:rsidRPr="00317E7D" w:rsidRDefault="00317E7D" w:rsidP="00317E7D">
      <w:pPr>
        <w:pStyle w:val="Bibliography"/>
        <w:rPr>
          <w:rFonts w:ascii="Calibri" w:cs="Calibri"/>
        </w:rPr>
      </w:pPr>
      <w:r w:rsidRPr="00317E7D">
        <w:rPr>
          <w:rFonts w:ascii="Calibri" w:cs="Calibri"/>
        </w:rPr>
        <w:t>171.</w:t>
      </w:r>
      <w:r w:rsidRPr="00317E7D">
        <w:rPr>
          <w:rFonts w:ascii="Calibri" w:cs="Calibri"/>
        </w:rPr>
        <w:tab/>
        <w:t xml:space="preserve">Travkova, O. G., Moehwald, H. &amp; Brezesinski, G. The interaction of antimicrobial peptides with membranes. </w:t>
      </w:r>
      <w:r w:rsidRPr="00317E7D">
        <w:rPr>
          <w:rFonts w:ascii="Calibri" w:cs="Calibri"/>
          <w:i/>
          <w:iCs/>
        </w:rPr>
        <w:t>Advances in Colloid and Interface Science</w:t>
      </w:r>
      <w:r w:rsidRPr="00317E7D">
        <w:rPr>
          <w:rFonts w:ascii="Calibri" w:cs="Calibri"/>
        </w:rPr>
        <w:t xml:space="preserve"> </w:t>
      </w:r>
      <w:r w:rsidRPr="00317E7D">
        <w:rPr>
          <w:rFonts w:ascii="Calibri" w:cs="Calibri"/>
          <w:b/>
          <w:bCs/>
        </w:rPr>
        <w:t>247</w:t>
      </w:r>
      <w:r w:rsidRPr="00317E7D">
        <w:rPr>
          <w:rFonts w:ascii="Calibri" w:cs="Calibri"/>
        </w:rPr>
        <w:t>, 521–532 (2017).</w:t>
      </w:r>
    </w:p>
    <w:p w14:paraId="114BEA01" w14:textId="77777777" w:rsidR="00317E7D" w:rsidRPr="00317E7D" w:rsidRDefault="00317E7D" w:rsidP="00317E7D">
      <w:pPr>
        <w:pStyle w:val="Bibliography"/>
        <w:rPr>
          <w:rFonts w:ascii="Calibri" w:cs="Calibri"/>
        </w:rPr>
      </w:pPr>
      <w:r w:rsidRPr="00317E7D">
        <w:rPr>
          <w:rFonts w:ascii="Calibri" w:cs="Calibri"/>
        </w:rPr>
        <w:t>172.</w:t>
      </w:r>
      <w:r w:rsidRPr="00317E7D">
        <w:rPr>
          <w:rFonts w:ascii="Calibri" w:cs="Calibri"/>
        </w:rPr>
        <w:tab/>
        <w:t xml:space="preserve">Moore, A. N. &amp; Hartgerink, J. D. Self-Assembling Multidomain Peptide Nanofibers for Delivery of Bioactive Molecules and Tissue Regeneration. </w:t>
      </w:r>
      <w:r w:rsidRPr="00317E7D">
        <w:rPr>
          <w:rFonts w:ascii="Calibri" w:cs="Calibri"/>
          <w:i/>
          <w:iCs/>
        </w:rPr>
        <w:t>Acc. Chem. Res.</w:t>
      </w:r>
      <w:r w:rsidRPr="00317E7D">
        <w:rPr>
          <w:rFonts w:ascii="Calibri" w:cs="Calibri"/>
        </w:rPr>
        <w:t xml:space="preserve"> </w:t>
      </w:r>
      <w:r w:rsidRPr="00317E7D">
        <w:rPr>
          <w:rFonts w:ascii="Calibri" w:cs="Calibri"/>
          <w:b/>
          <w:bCs/>
        </w:rPr>
        <w:t>50</w:t>
      </w:r>
      <w:r w:rsidRPr="00317E7D">
        <w:rPr>
          <w:rFonts w:ascii="Calibri" w:cs="Calibri"/>
        </w:rPr>
        <w:t>, 714–722 (2017).</w:t>
      </w:r>
    </w:p>
    <w:p w14:paraId="285CF072" w14:textId="77777777" w:rsidR="00317E7D" w:rsidRPr="00317E7D" w:rsidRDefault="00317E7D" w:rsidP="00317E7D">
      <w:pPr>
        <w:pStyle w:val="Bibliography"/>
        <w:rPr>
          <w:rFonts w:ascii="Calibri" w:cs="Calibri"/>
        </w:rPr>
      </w:pPr>
      <w:r w:rsidRPr="00317E7D">
        <w:rPr>
          <w:rFonts w:ascii="Calibri" w:cs="Calibri"/>
        </w:rPr>
        <w:lastRenderedPageBreak/>
        <w:t>173.</w:t>
      </w:r>
      <w:r w:rsidRPr="00317E7D">
        <w:rPr>
          <w:rFonts w:ascii="Calibri" w:cs="Calibri"/>
        </w:rPr>
        <w:tab/>
        <w:t xml:space="preserve">Mu, Y. &amp; Yu, M. Effects of Hydrophobic Interaction Strength on the Self-Assembled Structures of Model Peptides. </w:t>
      </w:r>
      <w:r w:rsidRPr="00317E7D">
        <w:rPr>
          <w:rFonts w:ascii="Calibri" w:cs="Calibri"/>
          <w:i/>
          <w:iCs/>
        </w:rPr>
        <w:t>Soft Matter</w:t>
      </w:r>
      <w:r w:rsidRPr="00317E7D">
        <w:rPr>
          <w:rFonts w:ascii="Calibri" w:cs="Calibri"/>
        </w:rPr>
        <w:t xml:space="preserve"> </w:t>
      </w:r>
      <w:r w:rsidRPr="00317E7D">
        <w:rPr>
          <w:rFonts w:ascii="Calibri" w:cs="Calibri"/>
          <w:b/>
          <w:bCs/>
        </w:rPr>
        <w:t>10</w:t>
      </w:r>
      <w:r w:rsidRPr="00317E7D">
        <w:rPr>
          <w:rFonts w:ascii="Calibri" w:cs="Calibri"/>
        </w:rPr>
        <w:t>, 4956–4965 (2014).</w:t>
      </w:r>
    </w:p>
    <w:p w14:paraId="10811537" w14:textId="77777777" w:rsidR="00317E7D" w:rsidRPr="00317E7D" w:rsidRDefault="00317E7D" w:rsidP="00317E7D">
      <w:pPr>
        <w:pStyle w:val="Bibliography"/>
        <w:rPr>
          <w:rFonts w:ascii="Calibri" w:cs="Calibri"/>
        </w:rPr>
      </w:pPr>
      <w:r w:rsidRPr="00317E7D">
        <w:rPr>
          <w:rFonts w:ascii="Calibri" w:cs="Calibri"/>
        </w:rPr>
        <w:t>174.</w:t>
      </w:r>
      <w:r w:rsidRPr="00317E7D">
        <w:rPr>
          <w:rFonts w:ascii="Calibri" w:cs="Calibri"/>
        </w:rPr>
        <w:tab/>
        <w:t xml:space="preserve">Heuvel, M. van den </w:t>
      </w:r>
      <w:r w:rsidRPr="00317E7D">
        <w:rPr>
          <w:rFonts w:ascii="Calibri" w:cs="Calibri"/>
          <w:i/>
          <w:iCs/>
        </w:rPr>
        <w:t>et al.</w:t>
      </w:r>
      <w:r w:rsidRPr="00317E7D">
        <w:rPr>
          <w:rFonts w:ascii="Calibri" w:cs="Calibri"/>
        </w:rPr>
        <w:t xml:space="preserve"> Mechanical and thermal stabilities of peptide amphiphile fibres. </w:t>
      </w:r>
      <w:r w:rsidRPr="00317E7D">
        <w:rPr>
          <w:rFonts w:ascii="Calibri" w:cs="Calibri"/>
          <w:i/>
          <w:iCs/>
        </w:rPr>
        <w:t>Soft Matter</w:t>
      </w:r>
      <w:r w:rsidRPr="00317E7D">
        <w:rPr>
          <w:rFonts w:ascii="Calibri" w:cs="Calibri"/>
        </w:rPr>
        <w:t xml:space="preserve"> </w:t>
      </w:r>
      <w:r w:rsidRPr="00317E7D">
        <w:rPr>
          <w:rFonts w:ascii="Calibri" w:cs="Calibri"/>
          <w:b/>
          <w:bCs/>
        </w:rPr>
        <w:t>7</w:t>
      </w:r>
      <w:r w:rsidRPr="00317E7D">
        <w:rPr>
          <w:rFonts w:ascii="Calibri" w:cs="Calibri"/>
        </w:rPr>
        <w:t>, 9737–9743 (2011).</w:t>
      </w:r>
    </w:p>
    <w:p w14:paraId="4317A39D" w14:textId="77777777" w:rsidR="00317E7D" w:rsidRPr="00317E7D" w:rsidRDefault="00317E7D" w:rsidP="00317E7D">
      <w:pPr>
        <w:pStyle w:val="Bibliography"/>
        <w:rPr>
          <w:rFonts w:ascii="Calibri" w:cs="Calibri"/>
        </w:rPr>
      </w:pPr>
      <w:r w:rsidRPr="00317E7D">
        <w:rPr>
          <w:rFonts w:ascii="Calibri" w:cs="Calibri"/>
        </w:rPr>
        <w:t>175.</w:t>
      </w:r>
      <w:r w:rsidRPr="00317E7D">
        <w:rPr>
          <w:rFonts w:ascii="Calibri" w:cs="Calibri"/>
        </w:rPr>
        <w:tab/>
        <w:t xml:space="preserve">Yakupova, E. I., Bobyleva, L. G., Vikhlyantsev, I. M. &amp; Bobylev, A. G. Congo Red and amyloids: history and relationship. </w:t>
      </w:r>
      <w:r w:rsidRPr="00317E7D">
        <w:rPr>
          <w:rFonts w:ascii="Calibri" w:cs="Calibri"/>
          <w:i/>
          <w:iCs/>
        </w:rPr>
        <w:t>Biosci Rep</w:t>
      </w:r>
      <w:r w:rsidRPr="00317E7D">
        <w:rPr>
          <w:rFonts w:ascii="Calibri" w:cs="Calibri"/>
        </w:rPr>
        <w:t xml:space="preserve"> </w:t>
      </w:r>
      <w:r w:rsidRPr="00317E7D">
        <w:rPr>
          <w:rFonts w:ascii="Calibri" w:cs="Calibri"/>
          <w:b/>
          <w:bCs/>
        </w:rPr>
        <w:t>39</w:t>
      </w:r>
      <w:r w:rsidRPr="00317E7D">
        <w:rPr>
          <w:rFonts w:ascii="Calibri" w:cs="Calibri"/>
        </w:rPr>
        <w:t>, BSR20181415 (2019).</w:t>
      </w:r>
    </w:p>
    <w:p w14:paraId="7CECA68F" w14:textId="77777777" w:rsidR="00317E7D" w:rsidRPr="00317E7D" w:rsidRDefault="00317E7D" w:rsidP="00317E7D">
      <w:pPr>
        <w:pStyle w:val="Bibliography"/>
        <w:rPr>
          <w:rFonts w:ascii="Calibri" w:cs="Calibri"/>
        </w:rPr>
      </w:pPr>
      <w:r w:rsidRPr="00317E7D">
        <w:rPr>
          <w:rFonts w:ascii="Calibri" w:cs="Calibri"/>
        </w:rPr>
        <w:t>176.</w:t>
      </w:r>
      <w:r w:rsidRPr="00317E7D">
        <w:rPr>
          <w:rFonts w:ascii="Calibri" w:cs="Calibri"/>
        </w:rPr>
        <w:tab/>
        <w:t xml:space="preserve">Fluorescence Sensing. in </w:t>
      </w:r>
      <w:r w:rsidRPr="00317E7D">
        <w:rPr>
          <w:rFonts w:ascii="Calibri" w:cs="Calibri"/>
          <w:i/>
          <w:iCs/>
        </w:rPr>
        <w:t>Principles of Fluorescence Spectroscopy</w:t>
      </w:r>
      <w:r w:rsidRPr="00317E7D">
        <w:rPr>
          <w:rFonts w:ascii="Calibri" w:cs="Calibri"/>
        </w:rPr>
        <w:t xml:space="preserve"> (ed. Lakowicz, J. R.) 623–673 (Springer US, 2006). doi:10.1007/978-0-387-46312-4_19.</w:t>
      </w:r>
    </w:p>
    <w:p w14:paraId="1DBEA4B4" w14:textId="77777777" w:rsidR="00317E7D" w:rsidRPr="00317E7D" w:rsidRDefault="00317E7D" w:rsidP="00317E7D">
      <w:pPr>
        <w:pStyle w:val="Bibliography"/>
        <w:rPr>
          <w:rFonts w:ascii="Calibri" w:cs="Calibri"/>
        </w:rPr>
      </w:pPr>
      <w:r w:rsidRPr="00317E7D">
        <w:rPr>
          <w:rFonts w:ascii="Calibri" w:cs="Calibri"/>
        </w:rPr>
        <w:t>177.</w:t>
      </w:r>
      <w:r w:rsidRPr="00317E7D">
        <w:rPr>
          <w:rFonts w:ascii="Calibri" w:cs="Calibri"/>
        </w:rPr>
        <w:tab/>
        <w:t xml:space="preserve">Chan, D. I., Prenner, E. J. &amp; Vogel, H. J. Tryptophan- and arginine-rich antimicrobial peptides: Structures and mechanisms of action. </w:t>
      </w:r>
      <w:r w:rsidRPr="00317E7D">
        <w:rPr>
          <w:rFonts w:ascii="Calibri" w:cs="Calibri"/>
          <w:i/>
          <w:iCs/>
        </w:rPr>
        <w:t>Biochimica et Biophysica Acta (BBA) - Biomembranes</w:t>
      </w:r>
      <w:r w:rsidRPr="00317E7D">
        <w:rPr>
          <w:rFonts w:ascii="Calibri" w:cs="Calibri"/>
        </w:rPr>
        <w:t xml:space="preserve"> </w:t>
      </w:r>
      <w:r w:rsidRPr="00317E7D">
        <w:rPr>
          <w:rFonts w:ascii="Calibri" w:cs="Calibri"/>
          <w:b/>
          <w:bCs/>
        </w:rPr>
        <w:t>1758</w:t>
      </w:r>
      <w:r w:rsidRPr="00317E7D">
        <w:rPr>
          <w:rFonts w:ascii="Calibri" w:cs="Calibri"/>
        </w:rPr>
        <w:t>, 1184–1202 (2006).</w:t>
      </w:r>
    </w:p>
    <w:p w14:paraId="35C13E78" w14:textId="77777777" w:rsidR="00317E7D" w:rsidRPr="00317E7D" w:rsidRDefault="00317E7D" w:rsidP="00317E7D">
      <w:pPr>
        <w:pStyle w:val="Bibliography"/>
        <w:rPr>
          <w:rFonts w:ascii="Calibri" w:cs="Calibri"/>
        </w:rPr>
      </w:pPr>
      <w:r w:rsidRPr="00317E7D">
        <w:rPr>
          <w:rFonts w:ascii="Calibri" w:cs="Calibri"/>
        </w:rPr>
        <w:t>178.</w:t>
      </w:r>
      <w:r w:rsidRPr="00317E7D">
        <w:rPr>
          <w:rFonts w:ascii="Calibri" w:cs="Calibri"/>
        </w:rPr>
        <w:tab/>
        <w:t xml:space="preserve">de Jesus, A. J. &amp; Allen, T. W. The role of tryptophan side chains in membrane protein anchoring and hydrophobic mismatch. </w:t>
      </w:r>
      <w:r w:rsidRPr="00317E7D">
        <w:rPr>
          <w:rFonts w:ascii="Calibri" w:cs="Calibri"/>
          <w:i/>
          <w:iCs/>
        </w:rPr>
        <w:t>Biochimica et Biophysica Acta (BBA) - Biomembranes</w:t>
      </w:r>
      <w:r w:rsidRPr="00317E7D">
        <w:rPr>
          <w:rFonts w:ascii="Calibri" w:cs="Calibri"/>
        </w:rPr>
        <w:t xml:space="preserve"> </w:t>
      </w:r>
      <w:r w:rsidRPr="00317E7D">
        <w:rPr>
          <w:rFonts w:ascii="Calibri" w:cs="Calibri"/>
          <w:b/>
          <w:bCs/>
        </w:rPr>
        <w:t>1828</w:t>
      </w:r>
      <w:r w:rsidRPr="00317E7D">
        <w:rPr>
          <w:rFonts w:ascii="Calibri" w:cs="Calibri"/>
        </w:rPr>
        <w:t>, 864–876 (2013).</w:t>
      </w:r>
    </w:p>
    <w:p w14:paraId="51865A75" w14:textId="77777777" w:rsidR="00317E7D" w:rsidRPr="00317E7D" w:rsidRDefault="00317E7D" w:rsidP="00317E7D">
      <w:pPr>
        <w:pStyle w:val="Bibliography"/>
        <w:rPr>
          <w:rFonts w:ascii="Calibri" w:cs="Calibri"/>
        </w:rPr>
      </w:pPr>
      <w:r w:rsidRPr="00317E7D">
        <w:rPr>
          <w:rFonts w:ascii="Calibri" w:cs="Calibri"/>
        </w:rPr>
        <w:t>179.</w:t>
      </w:r>
      <w:r w:rsidRPr="00317E7D">
        <w:rPr>
          <w:rFonts w:ascii="Calibri" w:cs="Calibri"/>
        </w:rPr>
        <w:tab/>
        <w:t xml:space="preserve">Seo, Y.-W. </w:t>
      </w:r>
      <w:r w:rsidRPr="00317E7D">
        <w:rPr>
          <w:rFonts w:ascii="Calibri" w:cs="Calibri"/>
          <w:i/>
          <w:iCs/>
        </w:rPr>
        <w:t>et al.</w:t>
      </w:r>
      <w:r w:rsidRPr="00317E7D">
        <w:rPr>
          <w:rFonts w:ascii="Calibri" w:cs="Calibri"/>
        </w:rPr>
        <w:t xml:space="preserve"> The Cell Death–Inducing Activity of the Peptide Containing Noxa Mitochondrial-Targeting Domain Is Associated with Calcium Release. </w:t>
      </w:r>
      <w:r w:rsidRPr="00317E7D">
        <w:rPr>
          <w:rFonts w:ascii="Calibri" w:cs="Calibri"/>
          <w:i/>
          <w:iCs/>
        </w:rPr>
        <w:t>Cancer Res</w:t>
      </w:r>
      <w:r w:rsidRPr="00317E7D">
        <w:rPr>
          <w:rFonts w:ascii="Calibri" w:cs="Calibri"/>
        </w:rPr>
        <w:t xml:space="preserve"> </w:t>
      </w:r>
      <w:r w:rsidRPr="00317E7D">
        <w:rPr>
          <w:rFonts w:ascii="Calibri" w:cs="Calibri"/>
          <w:b/>
          <w:bCs/>
        </w:rPr>
        <w:t>69</w:t>
      </w:r>
      <w:r w:rsidRPr="00317E7D">
        <w:rPr>
          <w:rFonts w:ascii="Calibri" w:cs="Calibri"/>
        </w:rPr>
        <w:t>, 8356–8365 (2009).</w:t>
      </w:r>
    </w:p>
    <w:p w14:paraId="2A4924AE" w14:textId="77777777" w:rsidR="00317E7D" w:rsidRPr="00317E7D" w:rsidRDefault="00317E7D" w:rsidP="00317E7D">
      <w:pPr>
        <w:pStyle w:val="Bibliography"/>
        <w:rPr>
          <w:rFonts w:ascii="Calibri" w:cs="Calibri"/>
        </w:rPr>
      </w:pPr>
      <w:r w:rsidRPr="00317E7D">
        <w:rPr>
          <w:rFonts w:ascii="Calibri" w:cs="Calibri"/>
        </w:rPr>
        <w:t>180.</w:t>
      </w:r>
      <w:r w:rsidRPr="00317E7D">
        <w:rPr>
          <w:rFonts w:ascii="Calibri" w:cs="Calibri"/>
        </w:rPr>
        <w:tab/>
        <w:t xml:space="preserve">Boohaker, R. J., Lee, M. W., Vishnubhotla, P., Perez, J. M. &amp; Khaled, A. R. The use of therapeutic peptides to target and to kill cancer cells. </w:t>
      </w:r>
      <w:r w:rsidRPr="00317E7D">
        <w:rPr>
          <w:rFonts w:ascii="Calibri" w:cs="Calibri"/>
          <w:i/>
          <w:iCs/>
        </w:rPr>
        <w:t>Curr. Med. Chem.</w:t>
      </w:r>
      <w:r w:rsidRPr="00317E7D">
        <w:rPr>
          <w:rFonts w:ascii="Calibri" w:cs="Calibri"/>
        </w:rPr>
        <w:t xml:space="preserve"> </w:t>
      </w:r>
      <w:r w:rsidRPr="00317E7D">
        <w:rPr>
          <w:rFonts w:ascii="Calibri" w:cs="Calibri"/>
          <w:b/>
          <w:bCs/>
        </w:rPr>
        <w:t>19</w:t>
      </w:r>
      <w:r w:rsidRPr="00317E7D">
        <w:rPr>
          <w:rFonts w:ascii="Calibri" w:cs="Calibri"/>
        </w:rPr>
        <w:t>, 3794–3804 (2012).</w:t>
      </w:r>
    </w:p>
    <w:p w14:paraId="5310E972" w14:textId="77777777" w:rsidR="00317E7D" w:rsidRPr="00317E7D" w:rsidRDefault="00317E7D" w:rsidP="00317E7D">
      <w:pPr>
        <w:pStyle w:val="Bibliography"/>
        <w:rPr>
          <w:rFonts w:ascii="Calibri" w:cs="Calibri"/>
        </w:rPr>
      </w:pPr>
      <w:r w:rsidRPr="00317E7D">
        <w:rPr>
          <w:rFonts w:ascii="Calibri" w:cs="Calibri"/>
        </w:rPr>
        <w:t>181.</w:t>
      </w:r>
      <w:r w:rsidRPr="00317E7D">
        <w:rPr>
          <w:rFonts w:ascii="Calibri" w:cs="Calibri"/>
        </w:rPr>
        <w:tab/>
        <w:t xml:space="preserve">Haug, B. E. </w:t>
      </w:r>
      <w:r w:rsidRPr="00317E7D">
        <w:rPr>
          <w:rFonts w:ascii="Calibri" w:cs="Calibri"/>
          <w:i/>
          <w:iCs/>
        </w:rPr>
        <w:t>et al.</w:t>
      </w:r>
      <w:r w:rsidRPr="00317E7D">
        <w:rPr>
          <w:rFonts w:ascii="Calibri" w:cs="Calibri"/>
        </w:rPr>
        <w:t xml:space="preserve"> Discovery of a 9-mer Cationic Peptide (LTX-315) as a Potential First in Class Oncolytic Peptide. </w:t>
      </w:r>
      <w:r w:rsidRPr="00317E7D">
        <w:rPr>
          <w:rFonts w:ascii="Calibri" w:cs="Calibri"/>
          <w:i/>
          <w:iCs/>
        </w:rPr>
        <w:t>J. Med. Chem.</w:t>
      </w:r>
      <w:r w:rsidRPr="00317E7D">
        <w:rPr>
          <w:rFonts w:ascii="Calibri" w:cs="Calibri"/>
        </w:rPr>
        <w:t xml:space="preserve"> </w:t>
      </w:r>
      <w:r w:rsidRPr="00317E7D">
        <w:rPr>
          <w:rFonts w:ascii="Calibri" w:cs="Calibri"/>
          <w:b/>
          <w:bCs/>
        </w:rPr>
        <w:t>59</w:t>
      </w:r>
      <w:r w:rsidRPr="00317E7D">
        <w:rPr>
          <w:rFonts w:ascii="Calibri" w:cs="Calibri"/>
        </w:rPr>
        <w:t>, 2918–2927 (2016).</w:t>
      </w:r>
    </w:p>
    <w:p w14:paraId="4AD8AA22" w14:textId="77777777" w:rsidR="00317E7D" w:rsidRPr="00317E7D" w:rsidRDefault="00317E7D" w:rsidP="00317E7D">
      <w:pPr>
        <w:pStyle w:val="Bibliography"/>
        <w:rPr>
          <w:rFonts w:ascii="Calibri" w:cs="Calibri"/>
        </w:rPr>
      </w:pPr>
      <w:r w:rsidRPr="00317E7D">
        <w:rPr>
          <w:rFonts w:ascii="Calibri" w:cs="Calibri"/>
        </w:rPr>
        <w:lastRenderedPageBreak/>
        <w:t>182.</w:t>
      </w:r>
      <w:r w:rsidRPr="00317E7D">
        <w:rPr>
          <w:rFonts w:ascii="Calibri" w:cs="Calibri"/>
        </w:rPr>
        <w:tab/>
        <w:t xml:space="preserve">Wei, M. C. </w:t>
      </w:r>
      <w:r w:rsidRPr="00317E7D">
        <w:rPr>
          <w:rFonts w:ascii="Calibri" w:cs="Calibri"/>
          <w:i/>
          <w:iCs/>
        </w:rPr>
        <w:t>et al.</w:t>
      </w:r>
      <w:r w:rsidRPr="00317E7D">
        <w:rPr>
          <w:rFonts w:ascii="Calibri" w:cs="Calibri"/>
        </w:rPr>
        <w:t xml:space="preserve"> Proapoptotic BAX and BAK: A Requisite Gateway to Mitochondrial Dysfunction and Death. </w:t>
      </w:r>
      <w:r w:rsidRPr="00317E7D">
        <w:rPr>
          <w:rFonts w:ascii="Calibri" w:cs="Calibri"/>
          <w:i/>
          <w:iCs/>
        </w:rPr>
        <w:t>Science</w:t>
      </w:r>
      <w:r w:rsidRPr="00317E7D">
        <w:rPr>
          <w:rFonts w:ascii="Calibri" w:cs="Calibri"/>
        </w:rPr>
        <w:t xml:space="preserve"> </w:t>
      </w:r>
      <w:r w:rsidRPr="00317E7D">
        <w:rPr>
          <w:rFonts w:ascii="Calibri" w:cs="Calibri"/>
          <w:b/>
          <w:bCs/>
        </w:rPr>
        <w:t>292</w:t>
      </w:r>
      <w:r w:rsidRPr="00317E7D">
        <w:rPr>
          <w:rFonts w:ascii="Calibri" w:cs="Calibri"/>
        </w:rPr>
        <w:t>, 727–730 (2001).</w:t>
      </w:r>
    </w:p>
    <w:p w14:paraId="7503AD85" w14:textId="77777777" w:rsidR="00317E7D" w:rsidRPr="00317E7D" w:rsidRDefault="00317E7D" w:rsidP="00317E7D">
      <w:pPr>
        <w:pStyle w:val="Bibliography"/>
        <w:rPr>
          <w:rFonts w:ascii="Calibri" w:cs="Calibri"/>
        </w:rPr>
      </w:pPr>
      <w:r w:rsidRPr="00317E7D">
        <w:rPr>
          <w:rFonts w:ascii="Calibri" w:cs="Calibri"/>
        </w:rPr>
        <w:t>183.</w:t>
      </w:r>
      <w:r w:rsidRPr="00317E7D">
        <w:rPr>
          <w:rFonts w:ascii="Calibri" w:cs="Calibri"/>
        </w:rPr>
        <w:tab/>
        <w:t xml:space="preserve">Olejniczak, S. H., Hernandez-Ilizaliturri, F. J., Clements, J. L. &amp; Czuczman, M. S. Acquired Resistance to Rituximab Is Associated with Chemotherapy Resistance Resulting from Decreased Bax and Bak Expression. </w:t>
      </w:r>
      <w:r w:rsidRPr="00317E7D">
        <w:rPr>
          <w:rFonts w:ascii="Calibri" w:cs="Calibri"/>
          <w:i/>
          <w:iCs/>
        </w:rPr>
        <w:t>Clin Cancer Res</w:t>
      </w:r>
      <w:r w:rsidRPr="00317E7D">
        <w:rPr>
          <w:rFonts w:ascii="Calibri" w:cs="Calibri"/>
        </w:rPr>
        <w:t xml:space="preserve"> </w:t>
      </w:r>
      <w:r w:rsidRPr="00317E7D">
        <w:rPr>
          <w:rFonts w:ascii="Calibri" w:cs="Calibri"/>
          <w:b/>
          <w:bCs/>
        </w:rPr>
        <w:t>14</w:t>
      </w:r>
      <w:r w:rsidRPr="00317E7D">
        <w:rPr>
          <w:rFonts w:ascii="Calibri" w:cs="Calibri"/>
        </w:rPr>
        <w:t>, 1550–1560 (2008).</w:t>
      </w:r>
    </w:p>
    <w:p w14:paraId="2924B8FC" w14:textId="77777777" w:rsidR="00317E7D" w:rsidRPr="00317E7D" w:rsidRDefault="00317E7D" w:rsidP="00317E7D">
      <w:pPr>
        <w:pStyle w:val="Bibliography"/>
        <w:rPr>
          <w:rFonts w:ascii="Calibri" w:cs="Calibri"/>
        </w:rPr>
      </w:pPr>
      <w:r w:rsidRPr="00317E7D">
        <w:rPr>
          <w:rFonts w:ascii="Calibri" w:cs="Calibri"/>
        </w:rPr>
        <w:t>184.</w:t>
      </w:r>
      <w:r w:rsidRPr="00317E7D">
        <w:rPr>
          <w:rFonts w:ascii="Calibri" w:cs="Calibri"/>
        </w:rPr>
        <w:tab/>
        <w:t xml:space="preserve">Perego, P. </w:t>
      </w:r>
      <w:r w:rsidRPr="00317E7D">
        <w:rPr>
          <w:rFonts w:ascii="Calibri" w:cs="Calibri"/>
          <w:i/>
          <w:iCs/>
        </w:rPr>
        <w:t>et al.</w:t>
      </w:r>
      <w:r w:rsidRPr="00317E7D">
        <w:rPr>
          <w:rFonts w:ascii="Calibri" w:cs="Calibri"/>
        </w:rPr>
        <w:t xml:space="preserve"> Association between Cisplatin Resistance and Mutation of p53 Gene and Reduced Bax Expression in Ovarian Carcinoma Cell Systems. </w:t>
      </w:r>
      <w:r w:rsidRPr="00317E7D">
        <w:rPr>
          <w:rFonts w:ascii="Calibri" w:cs="Calibri"/>
          <w:i/>
          <w:iCs/>
        </w:rPr>
        <w:t>Cancer Res</w:t>
      </w:r>
      <w:r w:rsidRPr="00317E7D">
        <w:rPr>
          <w:rFonts w:ascii="Calibri" w:cs="Calibri"/>
        </w:rPr>
        <w:t xml:space="preserve"> </w:t>
      </w:r>
      <w:r w:rsidRPr="00317E7D">
        <w:rPr>
          <w:rFonts w:ascii="Calibri" w:cs="Calibri"/>
          <w:b/>
          <w:bCs/>
        </w:rPr>
        <w:t>56</w:t>
      </w:r>
      <w:r w:rsidRPr="00317E7D">
        <w:rPr>
          <w:rFonts w:ascii="Calibri" w:cs="Calibri"/>
        </w:rPr>
        <w:t>, 556–562 (1996).</w:t>
      </w:r>
    </w:p>
    <w:p w14:paraId="00D96428" w14:textId="77777777" w:rsidR="00317E7D" w:rsidRPr="00317E7D" w:rsidRDefault="00317E7D" w:rsidP="00317E7D">
      <w:pPr>
        <w:pStyle w:val="Bibliography"/>
        <w:rPr>
          <w:rFonts w:ascii="Calibri" w:cs="Calibri"/>
        </w:rPr>
      </w:pPr>
      <w:r w:rsidRPr="00317E7D">
        <w:rPr>
          <w:rFonts w:ascii="Calibri" w:cs="Calibri"/>
        </w:rPr>
        <w:t>185.</w:t>
      </w:r>
      <w:r w:rsidRPr="00317E7D">
        <w:rPr>
          <w:rFonts w:ascii="Calibri" w:cs="Calibri"/>
        </w:rPr>
        <w:tab/>
        <w:t xml:space="preserve">Sawai, H. &amp; Domae, N. Discrimination between primary necrosis and apoptosis by necrostatin-1 in Annexin V-positive/propidium iodide-negative cells. </w:t>
      </w:r>
      <w:r w:rsidRPr="00317E7D">
        <w:rPr>
          <w:rFonts w:ascii="Calibri" w:cs="Calibri"/>
          <w:i/>
          <w:iCs/>
        </w:rPr>
        <w:t>Biochemical and Biophysical Research Communications</w:t>
      </w:r>
      <w:r w:rsidRPr="00317E7D">
        <w:rPr>
          <w:rFonts w:ascii="Calibri" w:cs="Calibri"/>
        </w:rPr>
        <w:t xml:space="preserve"> </w:t>
      </w:r>
      <w:r w:rsidRPr="00317E7D">
        <w:rPr>
          <w:rFonts w:ascii="Calibri" w:cs="Calibri"/>
          <w:b/>
          <w:bCs/>
        </w:rPr>
        <w:t>411</w:t>
      </w:r>
      <w:r w:rsidRPr="00317E7D">
        <w:rPr>
          <w:rFonts w:ascii="Calibri" w:cs="Calibri"/>
        </w:rPr>
        <w:t>, 569–573 (2011).</w:t>
      </w:r>
    </w:p>
    <w:p w14:paraId="2EE40662" w14:textId="77777777" w:rsidR="00317E7D" w:rsidRPr="00317E7D" w:rsidRDefault="00317E7D" w:rsidP="00317E7D">
      <w:pPr>
        <w:pStyle w:val="Bibliography"/>
        <w:rPr>
          <w:rFonts w:ascii="Calibri" w:cs="Calibri"/>
        </w:rPr>
      </w:pPr>
      <w:r w:rsidRPr="00317E7D">
        <w:rPr>
          <w:rFonts w:ascii="Calibri" w:cs="Calibri"/>
        </w:rPr>
        <w:t>186.</w:t>
      </w:r>
      <w:r w:rsidRPr="00317E7D">
        <w:rPr>
          <w:rFonts w:ascii="Calibri" w:cs="Calibri"/>
        </w:rPr>
        <w:tab/>
        <w:t xml:space="preserve">Hou, L. </w:t>
      </w:r>
      <w:r w:rsidRPr="00317E7D">
        <w:rPr>
          <w:rFonts w:ascii="Calibri" w:cs="Calibri"/>
          <w:i/>
          <w:iCs/>
        </w:rPr>
        <w:t>et al.</w:t>
      </w:r>
      <w:r w:rsidRPr="00317E7D">
        <w:rPr>
          <w:rFonts w:ascii="Calibri" w:cs="Calibri"/>
        </w:rPr>
        <w:t xml:space="preserve"> Necrotic pyknosis is a morphologically and biochemically distinct event from apoptotic pyknosis. </w:t>
      </w:r>
      <w:r w:rsidRPr="00317E7D">
        <w:rPr>
          <w:rFonts w:ascii="Calibri" w:cs="Calibri"/>
          <w:i/>
          <w:iCs/>
        </w:rPr>
        <w:t>Journal of Cell Science</w:t>
      </w:r>
      <w:r w:rsidRPr="00317E7D">
        <w:rPr>
          <w:rFonts w:ascii="Calibri" w:cs="Calibri"/>
        </w:rPr>
        <w:t xml:space="preserve"> jcs.184374 (2016) doi:10.1242/jcs.184374.</w:t>
      </w:r>
    </w:p>
    <w:p w14:paraId="7CD5ABC0" w14:textId="77777777" w:rsidR="00317E7D" w:rsidRPr="00317E7D" w:rsidRDefault="00317E7D" w:rsidP="00317E7D">
      <w:pPr>
        <w:pStyle w:val="Bibliography"/>
        <w:rPr>
          <w:rFonts w:ascii="Calibri" w:cs="Calibri"/>
        </w:rPr>
      </w:pPr>
      <w:r w:rsidRPr="00317E7D">
        <w:rPr>
          <w:rFonts w:ascii="Calibri" w:cs="Calibri"/>
        </w:rPr>
        <w:t>187.</w:t>
      </w:r>
      <w:r w:rsidRPr="00317E7D">
        <w:rPr>
          <w:rFonts w:ascii="Calibri" w:cs="Calibri"/>
        </w:rPr>
        <w:tab/>
        <w:t xml:space="preserve">Kumar, P., Nagarajan, A. &amp; Uchil, P. D. Analysis of Cell Viability by the Lactate Dehydrogenase Assay. </w:t>
      </w:r>
      <w:r w:rsidRPr="00317E7D">
        <w:rPr>
          <w:rFonts w:ascii="Calibri" w:cs="Calibri"/>
          <w:i/>
          <w:iCs/>
        </w:rPr>
        <w:t>Cold Spring Harb Protoc</w:t>
      </w:r>
      <w:r w:rsidRPr="00317E7D">
        <w:rPr>
          <w:rFonts w:ascii="Calibri" w:cs="Calibri"/>
        </w:rPr>
        <w:t xml:space="preserve"> </w:t>
      </w:r>
      <w:r w:rsidRPr="00317E7D">
        <w:rPr>
          <w:rFonts w:ascii="Calibri" w:cs="Calibri"/>
          <w:b/>
          <w:bCs/>
        </w:rPr>
        <w:t>2018</w:t>
      </w:r>
      <w:r w:rsidRPr="00317E7D">
        <w:rPr>
          <w:rFonts w:ascii="Calibri" w:cs="Calibri"/>
        </w:rPr>
        <w:t>, pdb.prot095497 (2018).</w:t>
      </w:r>
    </w:p>
    <w:p w14:paraId="2C2ADB67" w14:textId="77777777" w:rsidR="00317E7D" w:rsidRPr="00317E7D" w:rsidRDefault="00317E7D" w:rsidP="00317E7D">
      <w:pPr>
        <w:pStyle w:val="Bibliography"/>
        <w:rPr>
          <w:rFonts w:ascii="Calibri" w:cs="Calibri"/>
        </w:rPr>
      </w:pPr>
      <w:r w:rsidRPr="00317E7D">
        <w:rPr>
          <w:rFonts w:ascii="Calibri" w:cs="Calibri"/>
        </w:rPr>
        <w:t>188.</w:t>
      </w:r>
      <w:r w:rsidRPr="00317E7D">
        <w:rPr>
          <w:rFonts w:ascii="Calibri" w:cs="Calibri"/>
        </w:rPr>
        <w:tab/>
        <w:t xml:space="preserve">Meghji, P. &amp; Burnstock, G. Inhibition of extracellular ATP degradation in endothelial cells. </w:t>
      </w:r>
      <w:r w:rsidRPr="00317E7D">
        <w:rPr>
          <w:rFonts w:ascii="Calibri" w:cs="Calibri"/>
          <w:i/>
          <w:iCs/>
        </w:rPr>
        <w:t>Life Sciences</w:t>
      </w:r>
      <w:r w:rsidRPr="00317E7D">
        <w:rPr>
          <w:rFonts w:ascii="Calibri" w:cs="Calibri"/>
        </w:rPr>
        <w:t xml:space="preserve"> </w:t>
      </w:r>
      <w:r w:rsidRPr="00317E7D">
        <w:rPr>
          <w:rFonts w:ascii="Calibri" w:cs="Calibri"/>
          <w:b/>
          <w:bCs/>
        </w:rPr>
        <w:t>57</w:t>
      </w:r>
      <w:r w:rsidRPr="00317E7D">
        <w:rPr>
          <w:rFonts w:ascii="Calibri" w:cs="Calibri"/>
        </w:rPr>
        <w:t>, 763–771 (1995).</w:t>
      </w:r>
    </w:p>
    <w:p w14:paraId="032FB6D8" w14:textId="77777777" w:rsidR="00317E7D" w:rsidRPr="00317E7D" w:rsidRDefault="00317E7D" w:rsidP="00317E7D">
      <w:pPr>
        <w:pStyle w:val="Bibliography"/>
        <w:rPr>
          <w:rFonts w:ascii="Calibri" w:cs="Calibri"/>
        </w:rPr>
      </w:pPr>
      <w:r w:rsidRPr="00317E7D">
        <w:rPr>
          <w:rFonts w:ascii="Calibri" w:cs="Calibri"/>
        </w:rPr>
        <w:t>189.</w:t>
      </w:r>
      <w:r w:rsidRPr="00317E7D">
        <w:rPr>
          <w:rFonts w:ascii="Calibri" w:cs="Calibri"/>
        </w:rPr>
        <w:tab/>
        <w:t xml:space="preserve">Tang, D., Kang, R., Berghe, T. V., Vandenabeele, P. &amp; Kroemer, G. The molecular machinery of regulated cell death. </w:t>
      </w:r>
      <w:r w:rsidRPr="00317E7D">
        <w:rPr>
          <w:rFonts w:ascii="Calibri" w:cs="Calibri"/>
          <w:i/>
          <w:iCs/>
        </w:rPr>
        <w:t>Cell Res</w:t>
      </w:r>
      <w:r w:rsidRPr="00317E7D">
        <w:rPr>
          <w:rFonts w:ascii="Calibri" w:cs="Calibri"/>
        </w:rPr>
        <w:t xml:space="preserve"> </w:t>
      </w:r>
      <w:r w:rsidRPr="00317E7D">
        <w:rPr>
          <w:rFonts w:ascii="Calibri" w:cs="Calibri"/>
          <w:b/>
          <w:bCs/>
        </w:rPr>
        <w:t>29</w:t>
      </w:r>
      <w:r w:rsidRPr="00317E7D">
        <w:rPr>
          <w:rFonts w:ascii="Calibri" w:cs="Calibri"/>
        </w:rPr>
        <w:t>, 347–364 (2019).</w:t>
      </w:r>
    </w:p>
    <w:p w14:paraId="58862754" w14:textId="77777777" w:rsidR="00317E7D" w:rsidRPr="00317E7D" w:rsidRDefault="00317E7D" w:rsidP="00317E7D">
      <w:pPr>
        <w:pStyle w:val="Bibliography"/>
        <w:rPr>
          <w:rFonts w:ascii="Calibri" w:cs="Calibri"/>
        </w:rPr>
      </w:pPr>
      <w:r w:rsidRPr="00317E7D">
        <w:rPr>
          <w:rFonts w:ascii="Calibri" w:cs="Calibri"/>
        </w:rPr>
        <w:t>190.</w:t>
      </w:r>
      <w:r w:rsidRPr="00317E7D">
        <w:rPr>
          <w:rFonts w:ascii="Calibri" w:cs="Calibri"/>
        </w:rPr>
        <w:tab/>
        <w:t xml:space="preserve">Walsh, J. G. </w:t>
      </w:r>
      <w:r w:rsidRPr="00317E7D">
        <w:rPr>
          <w:rFonts w:ascii="Calibri" w:cs="Calibri"/>
          <w:i/>
          <w:iCs/>
        </w:rPr>
        <w:t>et al.</w:t>
      </w:r>
      <w:r w:rsidRPr="00317E7D">
        <w:rPr>
          <w:rFonts w:ascii="Calibri" w:cs="Calibri"/>
        </w:rPr>
        <w:t xml:space="preserve"> Executioner caspase-3 and caspase-7 are functionally distinct proteases. </w:t>
      </w:r>
      <w:r w:rsidRPr="00317E7D">
        <w:rPr>
          <w:rFonts w:ascii="Calibri" w:cs="Calibri"/>
          <w:i/>
          <w:iCs/>
        </w:rPr>
        <w:t>Proceedings of the National Academy of Sciences</w:t>
      </w:r>
      <w:r w:rsidRPr="00317E7D">
        <w:rPr>
          <w:rFonts w:ascii="Calibri" w:cs="Calibri"/>
        </w:rPr>
        <w:t xml:space="preserve"> </w:t>
      </w:r>
      <w:r w:rsidRPr="00317E7D">
        <w:rPr>
          <w:rFonts w:ascii="Calibri" w:cs="Calibri"/>
          <w:b/>
          <w:bCs/>
        </w:rPr>
        <w:t>105</w:t>
      </w:r>
      <w:r w:rsidRPr="00317E7D">
        <w:rPr>
          <w:rFonts w:ascii="Calibri" w:cs="Calibri"/>
        </w:rPr>
        <w:t>, 12815–12819 (2008).</w:t>
      </w:r>
    </w:p>
    <w:p w14:paraId="2D9F9776" w14:textId="77777777" w:rsidR="00317E7D" w:rsidRPr="00317E7D" w:rsidRDefault="00317E7D" w:rsidP="00317E7D">
      <w:pPr>
        <w:pStyle w:val="Bibliography"/>
        <w:rPr>
          <w:rFonts w:ascii="Calibri" w:cs="Calibri"/>
        </w:rPr>
      </w:pPr>
      <w:r w:rsidRPr="00317E7D">
        <w:rPr>
          <w:rFonts w:ascii="Calibri" w:cs="Calibri"/>
        </w:rPr>
        <w:lastRenderedPageBreak/>
        <w:t>191.</w:t>
      </w:r>
      <w:r w:rsidRPr="00317E7D">
        <w:rPr>
          <w:rFonts w:ascii="Calibri" w:cs="Calibri"/>
        </w:rPr>
        <w:tab/>
        <w:t xml:space="preserve">Schilder, R. J. </w:t>
      </w:r>
      <w:r w:rsidRPr="00317E7D">
        <w:rPr>
          <w:rFonts w:ascii="Calibri" w:cs="Calibri"/>
          <w:i/>
          <w:iCs/>
        </w:rPr>
        <w:t>et al.</w:t>
      </w:r>
      <w:r w:rsidRPr="00317E7D">
        <w:rPr>
          <w:rFonts w:ascii="Calibri" w:cs="Calibri"/>
        </w:rPr>
        <w:t xml:space="preserve"> Metallothionein gene expression and resistance to cisplatin in human ovarian cancer. </w:t>
      </w:r>
      <w:r w:rsidRPr="00317E7D">
        <w:rPr>
          <w:rFonts w:ascii="Calibri" w:cs="Calibri"/>
          <w:i/>
          <w:iCs/>
        </w:rPr>
        <w:t>Int. J. Cancer</w:t>
      </w:r>
      <w:r w:rsidRPr="00317E7D">
        <w:rPr>
          <w:rFonts w:ascii="Calibri" w:cs="Calibri"/>
        </w:rPr>
        <w:t xml:space="preserve"> </w:t>
      </w:r>
      <w:r w:rsidRPr="00317E7D">
        <w:rPr>
          <w:rFonts w:ascii="Calibri" w:cs="Calibri"/>
          <w:b/>
          <w:bCs/>
        </w:rPr>
        <w:t>45</w:t>
      </w:r>
      <w:r w:rsidRPr="00317E7D">
        <w:rPr>
          <w:rFonts w:ascii="Calibri" w:cs="Calibri"/>
        </w:rPr>
        <w:t>, 416–422 (1990).</w:t>
      </w:r>
    </w:p>
    <w:p w14:paraId="5E826175" w14:textId="77777777" w:rsidR="00317E7D" w:rsidRPr="00317E7D" w:rsidRDefault="00317E7D" w:rsidP="00317E7D">
      <w:pPr>
        <w:pStyle w:val="Bibliography"/>
        <w:rPr>
          <w:rFonts w:ascii="Calibri" w:cs="Calibri"/>
        </w:rPr>
      </w:pPr>
      <w:r w:rsidRPr="00317E7D">
        <w:rPr>
          <w:rFonts w:ascii="Calibri" w:cs="Calibri"/>
        </w:rPr>
        <w:t>192.</w:t>
      </w:r>
      <w:r w:rsidRPr="00317E7D">
        <w:rPr>
          <w:rFonts w:ascii="Calibri" w:cs="Calibri"/>
        </w:rPr>
        <w:tab/>
        <w:t xml:space="preserve">Zhang, Y. </w:t>
      </w:r>
      <w:r w:rsidRPr="00317E7D">
        <w:rPr>
          <w:rFonts w:ascii="Calibri" w:cs="Calibri"/>
          <w:i/>
          <w:iCs/>
        </w:rPr>
        <w:t>et al.</w:t>
      </w:r>
      <w:r w:rsidRPr="00317E7D">
        <w:rPr>
          <w:rFonts w:ascii="Calibri" w:cs="Calibri"/>
        </w:rPr>
        <w:t xml:space="preserve"> Temperature-dependent cell death patterns induced by functionalized gold nanoparticle photothermal therapy in melanoma cells. </w:t>
      </w:r>
      <w:r w:rsidRPr="00317E7D">
        <w:rPr>
          <w:rFonts w:ascii="Calibri" w:cs="Calibri"/>
          <w:i/>
          <w:iCs/>
        </w:rPr>
        <w:t>Sci Rep</w:t>
      </w:r>
      <w:r w:rsidRPr="00317E7D">
        <w:rPr>
          <w:rFonts w:ascii="Calibri" w:cs="Calibri"/>
        </w:rPr>
        <w:t xml:space="preserve"> </w:t>
      </w:r>
      <w:r w:rsidRPr="00317E7D">
        <w:rPr>
          <w:rFonts w:ascii="Calibri" w:cs="Calibri"/>
          <w:b/>
          <w:bCs/>
        </w:rPr>
        <w:t>8</w:t>
      </w:r>
      <w:r w:rsidRPr="00317E7D">
        <w:rPr>
          <w:rFonts w:ascii="Calibri" w:cs="Calibri"/>
        </w:rPr>
        <w:t>, 8720 (2018).</w:t>
      </w:r>
    </w:p>
    <w:p w14:paraId="4AE1AC4E" w14:textId="77777777" w:rsidR="00317E7D" w:rsidRPr="00317E7D" w:rsidRDefault="00317E7D" w:rsidP="00317E7D">
      <w:pPr>
        <w:pStyle w:val="Bibliography"/>
        <w:rPr>
          <w:rFonts w:ascii="Calibri" w:cs="Calibri"/>
        </w:rPr>
      </w:pPr>
      <w:r w:rsidRPr="00317E7D">
        <w:rPr>
          <w:rFonts w:ascii="Calibri" w:cs="Calibri"/>
        </w:rPr>
        <w:t>193.</w:t>
      </w:r>
      <w:r w:rsidRPr="00317E7D">
        <w:rPr>
          <w:rFonts w:ascii="Calibri" w:cs="Calibri"/>
        </w:rPr>
        <w:tab/>
        <w:t xml:space="preserve">Aaes, T. L. </w:t>
      </w:r>
      <w:r w:rsidRPr="00317E7D">
        <w:rPr>
          <w:rFonts w:ascii="Calibri" w:cs="Calibri"/>
          <w:i/>
          <w:iCs/>
        </w:rPr>
        <w:t>et al.</w:t>
      </w:r>
      <w:r w:rsidRPr="00317E7D">
        <w:rPr>
          <w:rFonts w:ascii="Calibri" w:cs="Calibri"/>
        </w:rPr>
        <w:t xml:space="preserve"> Vaccination with Necroptotic Cancer Cells Induces Efficient Anti-tumor Immunity. </w:t>
      </w:r>
      <w:r w:rsidRPr="00317E7D">
        <w:rPr>
          <w:rFonts w:ascii="Calibri" w:cs="Calibri"/>
          <w:i/>
          <w:iCs/>
        </w:rPr>
        <w:t>Cell Reports</w:t>
      </w:r>
      <w:r w:rsidRPr="00317E7D">
        <w:rPr>
          <w:rFonts w:ascii="Calibri" w:cs="Calibri"/>
        </w:rPr>
        <w:t xml:space="preserve"> </w:t>
      </w:r>
      <w:r w:rsidRPr="00317E7D">
        <w:rPr>
          <w:rFonts w:ascii="Calibri" w:cs="Calibri"/>
          <w:b/>
          <w:bCs/>
        </w:rPr>
        <w:t>15</w:t>
      </w:r>
      <w:r w:rsidRPr="00317E7D">
        <w:rPr>
          <w:rFonts w:ascii="Calibri" w:cs="Calibri"/>
        </w:rPr>
        <w:t>, 274–287 (2016).</w:t>
      </w:r>
    </w:p>
    <w:p w14:paraId="4E9C0E44" w14:textId="77777777" w:rsidR="00317E7D" w:rsidRPr="00317E7D" w:rsidRDefault="00317E7D" w:rsidP="00317E7D">
      <w:pPr>
        <w:pStyle w:val="Bibliography"/>
        <w:rPr>
          <w:rFonts w:ascii="Calibri" w:cs="Calibri"/>
        </w:rPr>
      </w:pPr>
      <w:r w:rsidRPr="00317E7D">
        <w:rPr>
          <w:rFonts w:ascii="Calibri" w:cs="Calibri"/>
        </w:rPr>
        <w:t>194.</w:t>
      </w:r>
      <w:r w:rsidRPr="00317E7D">
        <w:rPr>
          <w:rFonts w:ascii="Calibri" w:cs="Calibri"/>
        </w:rPr>
        <w:tab/>
        <w:t xml:space="preserve">Yu, P. </w:t>
      </w:r>
      <w:r w:rsidRPr="00317E7D">
        <w:rPr>
          <w:rFonts w:ascii="Calibri" w:cs="Calibri"/>
          <w:i/>
          <w:iCs/>
        </w:rPr>
        <w:t>et al.</w:t>
      </w:r>
      <w:r w:rsidRPr="00317E7D">
        <w:rPr>
          <w:rFonts w:ascii="Calibri" w:cs="Calibri"/>
        </w:rPr>
        <w:t xml:space="preserve"> Pyroptosis: mechanisms and diseases. </w:t>
      </w:r>
      <w:r w:rsidRPr="00317E7D">
        <w:rPr>
          <w:rFonts w:ascii="Calibri" w:cs="Calibri"/>
          <w:i/>
          <w:iCs/>
        </w:rPr>
        <w:t>Signal Transduction and Targeted Therapy</w:t>
      </w:r>
      <w:r w:rsidRPr="00317E7D">
        <w:rPr>
          <w:rFonts w:ascii="Calibri" w:cs="Calibri"/>
        </w:rPr>
        <w:t xml:space="preserve"> </w:t>
      </w:r>
      <w:r w:rsidRPr="00317E7D">
        <w:rPr>
          <w:rFonts w:ascii="Calibri" w:cs="Calibri"/>
          <w:b/>
          <w:bCs/>
        </w:rPr>
        <w:t>6</w:t>
      </w:r>
      <w:r w:rsidRPr="00317E7D">
        <w:rPr>
          <w:rFonts w:ascii="Calibri" w:cs="Calibri"/>
        </w:rPr>
        <w:t>, 1–21 (2021).</w:t>
      </w:r>
    </w:p>
    <w:p w14:paraId="53DC300D" w14:textId="77777777" w:rsidR="00317E7D" w:rsidRPr="00317E7D" w:rsidRDefault="00317E7D" w:rsidP="00317E7D">
      <w:pPr>
        <w:pStyle w:val="Bibliography"/>
        <w:rPr>
          <w:rFonts w:ascii="Calibri" w:cs="Calibri"/>
        </w:rPr>
      </w:pPr>
      <w:r w:rsidRPr="00317E7D">
        <w:rPr>
          <w:rFonts w:ascii="Calibri" w:cs="Calibri"/>
        </w:rPr>
        <w:t>195.</w:t>
      </w:r>
      <w:r w:rsidRPr="00317E7D">
        <w:rPr>
          <w:rFonts w:ascii="Calibri" w:cs="Calibri"/>
        </w:rPr>
        <w:tab/>
        <w:t xml:space="preserve">Jiang, X. &amp; Wang, X. Cytochrome </w:t>
      </w:r>
      <w:r w:rsidRPr="00317E7D">
        <w:rPr>
          <w:rFonts w:ascii="Calibri" w:cs="Calibri"/>
          <w:b/>
          <w:bCs/>
        </w:rPr>
        <w:t xml:space="preserve"> </w:t>
      </w:r>
      <w:r w:rsidRPr="00317E7D">
        <w:rPr>
          <w:rFonts w:ascii="Calibri" w:cs="Calibri"/>
          <w:b/>
          <w:bCs/>
          <w:i/>
          <w:iCs/>
        </w:rPr>
        <w:t>C</w:t>
      </w:r>
      <w:r w:rsidRPr="00317E7D">
        <w:rPr>
          <w:rFonts w:ascii="Calibri" w:cs="Calibri"/>
          <w:b/>
          <w:bCs/>
        </w:rPr>
        <w:t xml:space="preserve"> </w:t>
      </w:r>
      <w:r w:rsidRPr="00317E7D">
        <w:rPr>
          <w:rFonts w:ascii="Calibri" w:cs="Calibri"/>
        </w:rPr>
        <w:t xml:space="preserve"> -Mediated Apoptosis. </w:t>
      </w:r>
      <w:r w:rsidRPr="00317E7D">
        <w:rPr>
          <w:rFonts w:ascii="Calibri" w:cs="Calibri"/>
          <w:i/>
          <w:iCs/>
        </w:rPr>
        <w:t>Annu. Rev. Biochem.</w:t>
      </w:r>
      <w:r w:rsidRPr="00317E7D">
        <w:rPr>
          <w:rFonts w:ascii="Calibri" w:cs="Calibri"/>
        </w:rPr>
        <w:t xml:space="preserve"> </w:t>
      </w:r>
      <w:r w:rsidRPr="00317E7D">
        <w:rPr>
          <w:rFonts w:ascii="Calibri" w:cs="Calibri"/>
          <w:b/>
          <w:bCs/>
        </w:rPr>
        <w:t>73</w:t>
      </w:r>
      <w:r w:rsidRPr="00317E7D">
        <w:rPr>
          <w:rFonts w:ascii="Calibri" w:cs="Calibri"/>
        </w:rPr>
        <w:t>, 87–106 (2004).</w:t>
      </w:r>
    </w:p>
    <w:p w14:paraId="412C4B66" w14:textId="77777777" w:rsidR="00317E7D" w:rsidRPr="00317E7D" w:rsidRDefault="00317E7D" w:rsidP="00317E7D">
      <w:pPr>
        <w:pStyle w:val="Bibliography"/>
        <w:rPr>
          <w:rFonts w:ascii="Calibri" w:cs="Calibri"/>
        </w:rPr>
      </w:pPr>
      <w:r w:rsidRPr="00317E7D">
        <w:rPr>
          <w:rFonts w:ascii="Calibri" w:cs="Calibri"/>
        </w:rPr>
        <w:t>196.</w:t>
      </w:r>
      <w:r w:rsidRPr="00317E7D">
        <w:rPr>
          <w:rFonts w:ascii="Calibri" w:cs="Calibri"/>
        </w:rPr>
        <w:tab/>
        <w:t xml:space="preserve">Garrido, C. </w:t>
      </w:r>
      <w:r w:rsidRPr="00317E7D">
        <w:rPr>
          <w:rFonts w:ascii="Calibri" w:cs="Calibri"/>
          <w:i/>
          <w:iCs/>
        </w:rPr>
        <w:t>et al.</w:t>
      </w:r>
      <w:r w:rsidRPr="00317E7D">
        <w:rPr>
          <w:rFonts w:ascii="Calibri" w:cs="Calibri"/>
        </w:rPr>
        <w:t xml:space="preserve"> Mechanisms of cytochrome c release from mitochondria. </w:t>
      </w:r>
      <w:r w:rsidRPr="00317E7D">
        <w:rPr>
          <w:rFonts w:ascii="Calibri" w:cs="Calibri"/>
          <w:i/>
          <w:iCs/>
        </w:rPr>
        <w:t>Cell Death Differ</w:t>
      </w:r>
      <w:r w:rsidRPr="00317E7D">
        <w:rPr>
          <w:rFonts w:ascii="Calibri" w:cs="Calibri"/>
        </w:rPr>
        <w:t xml:space="preserve"> </w:t>
      </w:r>
      <w:r w:rsidRPr="00317E7D">
        <w:rPr>
          <w:rFonts w:ascii="Calibri" w:cs="Calibri"/>
          <w:b/>
          <w:bCs/>
        </w:rPr>
        <w:t>13</w:t>
      </w:r>
      <w:r w:rsidRPr="00317E7D">
        <w:rPr>
          <w:rFonts w:ascii="Calibri" w:cs="Calibri"/>
        </w:rPr>
        <w:t>, 1423–1433 (2006).</w:t>
      </w:r>
    </w:p>
    <w:p w14:paraId="5B555860" w14:textId="77777777" w:rsidR="00317E7D" w:rsidRPr="00317E7D" w:rsidRDefault="00317E7D" w:rsidP="00317E7D">
      <w:pPr>
        <w:pStyle w:val="Bibliography"/>
        <w:rPr>
          <w:rFonts w:ascii="Calibri" w:cs="Calibri"/>
        </w:rPr>
      </w:pPr>
      <w:r w:rsidRPr="00317E7D">
        <w:rPr>
          <w:rFonts w:ascii="Calibri" w:cs="Calibri"/>
        </w:rPr>
        <w:t>197.</w:t>
      </w:r>
      <w:r w:rsidRPr="00317E7D">
        <w:rPr>
          <w:rFonts w:ascii="Calibri" w:cs="Calibri"/>
        </w:rPr>
        <w:tab/>
        <w:t xml:space="preserve">Bhola, P. D. </w:t>
      </w:r>
      <w:r w:rsidRPr="00317E7D">
        <w:rPr>
          <w:rFonts w:ascii="Calibri" w:cs="Calibri"/>
          <w:i/>
          <w:iCs/>
        </w:rPr>
        <w:t>et al.</w:t>
      </w:r>
      <w:r w:rsidRPr="00317E7D">
        <w:rPr>
          <w:rFonts w:ascii="Calibri" w:cs="Calibri"/>
        </w:rPr>
        <w:t xml:space="preserve"> High-throughput dynamic BH3 profiling may quickly and accurately predict effective therapies in solid tumors. </w:t>
      </w:r>
      <w:r w:rsidRPr="00317E7D">
        <w:rPr>
          <w:rFonts w:ascii="Calibri" w:cs="Calibri"/>
          <w:i/>
          <w:iCs/>
        </w:rPr>
        <w:t>Sci. Signal.</w:t>
      </w:r>
      <w:r w:rsidRPr="00317E7D">
        <w:rPr>
          <w:rFonts w:ascii="Calibri" w:cs="Calibri"/>
        </w:rPr>
        <w:t xml:space="preserve"> </w:t>
      </w:r>
      <w:r w:rsidRPr="00317E7D">
        <w:rPr>
          <w:rFonts w:ascii="Calibri" w:cs="Calibri"/>
          <w:b/>
          <w:bCs/>
        </w:rPr>
        <w:t>13</w:t>
      </w:r>
      <w:r w:rsidRPr="00317E7D">
        <w:rPr>
          <w:rFonts w:ascii="Calibri" w:cs="Calibri"/>
        </w:rPr>
        <w:t>, (2020).</w:t>
      </w:r>
    </w:p>
    <w:p w14:paraId="742C5049" w14:textId="77777777" w:rsidR="00317E7D" w:rsidRPr="00317E7D" w:rsidRDefault="00317E7D" w:rsidP="00317E7D">
      <w:pPr>
        <w:pStyle w:val="Bibliography"/>
        <w:rPr>
          <w:rFonts w:ascii="Calibri" w:cs="Calibri"/>
        </w:rPr>
      </w:pPr>
      <w:r w:rsidRPr="00317E7D">
        <w:rPr>
          <w:rFonts w:ascii="Calibri" w:cs="Calibri"/>
        </w:rPr>
        <w:t>198.</w:t>
      </w:r>
      <w:r w:rsidRPr="00317E7D">
        <w:rPr>
          <w:rFonts w:ascii="Calibri" w:cs="Calibri"/>
        </w:rPr>
        <w:tab/>
        <w:t xml:space="preserve">Gunay, G. </w:t>
      </w:r>
      <w:r w:rsidRPr="00317E7D">
        <w:rPr>
          <w:rFonts w:ascii="Calibri" w:cs="Calibri"/>
          <w:i/>
          <w:iCs/>
        </w:rPr>
        <w:t>et al.</w:t>
      </w:r>
      <w:r w:rsidRPr="00317E7D">
        <w:rPr>
          <w:rFonts w:ascii="Calibri" w:cs="Calibri"/>
        </w:rPr>
        <w:t xml:space="preserve"> Antigenic GM3 Lactone Mimetic Molecule Integrated Mannosylated Glycopeptide Nanofibers for the Activation and Maturation of Dendritic Cells. </w:t>
      </w:r>
      <w:r w:rsidRPr="00317E7D">
        <w:rPr>
          <w:rFonts w:ascii="Calibri" w:cs="Calibri"/>
          <w:i/>
          <w:iCs/>
        </w:rPr>
        <w:t>ACS Appl. Mater. Interfaces</w:t>
      </w:r>
      <w:r w:rsidRPr="00317E7D">
        <w:rPr>
          <w:rFonts w:ascii="Calibri" w:cs="Calibri"/>
        </w:rPr>
        <w:t xml:space="preserve"> </w:t>
      </w:r>
      <w:r w:rsidRPr="00317E7D">
        <w:rPr>
          <w:rFonts w:ascii="Calibri" w:cs="Calibri"/>
          <w:b/>
          <w:bCs/>
        </w:rPr>
        <w:t>9</w:t>
      </w:r>
      <w:r w:rsidRPr="00317E7D">
        <w:rPr>
          <w:rFonts w:ascii="Calibri" w:cs="Calibri"/>
        </w:rPr>
        <w:t>, 16035–16042 (2017).</w:t>
      </w:r>
    </w:p>
    <w:p w14:paraId="6310F28F" w14:textId="77777777" w:rsidR="00317E7D" w:rsidRPr="00317E7D" w:rsidRDefault="00317E7D" w:rsidP="00317E7D">
      <w:pPr>
        <w:pStyle w:val="Bibliography"/>
        <w:rPr>
          <w:rFonts w:ascii="Calibri" w:cs="Calibri"/>
        </w:rPr>
      </w:pPr>
      <w:r w:rsidRPr="00317E7D">
        <w:rPr>
          <w:rFonts w:ascii="Calibri" w:cs="Calibri"/>
        </w:rPr>
        <w:t>199.</w:t>
      </w:r>
      <w:r w:rsidRPr="00317E7D">
        <w:rPr>
          <w:rFonts w:ascii="Calibri" w:cs="Calibri"/>
        </w:rPr>
        <w:tab/>
        <w:t xml:space="preserve">Langevin, H. M., Bouffard, N. A., Badger, G. J., Churchill, D. L. &amp; Howe, A. K. Subcutaneous tissue fibroblast cytoskeletal remodeling induced by acupuncture: Evidence for a mechanotransduction-based mechanism. </w:t>
      </w:r>
      <w:r w:rsidRPr="00317E7D">
        <w:rPr>
          <w:rFonts w:ascii="Calibri" w:cs="Calibri"/>
          <w:i/>
          <w:iCs/>
        </w:rPr>
        <w:t>J. Cell. Physiol.</w:t>
      </w:r>
      <w:r w:rsidRPr="00317E7D">
        <w:rPr>
          <w:rFonts w:ascii="Calibri" w:cs="Calibri"/>
        </w:rPr>
        <w:t xml:space="preserve"> </w:t>
      </w:r>
      <w:r w:rsidRPr="00317E7D">
        <w:rPr>
          <w:rFonts w:ascii="Calibri" w:cs="Calibri"/>
          <w:b/>
          <w:bCs/>
        </w:rPr>
        <w:t>207</w:t>
      </w:r>
      <w:r w:rsidRPr="00317E7D">
        <w:rPr>
          <w:rFonts w:ascii="Calibri" w:cs="Calibri"/>
        </w:rPr>
        <w:t>, 767–774 (2006).</w:t>
      </w:r>
    </w:p>
    <w:p w14:paraId="1C364379" w14:textId="77777777" w:rsidR="00317E7D" w:rsidRPr="00317E7D" w:rsidRDefault="00317E7D" w:rsidP="00317E7D">
      <w:pPr>
        <w:pStyle w:val="Bibliography"/>
        <w:rPr>
          <w:rFonts w:ascii="Calibri" w:cs="Calibri"/>
        </w:rPr>
      </w:pPr>
      <w:r w:rsidRPr="00317E7D">
        <w:rPr>
          <w:rFonts w:ascii="Calibri" w:cs="Calibri"/>
        </w:rPr>
        <w:lastRenderedPageBreak/>
        <w:t>200.</w:t>
      </w:r>
      <w:r w:rsidRPr="00317E7D">
        <w:rPr>
          <w:rFonts w:ascii="Calibri" w:cs="Calibri"/>
        </w:rPr>
        <w:tab/>
        <w:t xml:space="preserve">Huber, V. C. </w:t>
      </w:r>
      <w:r w:rsidRPr="00317E7D">
        <w:rPr>
          <w:rFonts w:ascii="Calibri" w:cs="Calibri"/>
          <w:i/>
          <w:iCs/>
        </w:rPr>
        <w:t>et al.</w:t>
      </w:r>
      <w:r w:rsidRPr="00317E7D">
        <w:rPr>
          <w:rFonts w:ascii="Calibri" w:cs="Calibri"/>
        </w:rPr>
        <w:t xml:space="preserve"> Distinct Contributions of Vaccine-Induced Immunoglobulin G1 (IgG1) and IgG2a Antibodies to Protective Immunity against Influenza. </w:t>
      </w:r>
      <w:r w:rsidRPr="00317E7D">
        <w:rPr>
          <w:rFonts w:ascii="Calibri" w:cs="Calibri"/>
          <w:i/>
          <w:iCs/>
        </w:rPr>
        <w:t>Clin Vaccine Immunol</w:t>
      </w:r>
      <w:r w:rsidRPr="00317E7D">
        <w:rPr>
          <w:rFonts w:ascii="Calibri" w:cs="Calibri"/>
        </w:rPr>
        <w:t xml:space="preserve"> </w:t>
      </w:r>
      <w:r w:rsidRPr="00317E7D">
        <w:rPr>
          <w:rFonts w:ascii="Calibri" w:cs="Calibri"/>
          <w:b/>
          <w:bCs/>
        </w:rPr>
        <w:t>13</w:t>
      </w:r>
      <w:r w:rsidRPr="00317E7D">
        <w:rPr>
          <w:rFonts w:ascii="Calibri" w:cs="Calibri"/>
        </w:rPr>
        <w:t>, 981–990 (2006).</w:t>
      </w:r>
    </w:p>
    <w:p w14:paraId="68C74588" w14:textId="77777777" w:rsidR="00317E7D" w:rsidRPr="00317E7D" w:rsidRDefault="00317E7D" w:rsidP="00317E7D">
      <w:pPr>
        <w:pStyle w:val="Bibliography"/>
        <w:rPr>
          <w:rFonts w:ascii="Calibri" w:cs="Calibri"/>
        </w:rPr>
      </w:pPr>
      <w:r w:rsidRPr="00317E7D">
        <w:rPr>
          <w:rFonts w:ascii="Calibri" w:cs="Calibri"/>
        </w:rPr>
        <w:t>201.</w:t>
      </w:r>
      <w:r w:rsidRPr="00317E7D">
        <w:rPr>
          <w:rFonts w:ascii="Calibri" w:cs="Calibri"/>
        </w:rPr>
        <w:tab/>
        <w:t xml:space="preserve">Shibuya, M., Aoshi, T., Kuroda, E. &amp; Yoshioka, Y. Murine Cross-Reactive Nonneutralizing Polyclonal IgG1 Antibodies Induced by Influenza Vaccine Inhibit the Cross-Protective Effect of IgG2 against Heterologous Virus in Mice. </w:t>
      </w:r>
      <w:r w:rsidRPr="00317E7D">
        <w:rPr>
          <w:rFonts w:ascii="Calibri" w:cs="Calibri"/>
          <w:i/>
          <w:iCs/>
        </w:rPr>
        <w:t>Journal of Virology</w:t>
      </w:r>
      <w:r w:rsidRPr="00317E7D">
        <w:rPr>
          <w:rFonts w:ascii="Calibri" w:cs="Calibri"/>
        </w:rPr>
        <w:t xml:space="preserve"> </w:t>
      </w:r>
      <w:r w:rsidRPr="00317E7D">
        <w:rPr>
          <w:rFonts w:ascii="Calibri" w:cs="Calibri"/>
          <w:b/>
          <w:bCs/>
        </w:rPr>
        <w:t>94</w:t>
      </w:r>
      <w:r w:rsidRPr="00317E7D">
        <w:rPr>
          <w:rFonts w:ascii="Calibri" w:cs="Calibri"/>
        </w:rPr>
        <w:t>, e00323-20 (2020).</w:t>
      </w:r>
    </w:p>
    <w:p w14:paraId="3FC364AC" w14:textId="77777777" w:rsidR="00317E7D" w:rsidRPr="00317E7D" w:rsidRDefault="00317E7D" w:rsidP="00317E7D">
      <w:pPr>
        <w:pStyle w:val="Bibliography"/>
        <w:rPr>
          <w:rFonts w:ascii="Calibri" w:cs="Calibri"/>
        </w:rPr>
      </w:pPr>
      <w:r w:rsidRPr="00317E7D">
        <w:rPr>
          <w:rFonts w:ascii="Calibri" w:cs="Calibri"/>
        </w:rPr>
        <w:t>202.</w:t>
      </w:r>
      <w:r w:rsidRPr="00317E7D">
        <w:rPr>
          <w:rFonts w:ascii="Calibri" w:cs="Calibri"/>
        </w:rPr>
        <w:tab/>
        <w:t xml:space="preserve">Wieczorek, M. </w:t>
      </w:r>
      <w:r w:rsidRPr="00317E7D">
        <w:rPr>
          <w:rFonts w:ascii="Calibri" w:cs="Calibri"/>
          <w:i/>
          <w:iCs/>
        </w:rPr>
        <w:t>et al.</w:t>
      </w:r>
      <w:r w:rsidRPr="00317E7D">
        <w:rPr>
          <w:rFonts w:ascii="Calibri" w:cs="Calibri"/>
        </w:rPr>
        <w:t xml:space="preserve"> Major Histocompatibility Complex (MHC) Class I and MHC Class II Proteins: Conformational Plasticity in Antigen Presentation. </w:t>
      </w:r>
      <w:r w:rsidRPr="00317E7D">
        <w:rPr>
          <w:rFonts w:ascii="Calibri" w:cs="Calibri"/>
          <w:i/>
          <w:iCs/>
        </w:rPr>
        <w:t>Front Immunol</w:t>
      </w:r>
      <w:r w:rsidRPr="00317E7D">
        <w:rPr>
          <w:rFonts w:ascii="Calibri" w:cs="Calibri"/>
        </w:rPr>
        <w:t xml:space="preserve"> </w:t>
      </w:r>
      <w:r w:rsidRPr="00317E7D">
        <w:rPr>
          <w:rFonts w:ascii="Calibri" w:cs="Calibri"/>
          <w:b/>
          <w:bCs/>
        </w:rPr>
        <w:t>8</w:t>
      </w:r>
      <w:r w:rsidRPr="00317E7D">
        <w:rPr>
          <w:rFonts w:ascii="Calibri" w:cs="Calibri"/>
        </w:rPr>
        <w:t>, 292 (2017).</w:t>
      </w:r>
    </w:p>
    <w:p w14:paraId="45F9F466" w14:textId="77777777" w:rsidR="00317E7D" w:rsidRPr="00317E7D" w:rsidRDefault="00317E7D" w:rsidP="00317E7D">
      <w:pPr>
        <w:pStyle w:val="Bibliography"/>
        <w:rPr>
          <w:rFonts w:ascii="Calibri" w:cs="Calibri"/>
        </w:rPr>
      </w:pPr>
      <w:r w:rsidRPr="00317E7D">
        <w:rPr>
          <w:rFonts w:ascii="Calibri" w:cs="Calibri"/>
        </w:rPr>
        <w:t>203.</w:t>
      </w:r>
      <w:r w:rsidRPr="00317E7D">
        <w:rPr>
          <w:rFonts w:ascii="Calibri" w:cs="Calibri"/>
        </w:rPr>
        <w:tab/>
        <w:t xml:space="preserve">Chiti, F. </w:t>
      </w:r>
      <w:r w:rsidRPr="00317E7D">
        <w:rPr>
          <w:rFonts w:ascii="Calibri" w:cs="Calibri"/>
          <w:i/>
          <w:iCs/>
        </w:rPr>
        <w:t>et al.</w:t>
      </w:r>
      <w:r w:rsidRPr="00317E7D">
        <w:rPr>
          <w:rFonts w:ascii="Calibri" w:cs="Calibri"/>
        </w:rPr>
        <w:t xml:space="preserve"> Designing conditions for in vitro formation of amyloid protofilaments and fibrils. </w:t>
      </w:r>
      <w:r w:rsidRPr="00317E7D">
        <w:rPr>
          <w:rFonts w:ascii="Calibri" w:cs="Calibri"/>
          <w:i/>
          <w:iCs/>
        </w:rPr>
        <w:t>Proceedings of the National Academy of Sciences</w:t>
      </w:r>
      <w:r w:rsidRPr="00317E7D">
        <w:rPr>
          <w:rFonts w:ascii="Calibri" w:cs="Calibri"/>
        </w:rPr>
        <w:t xml:space="preserve"> </w:t>
      </w:r>
      <w:r w:rsidRPr="00317E7D">
        <w:rPr>
          <w:rFonts w:ascii="Calibri" w:cs="Calibri"/>
          <w:b/>
          <w:bCs/>
        </w:rPr>
        <w:t>96</w:t>
      </w:r>
      <w:r w:rsidRPr="00317E7D">
        <w:rPr>
          <w:rFonts w:ascii="Calibri" w:cs="Calibri"/>
        </w:rPr>
        <w:t>, 3590–3594 (1999).</w:t>
      </w:r>
    </w:p>
    <w:p w14:paraId="2121C5B2" w14:textId="77777777" w:rsidR="00317E7D" w:rsidRPr="00317E7D" w:rsidRDefault="00317E7D" w:rsidP="00317E7D">
      <w:pPr>
        <w:pStyle w:val="Bibliography"/>
        <w:rPr>
          <w:rFonts w:ascii="Calibri" w:cs="Calibri"/>
        </w:rPr>
      </w:pPr>
      <w:r w:rsidRPr="00317E7D">
        <w:rPr>
          <w:rFonts w:ascii="Calibri" w:cs="Calibri"/>
        </w:rPr>
        <w:t>204.</w:t>
      </w:r>
      <w:r w:rsidRPr="00317E7D">
        <w:rPr>
          <w:rFonts w:ascii="Calibri" w:cs="Calibri"/>
        </w:rPr>
        <w:tab/>
        <w:t xml:space="preserve">Dobson, C. M. Protein misfolding, evolution and disease. </w:t>
      </w:r>
      <w:r w:rsidRPr="00317E7D">
        <w:rPr>
          <w:rFonts w:ascii="Calibri" w:cs="Calibri"/>
          <w:i/>
          <w:iCs/>
        </w:rPr>
        <w:t>Trends in Biochemical Sciences</w:t>
      </w:r>
      <w:r w:rsidRPr="00317E7D">
        <w:rPr>
          <w:rFonts w:ascii="Calibri" w:cs="Calibri"/>
        </w:rPr>
        <w:t xml:space="preserve"> </w:t>
      </w:r>
      <w:r w:rsidRPr="00317E7D">
        <w:rPr>
          <w:rFonts w:ascii="Calibri" w:cs="Calibri"/>
          <w:b/>
          <w:bCs/>
        </w:rPr>
        <w:t>24</w:t>
      </w:r>
      <w:r w:rsidRPr="00317E7D">
        <w:rPr>
          <w:rFonts w:ascii="Calibri" w:cs="Calibri"/>
        </w:rPr>
        <w:t>, 329–332 (1999).</w:t>
      </w:r>
    </w:p>
    <w:p w14:paraId="27AA12EF" w14:textId="77777777" w:rsidR="00317E7D" w:rsidRPr="00317E7D" w:rsidRDefault="00317E7D" w:rsidP="00317E7D">
      <w:pPr>
        <w:pStyle w:val="Bibliography"/>
        <w:rPr>
          <w:rFonts w:ascii="Calibri" w:cs="Calibri"/>
        </w:rPr>
      </w:pPr>
      <w:r w:rsidRPr="00317E7D">
        <w:rPr>
          <w:rFonts w:ascii="Calibri" w:cs="Calibri"/>
        </w:rPr>
        <w:t>205.</w:t>
      </w:r>
      <w:r w:rsidRPr="00317E7D">
        <w:rPr>
          <w:rFonts w:ascii="Calibri" w:cs="Calibri"/>
        </w:rPr>
        <w:tab/>
        <w:t xml:space="preserve">Iadanza, M. G., Jackson, M. P., Hewitt, E. W., Ranson, N. A. &amp; Radford, S. E. A new era for understanding amyloid structures and disease. </w:t>
      </w:r>
      <w:r w:rsidRPr="00317E7D">
        <w:rPr>
          <w:rFonts w:ascii="Calibri" w:cs="Calibri"/>
          <w:i/>
          <w:iCs/>
        </w:rPr>
        <w:t>Nature Reviews Molecular Cell Biology</w:t>
      </w:r>
      <w:r w:rsidRPr="00317E7D">
        <w:rPr>
          <w:rFonts w:ascii="Calibri" w:cs="Calibri"/>
        </w:rPr>
        <w:t xml:space="preserve"> </w:t>
      </w:r>
      <w:r w:rsidRPr="00317E7D">
        <w:rPr>
          <w:rFonts w:ascii="Calibri" w:cs="Calibri"/>
          <w:b/>
          <w:bCs/>
        </w:rPr>
        <w:t>19</w:t>
      </w:r>
      <w:r w:rsidRPr="00317E7D">
        <w:rPr>
          <w:rFonts w:ascii="Calibri" w:cs="Calibri"/>
        </w:rPr>
        <w:t>, 755–773 (2018).</w:t>
      </w:r>
    </w:p>
    <w:p w14:paraId="42A5296D" w14:textId="77777777" w:rsidR="00317E7D" w:rsidRPr="00317E7D" w:rsidRDefault="00317E7D" w:rsidP="00317E7D">
      <w:pPr>
        <w:pStyle w:val="Bibliography"/>
        <w:rPr>
          <w:rFonts w:ascii="Calibri" w:cs="Calibri"/>
        </w:rPr>
      </w:pPr>
      <w:r w:rsidRPr="00317E7D">
        <w:rPr>
          <w:rFonts w:ascii="Calibri" w:cs="Calibri"/>
        </w:rPr>
        <w:t>206.</w:t>
      </w:r>
      <w:r w:rsidRPr="00317E7D">
        <w:rPr>
          <w:rFonts w:ascii="Calibri" w:cs="Calibri"/>
        </w:rPr>
        <w:tab/>
        <w:t xml:space="preserve">Gallardo, R., Ranson, N. A. &amp; Radford, S. E. Amyloid structures: much more than just a cross-β fold. </w:t>
      </w:r>
      <w:r w:rsidRPr="00317E7D">
        <w:rPr>
          <w:rFonts w:ascii="Calibri" w:cs="Calibri"/>
          <w:i/>
          <w:iCs/>
        </w:rPr>
        <w:t>Current Opinion in Structural Biology</w:t>
      </w:r>
      <w:r w:rsidRPr="00317E7D">
        <w:rPr>
          <w:rFonts w:ascii="Calibri" w:cs="Calibri"/>
        </w:rPr>
        <w:t xml:space="preserve"> </w:t>
      </w:r>
      <w:r w:rsidRPr="00317E7D">
        <w:rPr>
          <w:rFonts w:ascii="Calibri" w:cs="Calibri"/>
          <w:b/>
          <w:bCs/>
        </w:rPr>
        <w:t>60</w:t>
      </w:r>
      <w:r w:rsidRPr="00317E7D">
        <w:rPr>
          <w:rFonts w:ascii="Calibri" w:cs="Calibri"/>
        </w:rPr>
        <w:t>, 7–16 (2020).</w:t>
      </w:r>
    </w:p>
    <w:p w14:paraId="553302D4" w14:textId="77777777" w:rsidR="00317E7D" w:rsidRPr="00317E7D" w:rsidRDefault="00317E7D" w:rsidP="00317E7D">
      <w:pPr>
        <w:pStyle w:val="Bibliography"/>
        <w:rPr>
          <w:rFonts w:ascii="Calibri" w:cs="Calibri"/>
        </w:rPr>
      </w:pPr>
      <w:r w:rsidRPr="00317E7D">
        <w:rPr>
          <w:rFonts w:ascii="Calibri" w:cs="Calibri"/>
        </w:rPr>
        <w:t>207.</w:t>
      </w:r>
      <w:r w:rsidRPr="00317E7D">
        <w:rPr>
          <w:rFonts w:ascii="Calibri" w:cs="Calibri"/>
        </w:rPr>
        <w:tab/>
        <w:t xml:space="preserve">Jia, Z., Schmit, J. D. &amp; Chen, J. Amyloid assembly is dominated by misregistered kinetic traps on an unbiased energy landscape. </w:t>
      </w:r>
      <w:r w:rsidRPr="00317E7D">
        <w:rPr>
          <w:rFonts w:ascii="Calibri" w:cs="Calibri"/>
          <w:i/>
          <w:iCs/>
        </w:rPr>
        <w:t>Proceedings of the National Academy of Sciences</w:t>
      </w:r>
      <w:r w:rsidRPr="00317E7D">
        <w:rPr>
          <w:rFonts w:ascii="Calibri" w:cs="Calibri"/>
        </w:rPr>
        <w:t xml:space="preserve"> </w:t>
      </w:r>
      <w:r w:rsidRPr="00317E7D">
        <w:rPr>
          <w:rFonts w:ascii="Calibri" w:cs="Calibri"/>
          <w:b/>
          <w:bCs/>
        </w:rPr>
        <w:t>117</w:t>
      </w:r>
      <w:r w:rsidRPr="00317E7D">
        <w:rPr>
          <w:rFonts w:ascii="Calibri" w:cs="Calibri"/>
        </w:rPr>
        <w:t>, 10322–10328 (2020).</w:t>
      </w:r>
    </w:p>
    <w:p w14:paraId="21005CC1" w14:textId="77777777" w:rsidR="00317E7D" w:rsidRPr="00317E7D" w:rsidRDefault="00317E7D" w:rsidP="00317E7D">
      <w:pPr>
        <w:pStyle w:val="Bibliography"/>
        <w:rPr>
          <w:rFonts w:ascii="Calibri" w:cs="Calibri"/>
        </w:rPr>
      </w:pPr>
      <w:r w:rsidRPr="00317E7D">
        <w:rPr>
          <w:rFonts w:ascii="Calibri" w:cs="Calibri"/>
        </w:rPr>
        <w:lastRenderedPageBreak/>
        <w:t>208.</w:t>
      </w:r>
      <w:r w:rsidRPr="00317E7D">
        <w:rPr>
          <w:rFonts w:ascii="Calibri" w:cs="Calibri"/>
        </w:rPr>
        <w:tab/>
        <w:t xml:space="preserve">Kulenkampff, K., Wolf Perez, A.-M., Sormanni, P., Habchi, J. &amp; Vendruscolo, M. Quantifying misfolded protein oligomers as drug targets and biomarkers in Alzheimer and Parkinson diseases. </w:t>
      </w:r>
      <w:r w:rsidRPr="00317E7D">
        <w:rPr>
          <w:rFonts w:ascii="Calibri" w:cs="Calibri"/>
          <w:i/>
          <w:iCs/>
        </w:rPr>
        <w:t>Nat Rev Chem</w:t>
      </w:r>
      <w:r w:rsidRPr="00317E7D">
        <w:rPr>
          <w:rFonts w:ascii="Calibri" w:cs="Calibri"/>
        </w:rPr>
        <w:t xml:space="preserve"> </w:t>
      </w:r>
      <w:r w:rsidRPr="00317E7D">
        <w:rPr>
          <w:rFonts w:ascii="Calibri" w:cs="Calibri"/>
          <w:b/>
          <w:bCs/>
        </w:rPr>
        <w:t>5</w:t>
      </w:r>
      <w:r w:rsidRPr="00317E7D">
        <w:rPr>
          <w:rFonts w:ascii="Calibri" w:cs="Calibri"/>
        </w:rPr>
        <w:t>, 277–294 (2021).</w:t>
      </w:r>
    </w:p>
    <w:p w14:paraId="25F31482" w14:textId="77777777" w:rsidR="00317E7D" w:rsidRPr="00317E7D" w:rsidRDefault="00317E7D" w:rsidP="00317E7D">
      <w:pPr>
        <w:pStyle w:val="Bibliography"/>
        <w:rPr>
          <w:rFonts w:ascii="Calibri" w:cs="Calibri"/>
        </w:rPr>
      </w:pPr>
      <w:r w:rsidRPr="00317E7D">
        <w:rPr>
          <w:rFonts w:ascii="Calibri" w:cs="Calibri"/>
        </w:rPr>
        <w:t>209.</w:t>
      </w:r>
      <w:r w:rsidRPr="00317E7D">
        <w:rPr>
          <w:rFonts w:ascii="Calibri" w:cs="Calibri"/>
        </w:rPr>
        <w:tab/>
        <w:t xml:space="preserve">Fusco, G. </w:t>
      </w:r>
      <w:r w:rsidRPr="00317E7D">
        <w:rPr>
          <w:rFonts w:ascii="Calibri" w:cs="Calibri"/>
          <w:i/>
          <w:iCs/>
        </w:rPr>
        <w:t>et al.</w:t>
      </w:r>
      <w:r w:rsidRPr="00317E7D">
        <w:rPr>
          <w:rFonts w:ascii="Calibri" w:cs="Calibri"/>
        </w:rPr>
        <w:t xml:space="preserve"> Structural basis of membrane disruption and cellular toxicity by α-synuclein oligomers. </w:t>
      </w:r>
      <w:r w:rsidRPr="00317E7D">
        <w:rPr>
          <w:rFonts w:ascii="Calibri" w:cs="Calibri"/>
          <w:i/>
          <w:iCs/>
        </w:rPr>
        <w:t>Science</w:t>
      </w:r>
      <w:r w:rsidRPr="00317E7D">
        <w:rPr>
          <w:rFonts w:ascii="Calibri" w:cs="Calibri"/>
        </w:rPr>
        <w:t xml:space="preserve"> </w:t>
      </w:r>
      <w:r w:rsidRPr="00317E7D">
        <w:rPr>
          <w:rFonts w:ascii="Calibri" w:cs="Calibri"/>
          <w:b/>
          <w:bCs/>
        </w:rPr>
        <w:t>358</w:t>
      </w:r>
      <w:r w:rsidRPr="00317E7D">
        <w:rPr>
          <w:rFonts w:ascii="Calibri" w:cs="Calibri"/>
        </w:rPr>
        <w:t>, 1440–1443 (2017).</w:t>
      </w:r>
    </w:p>
    <w:p w14:paraId="79668222" w14:textId="77777777" w:rsidR="00317E7D" w:rsidRPr="00317E7D" w:rsidRDefault="00317E7D" w:rsidP="00317E7D">
      <w:pPr>
        <w:pStyle w:val="Bibliography"/>
        <w:rPr>
          <w:rFonts w:ascii="Calibri" w:cs="Calibri"/>
        </w:rPr>
      </w:pPr>
      <w:r w:rsidRPr="00317E7D">
        <w:rPr>
          <w:rFonts w:ascii="Calibri" w:cs="Calibri"/>
        </w:rPr>
        <w:t>210.</w:t>
      </w:r>
      <w:r w:rsidRPr="00317E7D">
        <w:rPr>
          <w:rFonts w:ascii="Calibri" w:cs="Calibri"/>
        </w:rPr>
        <w:tab/>
        <w:t xml:space="preserve">Yasumoto, T. </w:t>
      </w:r>
      <w:r w:rsidRPr="00317E7D">
        <w:rPr>
          <w:rFonts w:ascii="Calibri" w:cs="Calibri"/>
          <w:i/>
          <w:iCs/>
        </w:rPr>
        <w:t>et al.</w:t>
      </w:r>
      <w:r w:rsidRPr="00317E7D">
        <w:rPr>
          <w:rFonts w:ascii="Calibri" w:cs="Calibri"/>
        </w:rPr>
        <w:t xml:space="preserve"> High molecular weight amyloid β1-42 oligomers induce neurotoxicity via plasma membrane damage. </w:t>
      </w:r>
      <w:r w:rsidRPr="00317E7D">
        <w:rPr>
          <w:rFonts w:ascii="Calibri" w:cs="Calibri"/>
          <w:i/>
          <w:iCs/>
        </w:rPr>
        <w:t>Alzheimer’s &amp; Dementia</w:t>
      </w:r>
      <w:r w:rsidRPr="00317E7D">
        <w:rPr>
          <w:rFonts w:ascii="Calibri" w:cs="Calibri"/>
        </w:rPr>
        <w:t xml:space="preserve"> </w:t>
      </w:r>
      <w:r w:rsidRPr="00317E7D">
        <w:rPr>
          <w:rFonts w:ascii="Calibri" w:cs="Calibri"/>
          <w:b/>
          <w:bCs/>
        </w:rPr>
        <w:t>16</w:t>
      </w:r>
      <w:r w:rsidRPr="00317E7D">
        <w:rPr>
          <w:rFonts w:ascii="Calibri" w:cs="Calibri"/>
        </w:rPr>
        <w:t>, e037546 (2020).</w:t>
      </w:r>
    </w:p>
    <w:p w14:paraId="6C9B5A6B" w14:textId="77777777" w:rsidR="00317E7D" w:rsidRPr="00317E7D" w:rsidRDefault="00317E7D" w:rsidP="00317E7D">
      <w:pPr>
        <w:pStyle w:val="Bibliography"/>
        <w:rPr>
          <w:rFonts w:ascii="Calibri" w:cs="Calibri"/>
        </w:rPr>
      </w:pPr>
      <w:r w:rsidRPr="00317E7D">
        <w:rPr>
          <w:rFonts w:ascii="Calibri" w:cs="Calibri"/>
        </w:rPr>
        <w:t>211.</w:t>
      </w:r>
      <w:r w:rsidRPr="00317E7D">
        <w:rPr>
          <w:rFonts w:ascii="Calibri" w:cs="Calibri"/>
        </w:rPr>
        <w:tab/>
        <w:t xml:space="preserve">Milner, M. T., Maddugoda, M., Götz, J., Burgener, S. S. &amp; Schroder, K. The NLRP3 inflammasome triggers sterile neuroinflammation and Alzheimer’s disease. </w:t>
      </w:r>
      <w:r w:rsidRPr="00317E7D">
        <w:rPr>
          <w:rFonts w:ascii="Calibri" w:cs="Calibri"/>
          <w:i/>
          <w:iCs/>
        </w:rPr>
        <w:t>Current Opinion in Immunology</w:t>
      </w:r>
      <w:r w:rsidRPr="00317E7D">
        <w:rPr>
          <w:rFonts w:ascii="Calibri" w:cs="Calibri"/>
        </w:rPr>
        <w:t xml:space="preserve"> </w:t>
      </w:r>
      <w:r w:rsidRPr="00317E7D">
        <w:rPr>
          <w:rFonts w:ascii="Calibri" w:cs="Calibri"/>
          <w:b/>
          <w:bCs/>
        </w:rPr>
        <w:t>68</w:t>
      </w:r>
      <w:r w:rsidRPr="00317E7D">
        <w:rPr>
          <w:rFonts w:ascii="Calibri" w:cs="Calibri"/>
        </w:rPr>
        <w:t>, 116–124 (2021).</w:t>
      </w:r>
    </w:p>
    <w:p w14:paraId="1EE8B5AE" w14:textId="77777777" w:rsidR="00317E7D" w:rsidRPr="00317E7D" w:rsidRDefault="00317E7D" w:rsidP="00317E7D">
      <w:pPr>
        <w:pStyle w:val="Bibliography"/>
        <w:rPr>
          <w:rFonts w:ascii="Calibri" w:cs="Calibri"/>
        </w:rPr>
      </w:pPr>
      <w:r w:rsidRPr="00317E7D">
        <w:rPr>
          <w:rFonts w:ascii="Calibri" w:cs="Calibri"/>
        </w:rPr>
        <w:t>212.</w:t>
      </w:r>
      <w:r w:rsidRPr="00317E7D">
        <w:rPr>
          <w:rFonts w:ascii="Calibri" w:cs="Calibri"/>
        </w:rPr>
        <w:tab/>
        <w:t xml:space="preserve">McKenzie, B. A., Dixit, V. M. &amp; Power, C. Fiery Cell Death: Pyroptosis in the Central Nervous System. </w:t>
      </w:r>
      <w:r w:rsidRPr="00317E7D">
        <w:rPr>
          <w:rFonts w:ascii="Calibri" w:cs="Calibri"/>
          <w:i/>
          <w:iCs/>
        </w:rPr>
        <w:t>Trends in Neurosciences</w:t>
      </w:r>
      <w:r w:rsidRPr="00317E7D">
        <w:rPr>
          <w:rFonts w:ascii="Calibri" w:cs="Calibri"/>
        </w:rPr>
        <w:t xml:space="preserve"> </w:t>
      </w:r>
      <w:r w:rsidRPr="00317E7D">
        <w:rPr>
          <w:rFonts w:ascii="Calibri" w:cs="Calibri"/>
          <w:b/>
          <w:bCs/>
        </w:rPr>
        <w:t>43</w:t>
      </w:r>
      <w:r w:rsidRPr="00317E7D">
        <w:rPr>
          <w:rFonts w:ascii="Calibri" w:cs="Calibri"/>
        </w:rPr>
        <w:t>, 55–73 (2020).</w:t>
      </w:r>
    </w:p>
    <w:p w14:paraId="608EA2F5" w14:textId="77777777" w:rsidR="00317E7D" w:rsidRPr="00317E7D" w:rsidRDefault="00317E7D" w:rsidP="00317E7D">
      <w:pPr>
        <w:pStyle w:val="Bibliography"/>
        <w:rPr>
          <w:rFonts w:ascii="Calibri" w:cs="Calibri"/>
        </w:rPr>
      </w:pPr>
      <w:r w:rsidRPr="00317E7D">
        <w:rPr>
          <w:rFonts w:ascii="Calibri" w:cs="Calibri"/>
        </w:rPr>
        <w:t>213.</w:t>
      </w:r>
      <w:r w:rsidRPr="00317E7D">
        <w:rPr>
          <w:rFonts w:ascii="Calibri" w:cs="Calibri"/>
        </w:rPr>
        <w:tab/>
        <w:t xml:space="preserve">Walsh, D. M. &amp; Selkoe, D. J. Amyloid β-protein and beyond: the path forward in Alzheimer’s disease. </w:t>
      </w:r>
      <w:r w:rsidRPr="00317E7D">
        <w:rPr>
          <w:rFonts w:ascii="Calibri" w:cs="Calibri"/>
          <w:i/>
          <w:iCs/>
        </w:rPr>
        <w:t>Current Opinion in Neurobiology</w:t>
      </w:r>
      <w:r w:rsidRPr="00317E7D">
        <w:rPr>
          <w:rFonts w:ascii="Calibri" w:cs="Calibri"/>
        </w:rPr>
        <w:t xml:space="preserve"> </w:t>
      </w:r>
      <w:r w:rsidRPr="00317E7D">
        <w:rPr>
          <w:rFonts w:ascii="Calibri" w:cs="Calibri"/>
          <w:b/>
          <w:bCs/>
        </w:rPr>
        <w:t>61</w:t>
      </w:r>
      <w:r w:rsidRPr="00317E7D">
        <w:rPr>
          <w:rFonts w:ascii="Calibri" w:cs="Calibri"/>
        </w:rPr>
        <w:t>, 116–124 (2020).</w:t>
      </w:r>
    </w:p>
    <w:p w14:paraId="5B0E8D89" w14:textId="77777777" w:rsidR="00317E7D" w:rsidRPr="00317E7D" w:rsidRDefault="00317E7D" w:rsidP="00317E7D">
      <w:pPr>
        <w:pStyle w:val="Bibliography"/>
        <w:rPr>
          <w:rFonts w:ascii="Calibri" w:cs="Calibri"/>
        </w:rPr>
      </w:pPr>
      <w:r w:rsidRPr="00317E7D">
        <w:rPr>
          <w:rFonts w:ascii="Calibri" w:cs="Calibri"/>
        </w:rPr>
        <w:t>214.</w:t>
      </w:r>
      <w:r w:rsidRPr="00317E7D">
        <w:rPr>
          <w:rFonts w:ascii="Calibri" w:cs="Calibri"/>
        </w:rPr>
        <w:tab/>
        <w:t xml:space="preserve">Guo, A. Z., Fluitt, A. M. &amp; de Pablo, J. J. Early-stage human islet amyloid polypeptide aggregation: Mechanisms behind dimer formation. </w:t>
      </w:r>
      <w:r w:rsidRPr="00317E7D">
        <w:rPr>
          <w:rFonts w:ascii="Calibri" w:cs="Calibri"/>
          <w:i/>
          <w:iCs/>
        </w:rPr>
        <w:t>J. Chem. Phys.</w:t>
      </w:r>
      <w:r w:rsidRPr="00317E7D">
        <w:rPr>
          <w:rFonts w:ascii="Calibri" w:cs="Calibri"/>
        </w:rPr>
        <w:t xml:space="preserve"> </w:t>
      </w:r>
      <w:r w:rsidRPr="00317E7D">
        <w:rPr>
          <w:rFonts w:ascii="Calibri" w:cs="Calibri"/>
          <w:b/>
          <w:bCs/>
        </w:rPr>
        <w:t>149</w:t>
      </w:r>
      <w:r w:rsidRPr="00317E7D">
        <w:rPr>
          <w:rFonts w:ascii="Calibri" w:cs="Calibri"/>
        </w:rPr>
        <w:t>, 025101 (2018).</w:t>
      </w:r>
    </w:p>
    <w:p w14:paraId="58589643" w14:textId="77777777" w:rsidR="00317E7D" w:rsidRPr="00317E7D" w:rsidRDefault="00317E7D" w:rsidP="00317E7D">
      <w:pPr>
        <w:pStyle w:val="Bibliography"/>
        <w:rPr>
          <w:rFonts w:ascii="Calibri" w:cs="Calibri"/>
        </w:rPr>
      </w:pPr>
      <w:r w:rsidRPr="00317E7D">
        <w:rPr>
          <w:rFonts w:ascii="Calibri" w:cs="Calibri"/>
        </w:rPr>
        <w:t>215.</w:t>
      </w:r>
      <w:r w:rsidRPr="00317E7D">
        <w:rPr>
          <w:rFonts w:ascii="Calibri" w:cs="Calibri"/>
        </w:rPr>
        <w:tab/>
        <w:t xml:space="preserve">Serrano, A. L., Lomont, J. P., Tu, L.-H., Raleigh, D. P. &amp; Zanni, M. T. A Free Energy Barrier Caused by the Refolding of an Oligomeric Intermediate Controls the Lag Time of Amyloid Formation by hIAPP. </w:t>
      </w:r>
      <w:r w:rsidRPr="00317E7D">
        <w:rPr>
          <w:rFonts w:ascii="Calibri" w:cs="Calibri"/>
          <w:i/>
          <w:iCs/>
        </w:rPr>
        <w:t>J. Am. Chem. Soc.</w:t>
      </w:r>
      <w:r w:rsidRPr="00317E7D">
        <w:rPr>
          <w:rFonts w:ascii="Calibri" w:cs="Calibri"/>
        </w:rPr>
        <w:t xml:space="preserve"> </w:t>
      </w:r>
      <w:r w:rsidRPr="00317E7D">
        <w:rPr>
          <w:rFonts w:ascii="Calibri" w:cs="Calibri"/>
          <w:b/>
          <w:bCs/>
        </w:rPr>
        <w:t>139</w:t>
      </w:r>
      <w:r w:rsidRPr="00317E7D">
        <w:rPr>
          <w:rFonts w:ascii="Calibri" w:cs="Calibri"/>
        </w:rPr>
        <w:t>, 16748–16758 (2017).</w:t>
      </w:r>
    </w:p>
    <w:p w14:paraId="59896BD8" w14:textId="77777777" w:rsidR="00317E7D" w:rsidRPr="00317E7D" w:rsidRDefault="00317E7D" w:rsidP="00317E7D">
      <w:pPr>
        <w:pStyle w:val="Bibliography"/>
        <w:rPr>
          <w:rFonts w:ascii="Calibri" w:cs="Calibri"/>
        </w:rPr>
      </w:pPr>
      <w:r w:rsidRPr="00317E7D">
        <w:rPr>
          <w:rFonts w:ascii="Calibri" w:cs="Calibri"/>
        </w:rPr>
        <w:t>216.</w:t>
      </w:r>
      <w:r w:rsidRPr="00317E7D">
        <w:rPr>
          <w:rFonts w:ascii="Calibri" w:cs="Calibri"/>
        </w:rPr>
        <w:tab/>
        <w:t xml:space="preserve">Fan, J. </w:t>
      </w:r>
      <w:r w:rsidRPr="00317E7D">
        <w:rPr>
          <w:rFonts w:ascii="Calibri" w:cs="Calibri"/>
          <w:i/>
          <w:iCs/>
        </w:rPr>
        <w:t>et al.</w:t>
      </w:r>
      <w:r w:rsidRPr="00317E7D">
        <w:rPr>
          <w:rFonts w:ascii="Calibri" w:cs="Calibri"/>
        </w:rPr>
        <w:t xml:space="preserve"> Modeling amide-I vibrations of alanine dipeptide in solution by using neural network protocol. </w:t>
      </w:r>
      <w:r w:rsidRPr="00317E7D">
        <w:rPr>
          <w:rFonts w:ascii="Calibri" w:cs="Calibri"/>
          <w:i/>
          <w:iCs/>
        </w:rPr>
        <w:t>Spectrochimica Acta Part A: Molecular and Biomolecular Spectroscopy</w:t>
      </w:r>
      <w:r w:rsidRPr="00317E7D">
        <w:rPr>
          <w:rFonts w:ascii="Calibri" w:cs="Calibri"/>
        </w:rPr>
        <w:t xml:space="preserve"> </w:t>
      </w:r>
      <w:r w:rsidRPr="00317E7D">
        <w:rPr>
          <w:rFonts w:ascii="Calibri" w:cs="Calibri"/>
          <w:b/>
          <w:bCs/>
        </w:rPr>
        <w:t>268</w:t>
      </w:r>
      <w:r w:rsidRPr="00317E7D">
        <w:rPr>
          <w:rFonts w:ascii="Calibri" w:cs="Calibri"/>
        </w:rPr>
        <w:t>, 120675 (2022).</w:t>
      </w:r>
    </w:p>
    <w:p w14:paraId="07FB1FB4" w14:textId="77777777" w:rsidR="00317E7D" w:rsidRPr="00317E7D" w:rsidRDefault="00317E7D" w:rsidP="00317E7D">
      <w:pPr>
        <w:pStyle w:val="Bibliography"/>
        <w:rPr>
          <w:rFonts w:ascii="Calibri" w:cs="Calibri"/>
        </w:rPr>
      </w:pPr>
      <w:r w:rsidRPr="00317E7D">
        <w:rPr>
          <w:rFonts w:ascii="Calibri" w:cs="Calibri"/>
        </w:rPr>
        <w:lastRenderedPageBreak/>
        <w:t>217.</w:t>
      </w:r>
      <w:r w:rsidRPr="00317E7D">
        <w:rPr>
          <w:rFonts w:ascii="Calibri" w:cs="Calibri"/>
        </w:rPr>
        <w:tab/>
        <w:t xml:space="preserve">Kazman, P., Absmeier, R. M., Engelhardt, H. &amp; Buchner, J. Dissection of the amyloid formation pathway in AL amyloidosis. </w:t>
      </w:r>
      <w:r w:rsidRPr="00317E7D">
        <w:rPr>
          <w:rFonts w:ascii="Calibri" w:cs="Calibri"/>
          <w:i/>
          <w:iCs/>
        </w:rPr>
        <w:t>Nat Commun</w:t>
      </w:r>
      <w:r w:rsidRPr="00317E7D">
        <w:rPr>
          <w:rFonts w:ascii="Calibri" w:cs="Calibri"/>
        </w:rPr>
        <w:t xml:space="preserve"> </w:t>
      </w:r>
      <w:r w:rsidRPr="00317E7D">
        <w:rPr>
          <w:rFonts w:ascii="Calibri" w:cs="Calibri"/>
          <w:b/>
          <w:bCs/>
        </w:rPr>
        <w:t>12</w:t>
      </w:r>
      <w:r w:rsidRPr="00317E7D">
        <w:rPr>
          <w:rFonts w:ascii="Calibri" w:cs="Calibri"/>
        </w:rPr>
        <w:t>, 6516 (2021).</w:t>
      </w:r>
    </w:p>
    <w:p w14:paraId="47FBF4E3" w14:textId="77777777" w:rsidR="00317E7D" w:rsidRPr="00317E7D" w:rsidRDefault="00317E7D" w:rsidP="00317E7D">
      <w:pPr>
        <w:pStyle w:val="Bibliography"/>
        <w:rPr>
          <w:rFonts w:ascii="Calibri" w:cs="Calibri"/>
        </w:rPr>
      </w:pPr>
      <w:r w:rsidRPr="00317E7D">
        <w:rPr>
          <w:rFonts w:ascii="Calibri" w:cs="Calibri"/>
        </w:rPr>
        <w:t>218.</w:t>
      </w:r>
      <w:r w:rsidRPr="00317E7D">
        <w:rPr>
          <w:rFonts w:ascii="Calibri" w:cs="Calibri"/>
        </w:rPr>
        <w:tab/>
        <w:t xml:space="preserve">Gunay, G. </w:t>
      </w:r>
      <w:r w:rsidRPr="00317E7D">
        <w:rPr>
          <w:rFonts w:ascii="Calibri" w:cs="Calibri"/>
          <w:i/>
          <w:iCs/>
        </w:rPr>
        <w:t>et al.</w:t>
      </w:r>
      <w:r w:rsidRPr="00317E7D">
        <w:rPr>
          <w:rFonts w:ascii="Calibri" w:cs="Calibri"/>
        </w:rPr>
        <w:t xml:space="preserve"> Peptide Aggregation Induced Immunogenic Rupture (PAIIR). </w:t>
      </w:r>
      <w:r w:rsidRPr="00317E7D">
        <w:rPr>
          <w:rFonts w:ascii="Calibri" w:cs="Calibri"/>
          <w:i/>
          <w:iCs/>
        </w:rPr>
        <w:t>Advanced Science</w:t>
      </w:r>
      <w:r w:rsidRPr="00317E7D">
        <w:rPr>
          <w:rFonts w:ascii="Calibri" w:cs="Calibri"/>
        </w:rPr>
        <w:t xml:space="preserve"> </w:t>
      </w:r>
      <w:r w:rsidRPr="00317E7D">
        <w:rPr>
          <w:rFonts w:ascii="Calibri" w:cs="Calibri"/>
          <w:b/>
          <w:bCs/>
        </w:rPr>
        <w:t>n/a</w:t>
      </w:r>
      <w:r w:rsidRPr="00317E7D">
        <w:rPr>
          <w:rFonts w:ascii="Calibri" w:cs="Calibri"/>
        </w:rPr>
        <w:t>, 2105868 (2022).</w:t>
      </w:r>
    </w:p>
    <w:p w14:paraId="27EE80A8" w14:textId="77777777" w:rsidR="00317E7D" w:rsidRPr="00317E7D" w:rsidRDefault="00317E7D" w:rsidP="00317E7D">
      <w:pPr>
        <w:pStyle w:val="Bibliography"/>
        <w:rPr>
          <w:rFonts w:ascii="Calibri" w:cs="Calibri"/>
        </w:rPr>
      </w:pPr>
      <w:r w:rsidRPr="00317E7D">
        <w:rPr>
          <w:rFonts w:ascii="Calibri" w:cs="Calibri"/>
        </w:rPr>
        <w:t>219.</w:t>
      </w:r>
      <w:r w:rsidRPr="00317E7D">
        <w:rPr>
          <w:rFonts w:ascii="Calibri" w:cs="Calibri"/>
        </w:rPr>
        <w:tab/>
        <w:t xml:space="preserve">Leong, Y. Q., Ng, K. Y., Chye, S. M., Ling, A. P. K. &amp; Koh, R. Y. Mechanisms of action of amyloid-beta and its precursor protein in neuronal cell death. </w:t>
      </w:r>
      <w:r w:rsidRPr="00317E7D">
        <w:rPr>
          <w:rFonts w:ascii="Calibri" w:cs="Calibri"/>
          <w:i/>
          <w:iCs/>
        </w:rPr>
        <w:t>Metab Brain Dis</w:t>
      </w:r>
      <w:r w:rsidRPr="00317E7D">
        <w:rPr>
          <w:rFonts w:ascii="Calibri" w:cs="Calibri"/>
        </w:rPr>
        <w:t xml:space="preserve"> </w:t>
      </w:r>
      <w:r w:rsidRPr="00317E7D">
        <w:rPr>
          <w:rFonts w:ascii="Calibri" w:cs="Calibri"/>
          <w:b/>
          <w:bCs/>
        </w:rPr>
        <w:t>35</w:t>
      </w:r>
      <w:r w:rsidRPr="00317E7D">
        <w:rPr>
          <w:rFonts w:ascii="Calibri" w:cs="Calibri"/>
        </w:rPr>
        <w:t>, 11–30 (2020).</w:t>
      </w:r>
    </w:p>
    <w:p w14:paraId="03CA7EDB" w14:textId="77777777" w:rsidR="00317E7D" w:rsidRPr="00317E7D" w:rsidRDefault="00317E7D" w:rsidP="00317E7D">
      <w:pPr>
        <w:pStyle w:val="Bibliography"/>
        <w:rPr>
          <w:rFonts w:ascii="Calibri" w:cs="Calibri"/>
        </w:rPr>
      </w:pPr>
      <w:r w:rsidRPr="00317E7D">
        <w:rPr>
          <w:rFonts w:ascii="Calibri" w:cs="Calibri"/>
        </w:rPr>
        <w:t>220.</w:t>
      </w:r>
      <w:r w:rsidRPr="00317E7D">
        <w:rPr>
          <w:rFonts w:ascii="Calibri" w:cs="Calibri"/>
        </w:rPr>
        <w:tab/>
        <w:t xml:space="preserve">Finn, T. E., Nunez, A. C., Sunde, M. &amp; Easterbrook-Smith, S. B. Serum Albumin Prevents Protein Aggregation and Amyloid Formation and Retains Chaperone-like Activity in the Presence of Physiological Ligands. </w:t>
      </w:r>
      <w:r w:rsidRPr="00317E7D">
        <w:rPr>
          <w:rFonts w:ascii="Calibri" w:cs="Calibri"/>
          <w:i/>
          <w:iCs/>
        </w:rPr>
        <w:t>Journal of Biological Chemistry</w:t>
      </w:r>
      <w:r w:rsidRPr="00317E7D">
        <w:rPr>
          <w:rFonts w:ascii="Calibri" w:cs="Calibri"/>
        </w:rPr>
        <w:t xml:space="preserve"> </w:t>
      </w:r>
      <w:r w:rsidRPr="00317E7D">
        <w:rPr>
          <w:rFonts w:ascii="Calibri" w:cs="Calibri"/>
          <w:b/>
          <w:bCs/>
        </w:rPr>
        <w:t>287</w:t>
      </w:r>
      <w:r w:rsidRPr="00317E7D">
        <w:rPr>
          <w:rFonts w:ascii="Calibri" w:cs="Calibri"/>
        </w:rPr>
        <w:t>, 21530–21540 (2012).</w:t>
      </w:r>
    </w:p>
    <w:p w14:paraId="0A715886" w14:textId="77777777" w:rsidR="00317E7D" w:rsidRPr="00317E7D" w:rsidRDefault="00317E7D" w:rsidP="00317E7D">
      <w:pPr>
        <w:pStyle w:val="Bibliography"/>
        <w:rPr>
          <w:rFonts w:ascii="Calibri" w:cs="Calibri"/>
        </w:rPr>
      </w:pPr>
      <w:r w:rsidRPr="00317E7D">
        <w:rPr>
          <w:rFonts w:ascii="Calibri" w:cs="Calibri"/>
        </w:rPr>
        <w:t>221.</w:t>
      </w:r>
      <w:r w:rsidRPr="00317E7D">
        <w:rPr>
          <w:rFonts w:ascii="Calibri" w:cs="Calibri"/>
        </w:rPr>
        <w:tab/>
        <w:t xml:space="preserve">Zhao, M. &amp; Guo, C. Multipronged Regulatory Functions of Serum Albumin in Early Stages of Amyloid-β Aggregation. </w:t>
      </w:r>
      <w:r w:rsidRPr="00317E7D">
        <w:rPr>
          <w:rFonts w:ascii="Calibri" w:cs="Calibri"/>
          <w:i/>
          <w:iCs/>
        </w:rPr>
        <w:t>ACS Chem. Neurosci.</w:t>
      </w:r>
      <w:r w:rsidRPr="00317E7D">
        <w:rPr>
          <w:rFonts w:ascii="Calibri" w:cs="Calibri"/>
        </w:rPr>
        <w:t xml:space="preserve"> </w:t>
      </w:r>
      <w:r w:rsidRPr="00317E7D">
        <w:rPr>
          <w:rFonts w:ascii="Calibri" w:cs="Calibri"/>
          <w:b/>
          <w:bCs/>
        </w:rPr>
        <w:t>12</w:t>
      </w:r>
      <w:r w:rsidRPr="00317E7D">
        <w:rPr>
          <w:rFonts w:ascii="Calibri" w:cs="Calibri"/>
        </w:rPr>
        <w:t>, 2409–2420 (2021).</w:t>
      </w:r>
    </w:p>
    <w:p w14:paraId="395DD2AA" w14:textId="77777777" w:rsidR="00317E7D" w:rsidRPr="00317E7D" w:rsidRDefault="00317E7D" w:rsidP="00317E7D">
      <w:pPr>
        <w:pStyle w:val="Bibliography"/>
        <w:rPr>
          <w:rFonts w:ascii="Calibri" w:cs="Calibri"/>
        </w:rPr>
      </w:pPr>
      <w:r w:rsidRPr="00317E7D">
        <w:rPr>
          <w:rFonts w:ascii="Calibri" w:cs="Calibri"/>
        </w:rPr>
        <w:t>222.</w:t>
      </w:r>
      <w:r w:rsidRPr="00317E7D">
        <w:rPr>
          <w:rFonts w:ascii="Calibri" w:cs="Calibri"/>
        </w:rPr>
        <w:tab/>
        <w:t xml:space="preserve">Picón-Pagès, P. </w:t>
      </w:r>
      <w:r w:rsidRPr="00317E7D">
        <w:rPr>
          <w:rFonts w:ascii="Calibri" w:cs="Calibri"/>
          <w:i/>
          <w:iCs/>
        </w:rPr>
        <w:t>et al.</w:t>
      </w:r>
      <w:r w:rsidRPr="00317E7D">
        <w:rPr>
          <w:rFonts w:ascii="Calibri" w:cs="Calibri"/>
        </w:rPr>
        <w:t xml:space="preserve"> Human Albumin Impairs Amyloid β-peptide Fibrillation Through its C-terminus: From docking Modeling to Protection Against Neurotoxicity in Alzheimer’s disease. </w:t>
      </w:r>
      <w:r w:rsidRPr="00317E7D">
        <w:rPr>
          <w:rFonts w:ascii="Calibri" w:cs="Calibri"/>
          <w:i/>
          <w:iCs/>
        </w:rPr>
        <w:t>Computational and Structural Biotechnology Journal</w:t>
      </w:r>
      <w:r w:rsidRPr="00317E7D">
        <w:rPr>
          <w:rFonts w:ascii="Calibri" w:cs="Calibri"/>
        </w:rPr>
        <w:t xml:space="preserve"> </w:t>
      </w:r>
      <w:r w:rsidRPr="00317E7D">
        <w:rPr>
          <w:rFonts w:ascii="Calibri" w:cs="Calibri"/>
          <w:b/>
          <w:bCs/>
        </w:rPr>
        <w:t>17</w:t>
      </w:r>
      <w:r w:rsidRPr="00317E7D">
        <w:rPr>
          <w:rFonts w:ascii="Calibri" w:cs="Calibri"/>
        </w:rPr>
        <w:t>, 963–971 (2019).</w:t>
      </w:r>
    </w:p>
    <w:p w14:paraId="5F679042" w14:textId="77777777" w:rsidR="00317E7D" w:rsidRPr="00317E7D" w:rsidRDefault="00317E7D" w:rsidP="00317E7D">
      <w:pPr>
        <w:pStyle w:val="Bibliography"/>
        <w:rPr>
          <w:rFonts w:ascii="Calibri" w:cs="Calibri"/>
        </w:rPr>
      </w:pPr>
      <w:r w:rsidRPr="00317E7D">
        <w:rPr>
          <w:rFonts w:ascii="Calibri" w:cs="Calibri"/>
        </w:rPr>
        <w:t>223.</w:t>
      </w:r>
      <w:r w:rsidRPr="00317E7D">
        <w:rPr>
          <w:rFonts w:ascii="Calibri" w:cs="Calibri"/>
        </w:rPr>
        <w:tab/>
        <w:t xml:space="preserve">Kakinen, A., Javed, I., Faridi, A., Davis, T. P. &amp; Ke, P. C. Serum albumin impedes the amyloid aggregation and hemolysis of human islet amyloid polypeptide and alpha synuclein. </w:t>
      </w:r>
      <w:r w:rsidRPr="00317E7D">
        <w:rPr>
          <w:rFonts w:ascii="Calibri" w:cs="Calibri"/>
          <w:i/>
          <w:iCs/>
        </w:rPr>
        <w:t>Biochimica et Biophysica Acta (BBA) - Biomembranes</w:t>
      </w:r>
      <w:r w:rsidRPr="00317E7D">
        <w:rPr>
          <w:rFonts w:ascii="Calibri" w:cs="Calibri"/>
        </w:rPr>
        <w:t xml:space="preserve"> </w:t>
      </w:r>
      <w:r w:rsidRPr="00317E7D">
        <w:rPr>
          <w:rFonts w:ascii="Calibri" w:cs="Calibri"/>
          <w:b/>
          <w:bCs/>
        </w:rPr>
        <w:t>1860</w:t>
      </w:r>
      <w:r w:rsidRPr="00317E7D">
        <w:rPr>
          <w:rFonts w:ascii="Calibri" w:cs="Calibri"/>
        </w:rPr>
        <w:t>, 1803–1809 (2018).</w:t>
      </w:r>
    </w:p>
    <w:p w14:paraId="23161F47" w14:textId="77777777" w:rsidR="00317E7D" w:rsidRPr="00317E7D" w:rsidRDefault="00317E7D" w:rsidP="00317E7D">
      <w:pPr>
        <w:pStyle w:val="Bibliography"/>
        <w:rPr>
          <w:rFonts w:ascii="Calibri" w:cs="Calibri"/>
        </w:rPr>
      </w:pPr>
      <w:r w:rsidRPr="00317E7D">
        <w:rPr>
          <w:rFonts w:ascii="Calibri" w:cs="Calibri"/>
        </w:rPr>
        <w:t>224.</w:t>
      </w:r>
      <w:r w:rsidRPr="00317E7D">
        <w:rPr>
          <w:rFonts w:ascii="Calibri" w:cs="Calibri"/>
        </w:rPr>
        <w:tab/>
        <w:t xml:space="preserve">Bond, S., Lopez-Lloreda, C., Gannon, P. J., Akay-Espinoza, C. &amp; Jordan-Sciutto, K. L. The Integrated Stress Response and Phosphorylated Eukaryotic Initiation Factor 2α in </w:t>
      </w:r>
      <w:r w:rsidRPr="00317E7D">
        <w:rPr>
          <w:rFonts w:ascii="Calibri" w:cs="Calibri"/>
        </w:rPr>
        <w:lastRenderedPageBreak/>
        <w:t xml:space="preserve">Neurodegeneration. </w:t>
      </w:r>
      <w:r w:rsidRPr="00317E7D">
        <w:rPr>
          <w:rFonts w:ascii="Calibri" w:cs="Calibri"/>
          <w:i/>
          <w:iCs/>
        </w:rPr>
        <w:t>Journal of Neuropathology &amp; Experimental Neurology</w:t>
      </w:r>
      <w:r w:rsidRPr="00317E7D">
        <w:rPr>
          <w:rFonts w:ascii="Calibri" w:cs="Calibri"/>
        </w:rPr>
        <w:t xml:space="preserve"> </w:t>
      </w:r>
      <w:r w:rsidRPr="00317E7D">
        <w:rPr>
          <w:rFonts w:ascii="Calibri" w:cs="Calibri"/>
          <w:b/>
          <w:bCs/>
        </w:rPr>
        <w:t>79</w:t>
      </w:r>
      <w:r w:rsidRPr="00317E7D">
        <w:rPr>
          <w:rFonts w:ascii="Calibri" w:cs="Calibri"/>
        </w:rPr>
        <w:t>, 123–143 (2020).</w:t>
      </w:r>
    </w:p>
    <w:p w14:paraId="22BA9E78" w14:textId="77777777" w:rsidR="00317E7D" w:rsidRPr="00317E7D" w:rsidRDefault="00317E7D" w:rsidP="00317E7D">
      <w:pPr>
        <w:pStyle w:val="Bibliography"/>
        <w:rPr>
          <w:rFonts w:ascii="Calibri" w:cs="Calibri"/>
        </w:rPr>
      </w:pPr>
      <w:r w:rsidRPr="00317E7D">
        <w:rPr>
          <w:rFonts w:ascii="Calibri" w:cs="Calibri"/>
        </w:rPr>
        <w:t>225.</w:t>
      </w:r>
      <w:r w:rsidRPr="00317E7D">
        <w:rPr>
          <w:rFonts w:ascii="Calibri" w:cs="Calibri"/>
        </w:rPr>
        <w:tab/>
        <w:t>Ohno, M. Roles of eIF2Î± kinases in the pathogenesis of Alzheimerâ€</w:t>
      </w:r>
      <w:r w:rsidRPr="00317E7D">
        <w:rPr>
          <w:rFonts w:ascii="Calibri" w:cs="Calibri"/>
          <w:vertAlign w:val="superscript"/>
        </w:rPr>
        <w:t>TM</w:t>
      </w:r>
      <w:r w:rsidRPr="00317E7D">
        <w:rPr>
          <w:rFonts w:ascii="Calibri" w:cs="Calibri"/>
        </w:rPr>
        <w:t xml:space="preserve">s disease. </w:t>
      </w:r>
      <w:r w:rsidRPr="00317E7D">
        <w:rPr>
          <w:rFonts w:ascii="Calibri" w:cs="Calibri"/>
          <w:i/>
          <w:iCs/>
        </w:rPr>
        <w:t>Front. Mol. Neurosci.</w:t>
      </w:r>
      <w:r w:rsidRPr="00317E7D">
        <w:rPr>
          <w:rFonts w:ascii="Calibri" w:cs="Calibri"/>
        </w:rPr>
        <w:t xml:space="preserve"> </w:t>
      </w:r>
      <w:r w:rsidRPr="00317E7D">
        <w:rPr>
          <w:rFonts w:ascii="Calibri" w:cs="Calibri"/>
          <w:b/>
          <w:bCs/>
        </w:rPr>
        <w:t>7</w:t>
      </w:r>
      <w:r w:rsidRPr="00317E7D">
        <w:rPr>
          <w:rFonts w:ascii="Calibri" w:cs="Calibri"/>
        </w:rPr>
        <w:t>, (2014).</w:t>
      </w:r>
    </w:p>
    <w:p w14:paraId="6C5E137E" w14:textId="77777777" w:rsidR="00317E7D" w:rsidRPr="00317E7D" w:rsidRDefault="00317E7D" w:rsidP="00317E7D">
      <w:pPr>
        <w:pStyle w:val="Bibliography"/>
        <w:rPr>
          <w:rFonts w:ascii="Calibri" w:cs="Calibri"/>
        </w:rPr>
      </w:pPr>
      <w:r w:rsidRPr="00317E7D">
        <w:rPr>
          <w:rFonts w:ascii="Calibri" w:cs="Calibri"/>
        </w:rPr>
        <w:t>226.</w:t>
      </w:r>
      <w:r w:rsidRPr="00317E7D">
        <w:rPr>
          <w:rFonts w:ascii="Calibri" w:cs="Calibri"/>
        </w:rPr>
        <w:tab/>
        <w:t xml:space="preserve">Yerlikaya, A., Kimball, S. R. &amp; Stanley, B. A. Phosphorylation of eIF2α in response to 26S proteasome inhibition is mediated by the haem-regulated inhibitor (HRI) kinase. </w:t>
      </w:r>
      <w:r w:rsidRPr="00317E7D">
        <w:rPr>
          <w:rFonts w:ascii="Calibri" w:cs="Calibri"/>
          <w:i/>
          <w:iCs/>
        </w:rPr>
        <w:t>Biochemical Journal</w:t>
      </w:r>
      <w:r w:rsidRPr="00317E7D">
        <w:rPr>
          <w:rFonts w:ascii="Calibri" w:cs="Calibri"/>
        </w:rPr>
        <w:t xml:space="preserve"> </w:t>
      </w:r>
      <w:r w:rsidRPr="00317E7D">
        <w:rPr>
          <w:rFonts w:ascii="Calibri" w:cs="Calibri"/>
          <w:b/>
          <w:bCs/>
        </w:rPr>
        <w:t>412</w:t>
      </w:r>
      <w:r w:rsidRPr="00317E7D">
        <w:rPr>
          <w:rFonts w:ascii="Calibri" w:cs="Calibri"/>
        </w:rPr>
        <w:t>, 579–588 (2008).</w:t>
      </w:r>
    </w:p>
    <w:p w14:paraId="701EC7ED" w14:textId="77777777" w:rsidR="00317E7D" w:rsidRPr="00317E7D" w:rsidRDefault="00317E7D" w:rsidP="00317E7D">
      <w:pPr>
        <w:pStyle w:val="Bibliography"/>
        <w:rPr>
          <w:rFonts w:ascii="Calibri" w:cs="Calibri"/>
        </w:rPr>
      </w:pPr>
      <w:r w:rsidRPr="00317E7D">
        <w:rPr>
          <w:rFonts w:ascii="Calibri" w:cs="Calibri"/>
        </w:rPr>
        <w:t>227.</w:t>
      </w:r>
      <w:r w:rsidRPr="00317E7D">
        <w:rPr>
          <w:rFonts w:ascii="Calibri" w:cs="Calibri"/>
        </w:rPr>
        <w:tab/>
        <w:t xml:space="preserve">Cui, X., Hartanto, Y. &amp; Zhang, H. Advances in multicellular spheroids formation. </w:t>
      </w:r>
      <w:r w:rsidRPr="00317E7D">
        <w:rPr>
          <w:rFonts w:ascii="Calibri" w:cs="Calibri"/>
          <w:i/>
          <w:iCs/>
        </w:rPr>
        <w:t>J R Soc Interface</w:t>
      </w:r>
      <w:r w:rsidRPr="00317E7D">
        <w:rPr>
          <w:rFonts w:ascii="Calibri" w:cs="Calibri"/>
        </w:rPr>
        <w:t xml:space="preserve"> </w:t>
      </w:r>
      <w:r w:rsidRPr="00317E7D">
        <w:rPr>
          <w:rFonts w:ascii="Calibri" w:cs="Calibri"/>
          <w:b/>
          <w:bCs/>
        </w:rPr>
        <w:t>14</w:t>
      </w:r>
      <w:r w:rsidRPr="00317E7D">
        <w:rPr>
          <w:rFonts w:ascii="Calibri" w:cs="Calibri"/>
        </w:rPr>
        <w:t>, (2017).</w:t>
      </w:r>
    </w:p>
    <w:p w14:paraId="67E8B260" w14:textId="77777777" w:rsidR="00317E7D" w:rsidRPr="00317E7D" w:rsidRDefault="00317E7D" w:rsidP="00317E7D">
      <w:pPr>
        <w:pStyle w:val="Bibliography"/>
        <w:rPr>
          <w:rFonts w:ascii="Calibri" w:cs="Calibri"/>
        </w:rPr>
      </w:pPr>
      <w:r w:rsidRPr="00317E7D">
        <w:rPr>
          <w:rFonts w:ascii="Calibri" w:cs="Calibri"/>
        </w:rPr>
        <w:t>228.</w:t>
      </w:r>
      <w:r w:rsidRPr="00317E7D">
        <w:rPr>
          <w:rFonts w:ascii="Calibri" w:cs="Calibri"/>
        </w:rPr>
        <w:tab/>
        <w:t xml:space="preserve">Heyer, J., Kwong, L. N., Lowe, S. W. &amp; Chin, L. Non-germline genetically engineered mouse models for translational cancer research. </w:t>
      </w:r>
      <w:r w:rsidRPr="00317E7D">
        <w:rPr>
          <w:rFonts w:ascii="Calibri" w:cs="Calibri"/>
          <w:i/>
          <w:iCs/>
        </w:rPr>
        <w:t>Nature Reviews Cancer</w:t>
      </w:r>
      <w:r w:rsidRPr="00317E7D">
        <w:rPr>
          <w:rFonts w:ascii="Calibri" w:cs="Calibri"/>
        </w:rPr>
        <w:t xml:space="preserve"> </w:t>
      </w:r>
      <w:r w:rsidRPr="00317E7D">
        <w:rPr>
          <w:rFonts w:ascii="Calibri" w:cs="Calibri"/>
          <w:b/>
          <w:bCs/>
        </w:rPr>
        <w:t>10</w:t>
      </w:r>
      <w:r w:rsidRPr="00317E7D">
        <w:rPr>
          <w:rFonts w:ascii="Calibri" w:cs="Calibri"/>
        </w:rPr>
        <w:t>, 470–480 (2010).</w:t>
      </w:r>
    </w:p>
    <w:p w14:paraId="651000A3" w14:textId="77777777" w:rsidR="00317E7D" w:rsidRPr="00317E7D" w:rsidRDefault="00317E7D" w:rsidP="00317E7D">
      <w:pPr>
        <w:pStyle w:val="Bibliography"/>
        <w:rPr>
          <w:rFonts w:ascii="Calibri" w:cs="Calibri"/>
        </w:rPr>
      </w:pPr>
      <w:r w:rsidRPr="00317E7D">
        <w:rPr>
          <w:rFonts w:ascii="Calibri" w:cs="Calibri"/>
        </w:rPr>
        <w:t>229.</w:t>
      </w:r>
      <w:r w:rsidRPr="00317E7D">
        <w:rPr>
          <w:rFonts w:ascii="Calibri" w:cs="Calibri"/>
        </w:rPr>
        <w:tab/>
        <w:t xml:space="preserve">Curzer, H. J., Perry, G., Wallace, M. C. &amp; Perry, D. The Three Rs of Animal Research: What they Mean for the Institutional Animal Care and Use Committee and Why. </w:t>
      </w:r>
      <w:r w:rsidRPr="00317E7D">
        <w:rPr>
          <w:rFonts w:ascii="Calibri" w:cs="Calibri"/>
          <w:i/>
          <w:iCs/>
        </w:rPr>
        <w:t>Sci Eng Ethics</w:t>
      </w:r>
      <w:r w:rsidRPr="00317E7D">
        <w:rPr>
          <w:rFonts w:ascii="Calibri" w:cs="Calibri"/>
        </w:rPr>
        <w:t xml:space="preserve"> </w:t>
      </w:r>
      <w:r w:rsidRPr="00317E7D">
        <w:rPr>
          <w:rFonts w:ascii="Calibri" w:cs="Calibri"/>
          <w:b/>
          <w:bCs/>
        </w:rPr>
        <w:t>22</w:t>
      </w:r>
      <w:r w:rsidRPr="00317E7D">
        <w:rPr>
          <w:rFonts w:ascii="Calibri" w:cs="Calibri"/>
        </w:rPr>
        <w:t>, 549–565 (2016).</w:t>
      </w:r>
    </w:p>
    <w:p w14:paraId="31F55F68" w14:textId="77777777" w:rsidR="00317E7D" w:rsidRPr="00317E7D" w:rsidRDefault="00317E7D" w:rsidP="00317E7D">
      <w:pPr>
        <w:pStyle w:val="Bibliography"/>
        <w:rPr>
          <w:rFonts w:ascii="Calibri" w:cs="Calibri"/>
        </w:rPr>
      </w:pPr>
      <w:r w:rsidRPr="00317E7D">
        <w:rPr>
          <w:rFonts w:ascii="Calibri" w:cs="Calibri"/>
        </w:rPr>
        <w:t>230.</w:t>
      </w:r>
      <w:r w:rsidRPr="00317E7D">
        <w:rPr>
          <w:rFonts w:ascii="Calibri" w:cs="Calibri"/>
        </w:rPr>
        <w:tab/>
        <w:t>Innovation or Stagnation: Challenge and Opportunity on the Critical Path to New Medical Products. Preprint at https://www.who.int/intellectualproperty/documents/en/FDAproposals.pdf (2004).</w:t>
      </w:r>
    </w:p>
    <w:p w14:paraId="2D59EBBA" w14:textId="77777777" w:rsidR="00317E7D" w:rsidRPr="00317E7D" w:rsidRDefault="00317E7D" w:rsidP="00317E7D">
      <w:pPr>
        <w:pStyle w:val="Bibliography"/>
        <w:rPr>
          <w:rFonts w:ascii="Calibri" w:cs="Calibri"/>
        </w:rPr>
      </w:pPr>
      <w:r w:rsidRPr="00317E7D">
        <w:rPr>
          <w:rFonts w:ascii="Calibri" w:cs="Calibri"/>
        </w:rPr>
        <w:t>231.</w:t>
      </w:r>
      <w:r w:rsidRPr="00317E7D">
        <w:rPr>
          <w:rFonts w:ascii="Calibri" w:cs="Calibri"/>
        </w:rPr>
        <w:tab/>
        <w:t xml:space="preserve">Mak, I. W., Evaniew, N. &amp; Ghert, M. Lost in translation: animal models and clinical trials in cancer treatment. </w:t>
      </w:r>
      <w:r w:rsidRPr="00317E7D">
        <w:rPr>
          <w:rFonts w:ascii="Calibri" w:cs="Calibri"/>
          <w:i/>
          <w:iCs/>
        </w:rPr>
        <w:t>Am J Transl Res</w:t>
      </w:r>
      <w:r w:rsidRPr="00317E7D">
        <w:rPr>
          <w:rFonts w:ascii="Calibri" w:cs="Calibri"/>
        </w:rPr>
        <w:t xml:space="preserve"> </w:t>
      </w:r>
      <w:r w:rsidRPr="00317E7D">
        <w:rPr>
          <w:rFonts w:ascii="Calibri" w:cs="Calibri"/>
          <w:b/>
          <w:bCs/>
        </w:rPr>
        <w:t>6</w:t>
      </w:r>
      <w:r w:rsidRPr="00317E7D">
        <w:rPr>
          <w:rFonts w:ascii="Calibri" w:cs="Calibri"/>
        </w:rPr>
        <w:t>, 114–118 (2014).</w:t>
      </w:r>
    </w:p>
    <w:p w14:paraId="6DB51B54" w14:textId="77777777" w:rsidR="00317E7D" w:rsidRPr="00317E7D" w:rsidRDefault="00317E7D" w:rsidP="00317E7D">
      <w:pPr>
        <w:pStyle w:val="Bibliography"/>
        <w:rPr>
          <w:rFonts w:ascii="Calibri" w:cs="Calibri"/>
        </w:rPr>
      </w:pPr>
      <w:r w:rsidRPr="00317E7D">
        <w:rPr>
          <w:rFonts w:ascii="Calibri" w:cs="Calibri"/>
        </w:rPr>
        <w:t>232.</w:t>
      </w:r>
      <w:r w:rsidRPr="00317E7D">
        <w:rPr>
          <w:rFonts w:ascii="Calibri" w:cs="Calibri"/>
        </w:rPr>
        <w:tab/>
        <w:t xml:space="preserve">Bledsoe, M. J. &amp; Grizzle, W. E. Use of human specimens in research: the evolving United States regulatory, policy, and scientific landscape. </w:t>
      </w:r>
      <w:r w:rsidRPr="00317E7D">
        <w:rPr>
          <w:rFonts w:ascii="Calibri" w:cs="Calibri"/>
          <w:i/>
          <w:iCs/>
        </w:rPr>
        <w:t>Diagn Histopathol (Oxf)</w:t>
      </w:r>
      <w:r w:rsidRPr="00317E7D">
        <w:rPr>
          <w:rFonts w:ascii="Calibri" w:cs="Calibri"/>
        </w:rPr>
        <w:t xml:space="preserve"> </w:t>
      </w:r>
      <w:r w:rsidRPr="00317E7D">
        <w:rPr>
          <w:rFonts w:ascii="Calibri" w:cs="Calibri"/>
          <w:b/>
          <w:bCs/>
        </w:rPr>
        <w:t>19</w:t>
      </w:r>
      <w:r w:rsidRPr="00317E7D">
        <w:rPr>
          <w:rFonts w:ascii="Calibri" w:cs="Calibri"/>
        </w:rPr>
        <w:t>, 322–330 (2013).</w:t>
      </w:r>
    </w:p>
    <w:p w14:paraId="57E660C6" w14:textId="77777777" w:rsidR="00317E7D" w:rsidRPr="00317E7D" w:rsidRDefault="00317E7D" w:rsidP="00317E7D">
      <w:pPr>
        <w:pStyle w:val="Bibliography"/>
        <w:rPr>
          <w:rFonts w:ascii="Calibri" w:cs="Calibri"/>
        </w:rPr>
      </w:pPr>
      <w:r w:rsidRPr="00317E7D">
        <w:rPr>
          <w:rFonts w:ascii="Calibri" w:cs="Calibri"/>
        </w:rPr>
        <w:lastRenderedPageBreak/>
        <w:t>233.</w:t>
      </w:r>
      <w:r w:rsidRPr="00317E7D">
        <w:rPr>
          <w:rFonts w:ascii="Calibri" w:cs="Calibri"/>
        </w:rPr>
        <w:tab/>
        <w:t xml:space="preserve">Mueller-Klieser, W. Multicellular spheroids. </w:t>
      </w:r>
      <w:r w:rsidRPr="00317E7D">
        <w:rPr>
          <w:rFonts w:ascii="Calibri" w:cs="Calibri"/>
          <w:i/>
          <w:iCs/>
        </w:rPr>
        <w:t>J Cancer Res Clin Oncol</w:t>
      </w:r>
      <w:r w:rsidRPr="00317E7D">
        <w:rPr>
          <w:rFonts w:ascii="Calibri" w:cs="Calibri"/>
        </w:rPr>
        <w:t xml:space="preserve"> </w:t>
      </w:r>
      <w:r w:rsidRPr="00317E7D">
        <w:rPr>
          <w:rFonts w:ascii="Calibri" w:cs="Calibri"/>
          <w:b/>
          <w:bCs/>
        </w:rPr>
        <w:t>113</w:t>
      </w:r>
      <w:r w:rsidRPr="00317E7D">
        <w:rPr>
          <w:rFonts w:ascii="Calibri" w:cs="Calibri"/>
        </w:rPr>
        <w:t>, 101–122 (1987).</w:t>
      </w:r>
    </w:p>
    <w:p w14:paraId="3C1B5E20" w14:textId="77777777" w:rsidR="00317E7D" w:rsidRPr="00317E7D" w:rsidRDefault="00317E7D" w:rsidP="00317E7D">
      <w:pPr>
        <w:pStyle w:val="Bibliography"/>
        <w:rPr>
          <w:rFonts w:ascii="Calibri" w:cs="Calibri"/>
        </w:rPr>
      </w:pPr>
      <w:r w:rsidRPr="00317E7D">
        <w:rPr>
          <w:rFonts w:ascii="Calibri" w:cs="Calibri"/>
        </w:rPr>
        <w:t>234.</w:t>
      </w:r>
      <w:r w:rsidRPr="00317E7D">
        <w:rPr>
          <w:rFonts w:ascii="Calibri" w:cs="Calibri"/>
        </w:rPr>
        <w:tab/>
        <w:t xml:space="preserve">Doyle, A. D. &amp; Yamada, K. M. Mechanosensing via cell-matrix adhesions in 3D microenvironments. </w:t>
      </w:r>
      <w:r w:rsidRPr="00317E7D">
        <w:rPr>
          <w:rFonts w:ascii="Calibri" w:cs="Calibri"/>
          <w:i/>
          <w:iCs/>
        </w:rPr>
        <w:t>Experimental Cell Research</w:t>
      </w:r>
      <w:r w:rsidRPr="00317E7D">
        <w:rPr>
          <w:rFonts w:ascii="Calibri" w:cs="Calibri"/>
        </w:rPr>
        <w:t xml:space="preserve"> </w:t>
      </w:r>
      <w:r w:rsidRPr="00317E7D">
        <w:rPr>
          <w:rFonts w:ascii="Calibri" w:cs="Calibri"/>
          <w:b/>
          <w:bCs/>
        </w:rPr>
        <w:t>343</w:t>
      </w:r>
      <w:r w:rsidRPr="00317E7D">
        <w:rPr>
          <w:rFonts w:ascii="Calibri" w:cs="Calibri"/>
        </w:rPr>
        <w:t>, 60–66 (2016).</w:t>
      </w:r>
    </w:p>
    <w:p w14:paraId="00F6D56F" w14:textId="77777777" w:rsidR="00317E7D" w:rsidRPr="00317E7D" w:rsidRDefault="00317E7D" w:rsidP="00317E7D">
      <w:pPr>
        <w:pStyle w:val="Bibliography"/>
        <w:rPr>
          <w:rFonts w:ascii="Calibri" w:cs="Calibri"/>
        </w:rPr>
      </w:pPr>
      <w:r w:rsidRPr="00317E7D">
        <w:rPr>
          <w:rFonts w:ascii="Calibri" w:cs="Calibri"/>
        </w:rPr>
        <w:t>235.</w:t>
      </w:r>
      <w:r w:rsidRPr="00317E7D">
        <w:rPr>
          <w:rFonts w:ascii="Calibri" w:cs="Calibri"/>
        </w:rPr>
        <w:tab/>
        <w:t xml:space="preserve">Longati, P. </w:t>
      </w:r>
      <w:r w:rsidRPr="00317E7D">
        <w:rPr>
          <w:rFonts w:ascii="Calibri" w:cs="Calibri"/>
          <w:i/>
          <w:iCs/>
        </w:rPr>
        <w:t>et al.</w:t>
      </w:r>
      <w:r w:rsidRPr="00317E7D">
        <w:rPr>
          <w:rFonts w:ascii="Calibri" w:cs="Calibri"/>
        </w:rPr>
        <w:t xml:space="preserve"> 3D pancreatic carcinoma spheroids induce a matrix-rich, chemoresistant phenotype offering a better model for drug testing. </w:t>
      </w:r>
      <w:r w:rsidRPr="00317E7D">
        <w:rPr>
          <w:rFonts w:ascii="Calibri" w:cs="Calibri"/>
          <w:i/>
          <w:iCs/>
        </w:rPr>
        <w:t>BMC Cancer</w:t>
      </w:r>
      <w:r w:rsidRPr="00317E7D">
        <w:rPr>
          <w:rFonts w:ascii="Calibri" w:cs="Calibri"/>
        </w:rPr>
        <w:t xml:space="preserve"> </w:t>
      </w:r>
      <w:r w:rsidRPr="00317E7D">
        <w:rPr>
          <w:rFonts w:ascii="Calibri" w:cs="Calibri"/>
          <w:b/>
          <w:bCs/>
        </w:rPr>
        <w:t>13</w:t>
      </w:r>
      <w:r w:rsidRPr="00317E7D">
        <w:rPr>
          <w:rFonts w:ascii="Calibri" w:cs="Calibri"/>
        </w:rPr>
        <w:t>, 1–13 (2013).</w:t>
      </w:r>
    </w:p>
    <w:p w14:paraId="1866B4B4" w14:textId="77777777" w:rsidR="00317E7D" w:rsidRPr="00317E7D" w:rsidRDefault="00317E7D" w:rsidP="00317E7D">
      <w:pPr>
        <w:pStyle w:val="Bibliography"/>
        <w:rPr>
          <w:rFonts w:ascii="Calibri" w:cs="Calibri"/>
        </w:rPr>
      </w:pPr>
      <w:r w:rsidRPr="00317E7D">
        <w:rPr>
          <w:rFonts w:ascii="Calibri" w:cs="Calibri"/>
        </w:rPr>
        <w:t>236.</w:t>
      </w:r>
      <w:r w:rsidRPr="00317E7D">
        <w:rPr>
          <w:rFonts w:ascii="Calibri" w:cs="Calibri"/>
        </w:rPr>
        <w:tab/>
        <w:t xml:space="preserve">Khawar, I. A. </w:t>
      </w:r>
      <w:r w:rsidRPr="00317E7D">
        <w:rPr>
          <w:rFonts w:ascii="Calibri" w:cs="Calibri"/>
          <w:i/>
          <w:iCs/>
        </w:rPr>
        <w:t>et al.</w:t>
      </w:r>
      <w:r w:rsidRPr="00317E7D">
        <w:rPr>
          <w:rFonts w:ascii="Calibri" w:cs="Calibri"/>
        </w:rPr>
        <w:t xml:space="preserve"> Three Dimensional Mixed-Cell Spheroids Mimic Stroma-Mediated Chemoresistance and Invasive Migration in hepatocellular carcinoma. </w:t>
      </w:r>
      <w:r w:rsidRPr="00317E7D">
        <w:rPr>
          <w:rFonts w:ascii="Calibri" w:cs="Calibri"/>
          <w:i/>
          <w:iCs/>
        </w:rPr>
        <w:t>Neoplasia</w:t>
      </w:r>
      <w:r w:rsidRPr="00317E7D">
        <w:rPr>
          <w:rFonts w:ascii="Calibri" w:cs="Calibri"/>
        </w:rPr>
        <w:t xml:space="preserve"> </w:t>
      </w:r>
      <w:r w:rsidRPr="00317E7D">
        <w:rPr>
          <w:rFonts w:ascii="Calibri" w:cs="Calibri"/>
          <w:b/>
          <w:bCs/>
        </w:rPr>
        <w:t>20</w:t>
      </w:r>
      <w:r w:rsidRPr="00317E7D">
        <w:rPr>
          <w:rFonts w:ascii="Calibri" w:cs="Calibri"/>
        </w:rPr>
        <w:t>, 800–812 (2018).</w:t>
      </w:r>
    </w:p>
    <w:p w14:paraId="372F2BC5" w14:textId="77777777" w:rsidR="00317E7D" w:rsidRPr="00317E7D" w:rsidRDefault="00317E7D" w:rsidP="00317E7D">
      <w:pPr>
        <w:pStyle w:val="Bibliography"/>
        <w:rPr>
          <w:rFonts w:ascii="Calibri" w:cs="Calibri"/>
        </w:rPr>
      </w:pPr>
      <w:r w:rsidRPr="00317E7D">
        <w:rPr>
          <w:rFonts w:ascii="Calibri" w:cs="Calibri"/>
        </w:rPr>
        <w:t>237.</w:t>
      </w:r>
      <w:r w:rsidRPr="00317E7D">
        <w:rPr>
          <w:rFonts w:ascii="Calibri" w:cs="Calibri"/>
        </w:rPr>
        <w:tab/>
        <w:t xml:space="preserve">Melissaridou, S. </w:t>
      </w:r>
      <w:r w:rsidRPr="00317E7D">
        <w:rPr>
          <w:rFonts w:ascii="Calibri" w:cs="Calibri"/>
          <w:i/>
          <w:iCs/>
        </w:rPr>
        <w:t>et al.</w:t>
      </w:r>
      <w:r w:rsidRPr="00317E7D">
        <w:rPr>
          <w:rFonts w:ascii="Calibri" w:cs="Calibri"/>
        </w:rPr>
        <w:t xml:space="preserve"> The effect of 2D and 3D cell cultures on treatment response, EMT profile and stem cell features in head and neck cancer. </w:t>
      </w:r>
      <w:r w:rsidRPr="00317E7D">
        <w:rPr>
          <w:rFonts w:ascii="Calibri" w:cs="Calibri"/>
          <w:i/>
          <w:iCs/>
        </w:rPr>
        <w:t>Cancer Cell Int</w:t>
      </w:r>
      <w:r w:rsidRPr="00317E7D">
        <w:rPr>
          <w:rFonts w:ascii="Calibri" w:cs="Calibri"/>
        </w:rPr>
        <w:t xml:space="preserve"> </w:t>
      </w:r>
      <w:r w:rsidRPr="00317E7D">
        <w:rPr>
          <w:rFonts w:ascii="Calibri" w:cs="Calibri"/>
          <w:b/>
          <w:bCs/>
        </w:rPr>
        <w:t>19</w:t>
      </w:r>
      <w:r w:rsidRPr="00317E7D">
        <w:rPr>
          <w:rFonts w:ascii="Calibri" w:cs="Calibri"/>
        </w:rPr>
        <w:t>, 1–10 (2019).</w:t>
      </w:r>
    </w:p>
    <w:p w14:paraId="27AEE365" w14:textId="77777777" w:rsidR="00317E7D" w:rsidRPr="00317E7D" w:rsidRDefault="00317E7D" w:rsidP="00317E7D">
      <w:pPr>
        <w:pStyle w:val="Bibliography"/>
        <w:rPr>
          <w:rFonts w:ascii="Calibri" w:cs="Calibri"/>
        </w:rPr>
      </w:pPr>
      <w:r w:rsidRPr="00317E7D">
        <w:rPr>
          <w:rFonts w:ascii="Calibri" w:cs="Calibri"/>
        </w:rPr>
        <w:t>238.</w:t>
      </w:r>
      <w:r w:rsidRPr="00317E7D">
        <w:rPr>
          <w:rFonts w:ascii="Calibri" w:cs="Calibri"/>
        </w:rPr>
        <w:tab/>
        <w:t xml:space="preserve">Gunay, G. </w:t>
      </w:r>
      <w:r w:rsidRPr="00317E7D">
        <w:rPr>
          <w:rFonts w:ascii="Calibri" w:cs="Calibri"/>
          <w:i/>
          <w:iCs/>
        </w:rPr>
        <w:t>et al.</w:t>
      </w:r>
      <w:r w:rsidRPr="00317E7D">
        <w:rPr>
          <w:rFonts w:ascii="Calibri" w:cs="Calibri"/>
        </w:rPr>
        <w:t xml:space="preserve"> The effects of size and shape of the ovarian cancer spheroids on the drug resistance and migration. </w:t>
      </w:r>
      <w:r w:rsidRPr="00317E7D">
        <w:rPr>
          <w:rFonts w:ascii="Calibri" w:cs="Calibri"/>
          <w:i/>
          <w:iCs/>
        </w:rPr>
        <w:t>Gynecologic Oncology</w:t>
      </w:r>
      <w:r w:rsidRPr="00317E7D">
        <w:rPr>
          <w:rFonts w:ascii="Calibri" w:cs="Calibri"/>
        </w:rPr>
        <w:t xml:space="preserve"> (2020) doi:10.1016/j.ygyno.2020.09.002.</w:t>
      </w:r>
    </w:p>
    <w:p w14:paraId="7B566C1C" w14:textId="77777777" w:rsidR="00317E7D" w:rsidRPr="00317E7D" w:rsidRDefault="00317E7D" w:rsidP="00317E7D">
      <w:pPr>
        <w:pStyle w:val="Bibliography"/>
        <w:rPr>
          <w:rFonts w:ascii="Calibri" w:cs="Calibri"/>
        </w:rPr>
      </w:pPr>
      <w:r w:rsidRPr="00317E7D">
        <w:rPr>
          <w:rFonts w:ascii="Calibri" w:cs="Calibri"/>
        </w:rPr>
        <w:t>239.</w:t>
      </w:r>
      <w:r w:rsidRPr="00317E7D">
        <w:rPr>
          <w:rFonts w:ascii="Calibri" w:cs="Calibri"/>
        </w:rPr>
        <w:tab/>
        <w:t xml:space="preserve">Rafehi, S. </w:t>
      </w:r>
      <w:r w:rsidRPr="00317E7D">
        <w:rPr>
          <w:rFonts w:ascii="Calibri" w:cs="Calibri"/>
          <w:i/>
          <w:iCs/>
        </w:rPr>
        <w:t>et al.</w:t>
      </w:r>
      <w:r w:rsidRPr="00317E7D">
        <w:rPr>
          <w:rFonts w:ascii="Calibri" w:cs="Calibri"/>
        </w:rPr>
        <w:t xml:space="preserve"> TGFβ signaling regulates epithelial–mesenchymal plasticity in ovarian cancer ascites-derived spheroids. </w:t>
      </w:r>
      <w:r w:rsidRPr="00317E7D">
        <w:rPr>
          <w:rFonts w:ascii="Calibri" w:cs="Calibri"/>
          <w:i/>
          <w:iCs/>
        </w:rPr>
        <w:t>Endocrine-Related Cancer</w:t>
      </w:r>
      <w:r w:rsidRPr="00317E7D">
        <w:rPr>
          <w:rFonts w:ascii="Calibri" w:cs="Calibri"/>
        </w:rPr>
        <w:t xml:space="preserve"> </w:t>
      </w:r>
      <w:r w:rsidRPr="00317E7D">
        <w:rPr>
          <w:rFonts w:ascii="Calibri" w:cs="Calibri"/>
          <w:b/>
          <w:bCs/>
        </w:rPr>
        <w:t>23</w:t>
      </w:r>
      <w:r w:rsidRPr="00317E7D">
        <w:rPr>
          <w:rFonts w:ascii="Calibri" w:cs="Calibri"/>
        </w:rPr>
        <w:t>, 147–159 (2016).</w:t>
      </w:r>
    </w:p>
    <w:p w14:paraId="3D7E66E2" w14:textId="77777777" w:rsidR="00317E7D" w:rsidRPr="00317E7D" w:rsidRDefault="00317E7D" w:rsidP="00317E7D">
      <w:pPr>
        <w:pStyle w:val="Bibliography"/>
        <w:rPr>
          <w:rFonts w:ascii="Calibri" w:cs="Calibri"/>
        </w:rPr>
      </w:pPr>
      <w:r w:rsidRPr="00317E7D">
        <w:rPr>
          <w:rFonts w:ascii="Calibri" w:cs="Calibri"/>
        </w:rPr>
        <w:t>240.</w:t>
      </w:r>
      <w:r w:rsidRPr="00317E7D">
        <w:rPr>
          <w:rFonts w:ascii="Calibri" w:cs="Calibri"/>
        </w:rPr>
        <w:tab/>
        <w:t xml:space="preserve">Mehta, G., Hsiao, A. Y., Ingram, M., Luker, G. D. &amp; Takayama, S. Opportunities and challenges for use of tumor spheroids as models to test drug delivery and efficacy. </w:t>
      </w:r>
      <w:r w:rsidRPr="00317E7D">
        <w:rPr>
          <w:rFonts w:ascii="Calibri" w:cs="Calibri"/>
          <w:i/>
          <w:iCs/>
        </w:rPr>
        <w:t>Journal of Controlled Release</w:t>
      </w:r>
      <w:r w:rsidRPr="00317E7D">
        <w:rPr>
          <w:rFonts w:ascii="Calibri" w:cs="Calibri"/>
        </w:rPr>
        <w:t xml:space="preserve"> </w:t>
      </w:r>
      <w:r w:rsidRPr="00317E7D">
        <w:rPr>
          <w:rFonts w:ascii="Calibri" w:cs="Calibri"/>
          <w:b/>
          <w:bCs/>
        </w:rPr>
        <w:t>164</w:t>
      </w:r>
      <w:r w:rsidRPr="00317E7D">
        <w:rPr>
          <w:rFonts w:ascii="Calibri" w:cs="Calibri"/>
        </w:rPr>
        <w:t>, 192–204 (2012).</w:t>
      </w:r>
    </w:p>
    <w:p w14:paraId="353DB78E" w14:textId="77777777" w:rsidR="00317E7D" w:rsidRPr="00317E7D" w:rsidRDefault="00317E7D" w:rsidP="00317E7D">
      <w:pPr>
        <w:pStyle w:val="Bibliography"/>
        <w:rPr>
          <w:rFonts w:ascii="Calibri" w:cs="Calibri"/>
        </w:rPr>
      </w:pPr>
      <w:r w:rsidRPr="00317E7D">
        <w:rPr>
          <w:rFonts w:ascii="Calibri" w:cs="Calibri"/>
        </w:rPr>
        <w:t>241.</w:t>
      </w:r>
      <w:r w:rsidRPr="00317E7D">
        <w:rPr>
          <w:rFonts w:ascii="Calibri" w:cs="Calibri"/>
        </w:rPr>
        <w:tab/>
        <w:t xml:space="preserve">Sutherland, R. M., McCredie, J. A. &amp; Inch, W. R. Growth of Multicell Spheroids in Tissue Culture as a Model of Nodular Carcinomas. </w:t>
      </w:r>
      <w:r w:rsidRPr="00317E7D">
        <w:rPr>
          <w:rFonts w:ascii="Calibri" w:cs="Calibri"/>
          <w:i/>
          <w:iCs/>
        </w:rPr>
        <w:t>J Natl Cancer Inst</w:t>
      </w:r>
      <w:r w:rsidRPr="00317E7D">
        <w:rPr>
          <w:rFonts w:ascii="Calibri" w:cs="Calibri"/>
        </w:rPr>
        <w:t xml:space="preserve"> </w:t>
      </w:r>
      <w:r w:rsidRPr="00317E7D">
        <w:rPr>
          <w:rFonts w:ascii="Calibri" w:cs="Calibri"/>
          <w:b/>
          <w:bCs/>
        </w:rPr>
        <w:t>46</w:t>
      </w:r>
      <w:r w:rsidRPr="00317E7D">
        <w:rPr>
          <w:rFonts w:ascii="Calibri" w:cs="Calibri"/>
        </w:rPr>
        <w:t>, 113–120 (1971).</w:t>
      </w:r>
    </w:p>
    <w:p w14:paraId="1BB7990E" w14:textId="77777777" w:rsidR="00317E7D" w:rsidRPr="00317E7D" w:rsidRDefault="00317E7D" w:rsidP="00317E7D">
      <w:pPr>
        <w:pStyle w:val="Bibliography"/>
        <w:rPr>
          <w:rFonts w:ascii="Calibri" w:cs="Calibri"/>
        </w:rPr>
      </w:pPr>
      <w:r w:rsidRPr="00317E7D">
        <w:rPr>
          <w:rFonts w:ascii="Calibri" w:cs="Calibri"/>
        </w:rPr>
        <w:t>242.</w:t>
      </w:r>
      <w:r w:rsidRPr="00317E7D">
        <w:rPr>
          <w:rFonts w:ascii="Calibri" w:cs="Calibri"/>
        </w:rPr>
        <w:tab/>
        <w:t xml:space="preserve">Sutherland, R. M. Cell and environment interactions in tumor microregions: the multicell spheroid model. </w:t>
      </w:r>
      <w:r w:rsidRPr="00317E7D">
        <w:rPr>
          <w:rFonts w:ascii="Calibri" w:cs="Calibri"/>
          <w:i/>
          <w:iCs/>
        </w:rPr>
        <w:t>Science</w:t>
      </w:r>
      <w:r w:rsidRPr="00317E7D">
        <w:rPr>
          <w:rFonts w:ascii="Calibri" w:cs="Calibri"/>
        </w:rPr>
        <w:t xml:space="preserve"> </w:t>
      </w:r>
      <w:r w:rsidRPr="00317E7D">
        <w:rPr>
          <w:rFonts w:ascii="Calibri" w:cs="Calibri"/>
          <w:b/>
          <w:bCs/>
        </w:rPr>
        <w:t>240</w:t>
      </w:r>
      <w:r w:rsidRPr="00317E7D">
        <w:rPr>
          <w:rFonts w:ascii="Calibri" w:cs="Calibri"/>
        </w:rPr>
        <w:t>, 177–184 (1988).</w:t>
      </w:r>
    </w:p>
    <w:p w14:paraId="6D777916" w14:textId="77777777" w:rsidR="00317E7D" w:rsidRPr="00317E7D" w:rsidRDefault="00317E7D" w:rsidP="00317E7D">
      <w:pPr>
        <w:pStyle w:val="Bibliography"/>
        <w:rPr>
          <w:rFonts w:ascii="Calibri" w:cs="Calibri"/>
        </w:rPr>
      </w:pPr>
      <w:r w:rsidRPr="00317E7D">
        <w:rPr>
          <w:rFonts w:ascii="Calibri" w:cs="Calibri"/>
        </w:rPr>
        <w:lastRenderedPageBreak/>
        <w:t>243.</w:t>
      </w:r>
      <w:r w:rsidRPr="00317E7D">
        <w:rPr>
          <w:rFonts w:ascii="Calibri" w:cs="Calibri"/>
        </w:rPr>
        <w:tab/>
        <w:t xml:space="preserve">Alvarez-Pérez, J., Ballesteros, P. &amp; Cerdán, S. Microscopic images of intraspheroidal pH by 1H magnetic resonance chemical shift imaging of pH sensitive indicators. </w:t>
      </w:r>
      <w:r w:rsidRPr="00317E7D">
        <w:rPr>
          <w:rFonts w:ascii="Calibri" w:cs="Calibri"/>
          <w:i/>
          <w:iCs/>
        </w:rPr>
        <w:t>MAGMA</w:t>
      </w:r>
      <w:r w:rsidRPr="00317E7D">
        <w:rPr>
          <w:rFonts w:ascii="Calibri" w:cs="Calibri"/>
        </w:rPr>
        <w:t xml:space="preserve"> </w:t>
      </w:r>
      <w:r w:rsidRPr="00317E7D">
        <w:rPr>
          <w:rFonts w:ascii="Calibri" w:cs="Calibri"/>
          <w:b/>
          <w:bCs/>
        </w:rPr>
        <w:t>18</w:t>
      </w:r>
      <w:r w:rsidRPr="00317E7D">
        <w:rPr>
          <w:rFonts w:ascii="Calibri" w:cs="Calibri"/>
        </w:rPr>
        <w:t>, 293–301 (2005).</w:t>
      </w:r>
    </w:p>
    <w:p w14:paraId="1B6D3A61" w14:textId="77777777" w:rsidR="00317E7D" w:rsidRPr="00317E7D" w:rsidRDefault="00317E7D" w:rsidP="00317E7D">
      <w:pPr>
        <w:pStyle w:val="Bibliography"/>
        <w:rPr>
          <w:rFonts w:ascii="Calibri" w:cs="Calibri"/>
        </w:rPr>
      </w:pPr>
      <w:r w:rsidRPr="00317E7D">
        <w:rPr>
          <w:rFonts w:ascii="Calibri" w:cs="Calibri"/>
        </w:rPr>
        <w:t>244.</w:t>
      </w:r>
      <w:r w:rsidRPr="00317E7D">
        <w:rPr>
          <w:rFonts w:ascii="Calibri" w:cs="Calibri"/>
        </w:rPr>
        <w:tab/>
        <w:t xml:space="preserve">Curcio, E. </w:t>
      </w:r>
      <w:r w:rsidRPr="00317E7D">
        <w:rPr>
          <w:rFonts w:ascii="Calibri" w:cs="Calibri"/>
          <w:i/>
          <w:iCs/>
        </w:rPr>
        <w:t>et al.</w:t>
      </w:r>
      <w:r w:rsidRPr="00317E7D">
        <w:rPr>
          <w:rFonts w:ascii="Calibri" w:cs="Calibri"/>
        </w:rPr>
        <w:t xml:space="preserve"> Mass transfer and metabolic reactions in hepatocyte spheroids cultured in rotating wall gas-permeable membrane system. </w:t>
      </w:r>
      <w:r w:rsidRPr="00317E7D">
        <w:rPr>
          <w:rFonts w:ascii="Calibri" w:cs="Calibri"/>
          <w:i/>
          <w:iCs/>
        </w:rPr>
        <w:t>Biomaterials</w:t>
      </w:r>
      <w:r w:rsidRPr="00317E7D">
        <w:rPr>
          <w:rFonts w:ascii="Calibri" w:cs="Calibri"/>
        </w:rPr>
        <w:t xml:space="preserve"> </w:t>
      </w:r>
      <w:r w:rsidRPr="00317E7D">
        <w:rPr>
          <w:rFonts w:ascii="Calibri" w:cs="Calibri"/>
          <w:b/>
          <w:bCs/>
        </w:rPr>
        <w:t>28</w:t>
      </w:r>
      <w:r w:rsidRPr="00317E7D">
        <w:rPr>
          <w:rFonts w:ascii="Calibri" w:cs="Calibri"/>
        </w:rPr>
        <w:t>, 5487–5497 (2007).</w:t>
      </w:r>
    </w:p>
    <w:p w14:paraId="4865589B" w14:textId="77777777" w:rsidR="00317E7D" w:rsidRPr="00317E7D" w:rsidRDefault="00317E7D" w:rsidP="00317E7D">
      <w:pPr>
        <w:pStyle w:val="Bibliography"/>
        <w:rPr>
          <w:rFonts w:ascii="Calibri" w:cs="Calibri"/>
        </w:rPr>
      </w:pPr>
      <w:r w:rsidRPr="00317E7D">
        <w:rPr>
          <w:rFonts w:ascii="Calibri" w:cs="Calibri"/>
        </w:rPr>
        <w:t>245.</w:t>
      </w:r>
      <w:r w:rsidRPr="00317E7D">
        <w:rPr>
          <w:rFonts w:ascii="Calibri" w:cs="Calibri"/>
        </w:rPr>
        <w:tab/>
        <w:t xml:space="preserve">Hirschhaeuser, F. </w:t>
      </w:r>
      <w:r w:rsidRPr="00317E7D">
        <w:rPr>
          <w:rFonts w:ascii="Calibri" w:cs="Calibri"/>
          <w:i/>
          <w:iCs/>
        </w:rPr>
        <w:t>et al.</w:t>
      </w:r>
      <w:r w:rsidRPr="00317E7D">
        <w:rPr>
          <w:rFonts w:ascii="Calibri" w:cs="Calibri"/>
        </w:rPr>
        <w:t xml:space="preserve"> Multicellular tumor spheroids: An underestimated tool is catching up again. </w:t>
      </w:r>
      <w:r w:rsidRPr="00317E7D">
        <w:rPr>
          <w:rFonts w:ascii="Calibri" w:cs="Calibri"/>
          <w:i/>
          <w:iCs/>
        </w:rPr>
        <w:t>Journal of Biotechnology</w:t>
      </w:r>
      <w:r w:rsidRPr="00317E7D">
        <w:rPr>
          <w:rFonts w:ascii="Calibri" w:cs="Calibri"/>
        </w:rPr>
        <w:t xml:space="preserve"> </w:t>
      </w:r>
      <w:r w:rsidRPr="00317E7D">
        <w:rPr>
          <w:rFonts w:ascii="Calibri" w:cs="Calibri"/>
          <w:b/>
          <w:bCs/>
        </w:rPr>
        <w:t>148</w:t>
      </w:r>
      <w:r w:rsidRPr="00317E7D">
        <w:rPr>
          <w:rFonts w:ascii="Calibri" w:cs="Calibri"/>
        </w:rPr>
        <w:t>, 3–15 (2010).</w:t>
      </w:r>
    </w:p>
    <w:p w14:paraId="73050314" w14:textId="77777777" w:rsidR="00317E7D" w:rsidRPr="00317E7D" w:rsidRDefault="00317E7D" w:rsidP="00317E7D">
      <w:pPr>
        <w:pStyle w:val="Bibliography"/>
        <w:rPr>
          <w:rFonts w:ascii="Calibri" w:cs="Calibri"/>
        </w:rPr>
      </w:pPr>
      <w:r w:rsidRPr="00317E7D">
        <w:rPr>
          <w:rFonts w:ascii="Calibri" w:cs="Calibri"/>
        </w:rPr>
        <w:t>246.</w:t>
      </w:r>
      <w:r w:rsidRPr="00317E7D">
        <w:rPr>
          <w:rFonts w:ascii="Calibri" w:cs="Calibri"/>
        </w:rPr>
        <w:tab/>
        <w:t xml:space="preserve">Kim, Y. J. </w:t>
      </w:r>
      <w:r w:rsidRPr="00317E7D">
        <w:rPr>
          <w:rFonts w:ascii="Calibri" w:cs="Calibri"/>
          <w:i/>
          <w:iCs/>
        </w:rPr>
        <w:t>et al.</w:t>
      </w:r>
      <w:r w:rsidRPr="00317E7D">
        <w:rPr>
          <w:rFonts w:ascii="Calibri" w:cs="Calibri"/>
        </w:rPr>
        <w:t xml:space="preserve"> A microchip filter device incorporating slit arrays and 3-D flow for detection of circulating tumor cells using CAV1-EpCAM conjugated microbeads. </w:t>
      </w:r>
      <w:r w:rsidRPr="00317E7D">
        <w:rPr>
          <w:rFonts w:ascii="Calibri" w:cs="Calibri"/>
          <w:i/>
          <w:iCs/>
        </w:rPr>
        <w:t>Biomaterials</w:t>
      </w:r>
      <w:r w:rsidRPr="00317E7D">
        <w:rPr>
          <w:rFonts w:ascii="Calibri" w:cs="Calibri"/>
        </w:rPr>
        <w:t xml:space="preserve"> </w:t>
      </w:r>
      <w:r w:rsidRPr="00317E7D">
        <w:rPr>
          <w:rFonts w:ascii="Calibri" w:cs="Calibri"/>
          <w:b/>
          <w:bCs/>
        </w:rPr>
        <w:t>35</w:t>
      </w:r>
      <w:r w:rsidRPr="00317E7D">
        <w:rPr>
          <w:rFonts w:ascii="Calibri" w:cs="Calibri"/>
        </w:rPr>
        <w:t>, 7501–7510 (2014).</w:t>
      </w:r>
    </w:p>
    <w:p w14:paraId="22540F21" w14:textId="77777777" w:rsidR="00317E7D" w:rsidRPr="00317E7D" w:rsidRDefault="00317E7D" w:rsidP="00317E7D">
      <w:pPr>
        <w:pStyle w:val="Bibliography"/>
        <w:rPr>
          <w:rFonts w:ascii="Calibri" w:cs="Calibri"/>
        </w:rPr>
      </w:pPr>
      <w:r w:rsidRPr="00317E7D">
        <w:rPr>
          <w:rFonts w:ascii="Calibri" w:cs="Calibri"/>
        </w:rPr>
        <w:t>247.</w:t>
      </w:r>
      <w:r w:rsidRPr="00317E7D">
        <w:rPr>
          <w:rFonts w:ascii="Calibri" w:cs="Calibri"/>
        </w:rPr>
        <w:tab/>
        <w:t xml:space="preserve">Lin, R.-Z. &amp; Chang, H.-Y. Recent advances in three-dimensional multicellular spheroid culture for biomedical research. </w:t>
      </w:r>
      <w:r w:rsidRPr="00317E7D">
        <w:rPr>
          <w:rFonts w:ascii="Calibri" w:cs="Calibri"/>
          <w:i/>
          <w:iCs/>
        </w:rPr>
        <w:t>Biotechnol. J.</w:t>
      </w:r>
      <w:r w:rsidRPr="00317E7D">
        <w:rPr>
          <w:rFonts w:ascii="Calibri" w:cs="Calibri"/>
        </w:rPr>
        <w:t xml:space="preserve"> </w:t>
      </w:r>
      <w:r w:rsidRPr="00317E7D">
        <w:rPr>
          <w:rFonts w:ascii="Calibri" w:cs="Calibri"/>
          <w:b/>
          <w:bCs/>
        </w:rPr>
        <w:t>3</w:t>
      </w:r>
      <w:r w:rsidRPr="00317E7D">
        <w:rPr>
          <w:rFonts w:ascii="Calibri" w:cs="Calibri"/>
        </w:rPr>
        <w:t>, 1172–1184 (2008).</w:t>
      </w:r>
    </w:p>
    <w:p w14:paraId="0DD51805" w14:textId="77777777" w:rsidR="00317E7D" w:rsidRPr="00317E7D" w:rsidRDefault="00317E7D" w:rsidP="00317E7D">
      <w:pPr>
        <w:pStyle w:val="Bibliography"/>
        <w:rPr>
          <w:rFonts w:ascii="Calibri" w:cs="Calibri"/>
        </w:rPr>
      </w:pPr>
      <w:r w:rsidRPr="00317E7D">
        <w:rPr>
          <w:rFonts w:ascii="Calibri" w:cs="Calibri"/>
        </w:rPr>
        <w:t>248.</w:t>
      </w:r>
      <w:r w:rsidRPr="00317E7D">
        <w:rPr>
          <w:rFonts w:ascii="Calibri" w:cs="Calibri"/>
        </w:rPr>
        <w:tab/>
        <w:t xml:space="preserve">Souza, G. R. </w:t>
      </w:r>
      <w:r w:rsidRPr="00317E7D">
        <w:rPr>
          <w:rFonts w:ascii="Calibri" w:cs="Calibri"/>
          <w:i/>
          <w:iCs/>
        </w:rPr>
        <w:t>et al.</w:t>
      </w:r>
      <w:r w:rsidRPr="00317E7D">
        <w:rPr>
          <w:rFonts w:ascii="Calibri" w:cs="Calibri"/>
        </w:rPr>
        <w:t xml:space="preserve"> Three-dimensional tissue culture based on magnetic cell levitation. </w:t>
      </w:r>
      <w:r w:rsidRPr="00317E7D">
        <w:rPr>
          <w:rFonts w:ascii="Calibri" w:cs="Calibri"/>
          <w:i/>
          <w:iCs/>
        </w:rPr>
        <w:t>Nature Nanotech</w:t>
      </w:r>
      <w:r w:rsidRPr="00317E7D">
        <w:rPr>
          <w:rFonts w:ascii="Calibri" w:cs="Calibri"/>
        </w:rPr>
        <w:t xml:space="preserve"> </w:t>
      </w:r>
      <w:r w:rsidRPr="00317E7D">
        <w:rPr>
          <w:rFonts w:ascii="Calibri" w:cs="Calibri"/>
          <w:b/>
          <w:bCs/>
        </w:rPr>
        <w:t>5</w:t>
      </w:r>
      <w:r w:rsidRPr="00317E7D">
        <w:rPr>
          <w:rFonts w:ascii="Calibri" w:cs="Calibri"/>
        </w:rPr>
        <w:t>, 291–296 (2010).</w:t>
      </w:r>
    </w:p>
    <w:p w14:paraId="43071FAE" w14:textId="77777777" w:rsidR="00317E7D" w:rsidRPr="00317E7D" w:rsidRDefault="00317E7D" w:rsidP="00317E7D">
      <w:pPr>
        <w:pStyle w:val="Bibliography"/>
        <w:rPr>
          <w:rFonts w:ascii="Calibri" w:cs="Calibri"/>
        </w:rPr>
      </w:pPr>
      <w:r w:rsidRPr="00317E7D">
        <w:rPr>
          <w:rFonts w:ascii="Calibri" w:cs="Calibri"/>
        </w:rPr>
        <w:t>249.</w:t>
      </w:r>
      <w:r w:rsidRPr="00317E7D">
        <w:rPr>
          <w:rFonts w:ascii="Calibri" w:cs="Calibri"/>
        </w:rPr>
        <w:tab/>
        <w:t xml:space="preserve">Chaudhuri, P. K., Low, B. C. &amp; Lim, C. T. Mechanobiology of Tumor Growth. </w:t>
      </w:r>
      <w:r w:rsidRPr="00317E7D">
        <w:rPr>
          <w:rFonts w:ascii="Calibri" w:cs="Calibri"/>
          <w:i/>
          <w:iCs/>
        </w:rPr>
        <w:t>Chem. Rev.</w:t>
      </w:r>
      <w:r w:rsidRPr="00317E7D">
        <w:rPr>
          <w:rFonts w:ascii="Calibri" w:cs="Calibri"/>
        </w:rPr>
        <w:t xml:space="preserve"> </w:t>
      </w:r>
      <w:r w:rsidRPr="00317E7D">
        <w:rPr>
          <w:rFonts w:ascii="Calibri" w:cs="Calibri"/>
          <w:b/>
          <w:bCs/>
        </w:rPr>
        <w:t>118</w:t>
      </w:r>
      <w:r w:rsidRPr="00317E7D">
        <w:rPr>
          <w:rFonts w:ascii="Calibri" w:cs="Calibri"/>
        </w:rPr>
        <w:t>, 6499–6515 (2018).</w:t>
      </w:r>
    </w:p>
    <w:p w14:paraId="035721F8" w14:textId="77777777" w:rsidR="00317E7D" w:rsidRPr="00317E7D" w:rsidRDefault="00317E7D" w:rsidP="00317E7D">
      <w:pPr>
        <w:pStyle w:val="Bibliography"/>
        <w:rPr>
          <w:rFonts w:ascii="Calibri" w:cs="Calibri"/>
        </w:rPr>
      </w:pPr>
      <w:r w:rsidRPr="00317E7D">
        <w:rPr>
          <w:rFonts w:ascii="Calibri" w:cs="Calibri"/>
        </w:rPr>
        <w:t>250.</w:t>
      </w:r>
      <w:r w:rsidRPr="00317E7D">
        <w:rPr>
          <w:rFonts w:ascii="Calibri" w:cs="Calibri"/>
        </w:rPr>
        <w:tab/>
        <w:t xml:space="preserve">Antunes, J. </w:t>
      </w:r>
      <w:r w:rsidRPr="00317E7D">
        <w:rPr>
          <w:rFonts w:ascii="Calibri" w:cs="Calibri"/>
          <w:i/>
          <w:iCs/>
        </w:rPr>
        <w:t>et al.</w:t>
      </w:r>
      <w:r w:rsidRPr="00317E7D">
        <w:rPr>
          <w:rFonts w:ascii="Calibri" w:cs="Calibri"/>
        </w:rPr>
        <w:t xml:space="preserve"> In-air production of 3D co-culture tumor spheroid hydrogels for expedited drug screening. </w:t>
      </w:r>
      <w:r w:rsidRPr="00317E7D">
        <w:rPr>
          <w:rFonts w:ascii="Calibri" w:cs="Calibri"/>
          <w:i/>
          <w:iCs/>
        </w:rPr>
        <w:t>Acta Biomaterialia</w:t>
      </w:r>
      <w:r w:rsidRPr="00317E7D">
        <w:rPr>
          <w:rFonts w:ascii="Calibri" w:cs="Calibri"/>
        </w:rPr>
        <w:t xml:space="preserve"> </w:t>
      </w:r>
      <w:r w:rsidRPr="00317E7D">
        <w:rPr>
          <w:rFonts w:ascii="Calibri" w:cs="Calibri"/>
          <w:b/>
          <w:bCs/>
        </w:rPr>
        <w:t>94</w:t>
      </w:r>
      <w:r w:rsidRPr="00317E7D">
        <w:rPr>
          <w:rFonts w:ascii="Calibri" w:cs="Calibri"/>
        </w:rPr>
        <w:t>, 392–409 (2019).</w:t>
      </w:r>
    </w:p>
    <w:p w14:paraId="40BECCB5" w14:textId="77777777" w:rsidR="00317E7D" w:rsidRPr="00317E7D" w:rsidRDefault="00317E7D" w:rsidP="00317E7D">
      <w:pPr>
        <w:pStyle w:val="Bibliography"/>
        <w:rPr>
          <w:rFonts w:ascii="Calibri" w:cs="Calibri"/>
        </w:rPr>
      </w:pPr>
      <w:r w:rsidRPr="00317E7D">
        <w:rPr>
          <w:rFonts w:ascii="Calibri" w:cs="Calibri"/>
        </w:rPr>
        <w:t>251.</w:t>
      </w:r>
      <w:r w:rsidRPr="00317E7D">
        <w:rPr>
          <w:rFonts w:ascii="Calibri" w:cs="Calibri"/>
        </w:rPr>
        <w:tab/>
        <w:t xml:space="preserve">Moshksayan, K. </w:t>
      </w:r>
      <w:r w:rsidRPr="00317E7D">
        <w:rPr>
          <w:rFonts w:ascii="Calibri" w:cs="Calibri"/>
          <w:i/>
          <w:iCs/>
        </w:rPr>
        <w:t>et al.</w:t>
      </w:r>
      <w:r w:rsidRPr="00317E7D">
        <w:rPr>
          <w:rFonts w:ascii="Calibri" w:cs="Calibri"/>
        </w:rPr>
        <w:t xml:space="preserve"> Spheroids-on-a-chip: Recent advances and design considerations in microfluidic platforms for spheroid formation and culture. </w:t>
      </w:r>
      <w:r w:rsidRPr="00317E7D">
        <w:rPr>
          <w:rFonts w:ascii="Calibri" w:cs="Calibri"/>
          <w:i/>
          <w:iCs/>
        </w:rPr>
        <w:t>Sensors and Actuators B: Chemical</w:t>
      </w:r>
      <w:r w:rsidRPr="00317E7D">
        <w:rPr>
          <w:rFonts w:ascii="Calibri" w:cs="Calibri"/>
        </w:rPr>
        <w:t xml:space="preserve"> </w:t>
      </w:r>
      <w:r w:rsidRPr="00317E7D">
        <w:rPr>
          <w:rFonts w:ascii="Calibri" w:cs="Calibri"/>
          <w:b/>
          <w:bCs/>
        </w:rPr>
        <w:t>263</w:t>
      </w:r>
      <w:r w:rsidRPr="00317E7D">
        <w:rPr>
          <w:rFonts w:ascii="Calibri" w:cs="Calibri"/>
        </w:rPr>
        <w:t>, 151–176 (2018).</w:t>
      </w:r>
    </w:p>
    <w:p w14:paraId="72C01CA2" w14:textId="77777777" w:rsidR="00317E7D" w:rsidRPr="00317E7D" w:rsidRDefault="00317E7D" w:rsidP="00317E7D">
      <w:pPr>
        <w:pStyle w:val="Bibliography"/>
        <w:rPr>
          <w:rFonts w:ascii="Calibri" w:cs="Calibri"/>
        </w:rPr>
      </w:pPr>
      <w:r w:rsidRPr="00317E7D">
        <w:rPr>
          <w:rFonts w:ascii="Calibri" w:cs="Calibri"/>
        </w:rPr>
        <w:lastRenderedPageBreak/>
        <w:t>252.</w:t>
      </w:r>
      <w:r w:rsidRPr="00317E7D">
        <w:rPr>
          <w:rFonts w:ascii="Calibri" w:cs="Calibri"/>
        </w:rPr>
        <w:tab/>
        <w:t xml:space="preserve">Acikgöz, A., Giri, S., Cho, M.-G. &amp; Bader, A. Morphological and Functional Analysis of Hepatocyte Spheroids Generated on Poly-HEMA-Treated Surfaces under the Influence of Fetal Calf Serum and Nonparenchymal Cells. </w:t>
      </w:r>
      <w:r w:rsidRPr="00317E7D">
        <w:rPr>
          <w:rFonts w:ascii="Calibri" w:cs="Calibri"/>
          <w:i/>
          <w:iCs/>
        </w:rPr>
        <w:t>Biomolecules</w:t>
      </w:r>
      <w:r w:rsidRPr="00317E7D">
        <w:rPr>
          <w:rFonts w:ascii="Calibri" w:cs="Calibri"/>
        </w:rPr>
        <w:t xml:space="preserve"> </w:t>
      </w:r>
      <w:r w:rsidRPr="00317E7D">
        <w:rPr>
          <w:rFonts w:ascii="Calibri" w:cs="Calibri"/>
          <w:b/>
          <w:bCs/>
        </w:rPr>
        <w:t>3</w:t>
      </w:r>
      <w:r w:rsidRPr="00317E7D">
        <w:rPr>
          <w:rFonts w:ascii="Calibri" w:cs="Calibri"/>
        </w:rPr>
        <w:t>, 242–269 (2013).</w:t>
      </w:r>
    </w:p>
    <w:p w14:paraId="4F176DBC" w14:textId="77777777" w:rsidR="00317E7D" w:rsidRPr="00317E7D" w:rsidRDefault="00317E7D" w:rsidP="00317E7D">
      <w:pPr>
        <w:pStyle w:val="Bibliography"/>
        <w:rPr>
          <w:rFonts w:ascii="Calibri" w:cs="Calibri"/>
        </w:rPr>
      </w:pPr>
      <w:r w:rsidRPr="00317E7D">
        <w:rPr>
          <w:rFonts w:ascii="Calibri" w:cs="Calibri"/>
        </w:rPr>
        <w:t>253.</w:t>
      </w:r>
      <w:r w:rsidRPr="00317E7D">
        <w:rPr>
          <w:rFonts w:ascii="Calibri" w:cs="Calibri"/>
        </w:rPr>
        <w:tab/>
        <w:t xml:space="preserve">Ariyoshi, W. </w:t>
      </w:r>
      <w:r w:rsidRPr="00317E7D">
        <w:rPr>
          <w:rFonts w:ascii="Calibri" w:cs="Calibri"/>
          <w:i/>
          <w:iCs/>
        </w:rPr>
        <w:t>et al.</w:t>
      </w:r>
      <w:r w:rsidRPr="00317E7D">
        <w:rPr>
          <w:rFonts w:ascii="Calibri" w:cs="Calibri"/>
        </w:rPr>
        <w:t xml:space="preserve"> 3D spheroid culture models for chondrocytes using polyethylene glycol-coated microfabricated chip. </w:t>
      </w:r>
      <w:r w:rsidRPr="00317E7D">
        <w:rPr>
          <w:rFonts w:ascii="Calibri" w:cs="Calibri"/>
          <w:i/>
          <w:iCs/>
        </w:rPr>
        <w:t>Biomed. Res.</w:t>
      </w:r>
      <w:r w:rsidRPr="00317E7D">
        <w:rPr>
          <w:rFonts w:ascii="Calibri" w:cs="Calibri"/>
        </w:rPr>
        <w:t xml:space="preserve"> </w:t>
      </w:r>
      <w:r w:rsidRPr="00317E7D">
        <w:rPr>
          <w:rFonts w:ascii="Calibri" w:cs="Calibri"/>
          <w:b/>
          <w:bCs/>
        </w:rPr>
        <w:t>41</w:t>
      </w:r>
      <w:r w:rsidRPr="00317E7D">
        <w:rPr>
          <w:rFonts w:ascii="Calibri" w:cs="Calibri"/>
        </w:rPr>
        <w:t>, 187–197 (2020).</w:t>
      </w:r>
    </w:p>
    <w:p w14:paraId="50D99AF0" w14:textId="77777777" w:rsidR="00317E7D" w:rsidRPr="00317E7D" w:rsidRDefault="00317E7D" w:rsidP="00317E7D">
      <w:pPr>
        <w:pStyle w:val="Bibliography"/>
        <w:rPr>
          <w:rFonts w:ascii="Calibri" w:cs="Calibri"/>
        </w:rPr>
      </w:pPr>
      <w:r w:rsidRPr="00317E7D">
        <w:rPr>
          <w:rFonts w:ascii="Calibri" w:cs="Calibri"/>
        </w:rPr>
        <w:t>254.</w:t>
      </w:r>
      <w:r w:rsidRPr="00317E7D">
        <w:rPr>
          <w:rFonts w:ascii="Calibri" w:cs="Calibri"/>
        </w:rPr>
        <w:tab/>
        <w:t xml:space="preserve">Bell, C. C. </w:t>
      </w:r>
      <w:r w:rsidRPr="00317E7D">
        <w:rPr>
          <w:rFonts w:ascii="Calibri" w:cs="Calibri"/>
          <w:i/>
          <w:iCs/>
        </w:rPr>
        <w:t>et al.</w:t>
      </w:r>
      <w:r w:rsidRPr="00317E7D">
        <w:rPr>
          <w:rFonts w:ascii="Calibri" w:cs="Calibri"/>
        </w:rPr>
        <w:t xml:space="preserve"> Characterization of primary human hepatocyte spheroids as a model system for drug-induced liver injury, liver function and disease. </w:t>
      </w:r>
      <w:r w:rsidRPr="00317E7D">
        <w:rPr>
          <w:rFonts w:ascii="Calibri" w:cs="Calibri"/>
          <w:i/>
          <w:iCs/>
        </w:rPr>
        <w:t>Scientific Reports</w:t>
      </w:r>
      <w:r w:rsidRPr="00317E7D">
        <w:rPr>
          <w:rFonts w:ascii="Calibri" w:cs="Calibri"/>
        </w:rPr>
        <w:t xml:space="preserve"> </w:t>
      </w:r>
      <w:r w:rsidRPr="00317E7D">
        <w:rPr>
          <w:rFonts w:ascii="Calibri" w:cs="Calibri"/>
          <w:b/>
          <w:bCs/>
        </w:rPr>
        <w:t>6</w:t>
      </w:r>
      <w:r w:rsidRPr="00317E7D">
        <w:rPr>
          <w:rFonts w:ascii="Calibri" w:cs="Calibri"/>
        </w:rPr>
        <w:t>, 25187 (2016).</w:t>
      </w:r>
    </w:p>
    <w:p w14:paraId="4719DAA1" w14:textId="77777777" w:rsidR="00317E7D" w:rsidRPr="00317E7D" w:rsidRDefault="00317E7D" w:rsidP="00317E7D">
      <w:pPr>
        <w:pStyle w:val="Bibliography"/>
        <w:rPr>
          <w:rFonts w:ascii="Calibri" w:cs="Calibri"/>
        </w:rPr>
      </w:pPr>
      <w:r w:rsidRPr="00317E7D">
        <w:rPr>
          <w:rFonts w:ascii="Calibri" w:cs="Calibri"/>
        </w:rPr>
        <w:t>255.</w:t>
      </w:r>
      <w:r w:rsidRPr="00317E7D">
        <w:rPr>
          <w:rFonts w:ascii="Calibri" w:cs="Calibri"/>
        </w:rPr>
        <w:tab/>
        <w:t xml:space="preserve">Costa, E. C., Melo‐Diogo, D. de, Moreira, A. F., Carvalho, M. P. &amp; Correia, I. J. Spheroids Formation on Non-Adhesive Surfaces by Liquid Overlay Technique: Considerations and Practical Approaches. </w:t>
      </w:r>
      <w:r w:rsidRPr="00317E7D">
        <w:rPr>
          <w:rFonts w:ascii="Calibri" w:cs="Calibri"/>
          <w:i/>
          <w:iCs/>
        </w:rPr>
        <w:t>Biotechnology Journal</w:t>
      </w:r>
      <w:r w:rsidRPr="00317E7D">
        <w:rPr>
          <w:rFonts w:ascii="Calibri" w:cs="Calibri"/>
        </w:rPr>
        <w:t xml:space="preserve"> </w:t>
      </w:r>
      <w:r w:rsidRPr="00317E7D">
        <w:rPr>
          <w:rFonts w:ascii="Calibri" w:cs="Calibri"/>
          <w:b/>
          <w:bCs/>
        </w:rPr>
        <w:t>13</w:t>
      </w:r>
      <w:r w:rsidRPr="00317E7D">
        <w:rPr>
          <w:rFonts w:ascii="Calibri" w:cs="Calibri"/>
        </w:rPr>
        <w:t>, 1700417 (2018).</w:t>
      </w:r>
    </w:p>
    <w:p w14:paraId="45E52C7A" w14:textId="77777777" w:rsidR="00317E7D" w:rsidRPr="00317E7D" w:rsidRDefault="00317E7D" w:rsidP="00317E7D">
      <w:pPr>
        <w:pStyle w:val="Bibliography"/>
        <w:rPr>
          <w:rFonts w:ascii="Calibri" w:cs="Calibri"/>
        </w:rPr>
      </w:pPr>
      <w:r w:rsidRPr="00317E7D">
        <w:rPr>
          <w:rFonts w:ascii="Calibri" w:cs="Calibri"/>
        </w:rPr>
        <w:t>256.</w:t>
      </w:r>
      <w:r w:rsidRPr="00317E7D">
        <w:rPr>
          <w:rFonts w:ascii="Calibri" w:cs="Calibri"/>
        </w:rPr>
        <w:tab/>
        <w:t xml:space="preserve">Tu, T.-Y. </w:t>
      </w:r>
      <w:r w:rsidRPr="00317E7D">
        <w:rPr>
          <w:rFonts w:ascii="Calibri" w:cs="Calibri"/>
          <w:i/>
          <w:iCs/>
        </w:rPr>
        <w:t>et al.</w:t>
      </w:r>
      <w:r w:rsidRPr="00317E7D">
        <w:rPr>
          <w:rFonts w:ascii="Calibri" w:cs="Calibri"/>
        </w:rPr>
        <w:t xml:space="preserve"> Rapid Prototyping of Concave Microwells for the Formation of 3D Multicellular Cancer Aggregates for Drug Screening. </w:t>
      </w:r>
      <w:r w:rsidRPr="00317E7D">
        <w:rPr>
          <w:rFonts w:ascii="Calibri" w:cs="Calibri"/>
          <w:i/>
          <w:iCs/>
        </w:rPr>
        <w:t>Adv. Healthcare Mater.</w:t>
      </w:r>
      <w:r w:rsidRPr="00317E7D">
        <w:rPr>
          <w:rFonts w:ascii="Calibri" w:cs="Calibri"/>
        </w:rPr>
        <w:t xml:space="preserve"> </w:t>
      </w:r>
      <w:r w:rsidRPr="00317E7D">
        <w:rPr>
          <w:rFonts w:ascii="Calibri" w:cs="Calibri"/>
          <w:b/>
          <w:bCs/>
        </w:rPr>
        <w:t>3</w:t>
      </w:r>
      <w:r w:rsidRPr="00317E7D">
        <w:rPr>
          <w:rFonts w:ascii="Calibri" w:cs="Calibri"/>
        </w:rPr>
        <w:t>, 609–616 (2014).</w:t>
      </w:r>
    </w:p>
    <w:p w14:paraId="03E823EF" w14:textId="77777777" w:rsidR="00317E7D" w:rsidRPr="00317E7D" w:rsidRDefault="00317E7D" w:rsidP="00317E7D">
      <w:pPr>
        <w:pStyle w:val="Bibliography"/>
        <w:rPr>
          <w:rFonts w:ascii="Calibri" w:cs="Calibri"/>
        </w:rPr>
      </w:pPr>
      <w:r w:rsidRPr="00317E7D">
        <w:rPr>
          <w:rFonts w:ascii="Calibri" w:cs="Calibri"/>
        </w:rPr>
        <w:t>257.</w:t>
      </w:r>
      <w:r w:rsidRPr="00317E7D">
        <w:rPr>
          <w:rFonts w:ascii="Calibri" w:cs="Calibri"/>
        </w:rPr>
        <w:tab/>
        <w:t xml:space="preserve">Chao, C., Ngo, L. P. &amp; Engelward, B. P. SpheroidChip: Patterned Agarose Microwell Compartments Harboring HepG2 Spheroids are Compatible with Genotoxicity Testing. </w:t>
      </w:r>
      <w:r w:rsidRPr="00317E7D">
        <w:rPr>
          <w:rFonts w:ascii="Calibri" w:cs="Calibri"/>
          <w:i/>
          <w:iCs/>
        </w:rPr>
        <w:t>ACS Biomater. Sci. Eng.</w:t>
      </w:r>
      <w:r w:rsidRPr="00317E7D">
        <w:rPr>
          <w:rFonts w:ascii="Calibri" w:cs="Calibri"/>
        </w:rPr>
        <w:t xml:space="preserve"> </w:t>
      </w:r>
      <w:r w:rsidRPr="00317E7D">
        <w:rPr>
          <w:rFonts w:ascii="Calibri" w:cs="Calibri"/>
          <w:b/>
          <w:bCs/>
        </w:rPr>
        <w:t>6</w:t>
      </w:r>
      <w:r w:rsidRPr="00317E7D">
        <w:rPr>
          <w:rFonts w:ascii="Calibri" w:cs="Calibri"/>
        </w:rPr>
        <w:t>, 2427–2439 (2020).</w:t>
      </w:r>
    </w:p>
    <w:p w14:paraId="7BB7329B" w14:textId="77777777" w:rsidR="00317E7D" w:rsidRPr="00317E7D" w:rsidRDefault="00317E7D" w:rsidP="00317E7D">
      <w:pPr>
        <w:pStyle w:val="Bibliography"/>
        <w:rPr>
          <w:rFonts w:ascii="Calibri" w:cs="Calibri"/>
        </w:rPr>
      </w:pPr>
      <w:r w:rsidRPr="00317E7D">
        <w:rPr>
          <w:rFonts w:ascii="Calibri" w:cs="Calibri"/>
        </w:rPr>
        <w:t>258.</w:t>
      </w:r>
      <w:r w:rsidRPr="00317E7D">
        <w:rPr>
          <w:rFonts w:ascii="Calibri" w:cs="Calibri"/>
        </w:rPr>
        <w:tab/>
        <w:t xml:space="preserve">Gong, X. </w:t>
      </w:r>
      <w:r w:rsidRPr="00317E7D">
        <w:rPr>
          <w:rFonts w:ascii="Calibri" w:cs="Calibri"/>
          <w:i/>
          <w:iCs/>
        </w:rPr>
        <w:t>et al.</w:t>
      </w:r>
      <w:r w:rsidRPr="00317E7D">
        <w:rPr>
          <w:rFonts w:ascii="Calibri" w:cs="Calibri"/>
        </w:rPr>
        <w:t xml:space="preserve"> Generation of Multicellular Tumor Spheroids with Microwell-Based Agarose Scaffolds for Drug Testing. </w:t>
      </w:r>
      <w:r w:rsidRPr="00317E7D">
        <w:rPr>
          <w:rFonts w:ascii="Calibri" w:cs="Calibri"/>
          <w:i/>
          <w:iCs/>
        </w:rPr>
        <w:t>PLOS ONE</w:t>
      </w:r>
      <w:r w:rsidRPr="00317E7D">
        <w:rPr>
          <w:rFonts w:ascii="Calibri" w:cs="Calibri"/>
        </w:rPr>
        <w:t xml:space="preserve"> </w:t>
      </w:r>
      <w:r w:rsidRPr="00317E7D">
        <w:rPr>
          <w:rFonts w:ascii="Calibri" w:cs="Calibri"/>
          <w:b/>
          <w:bCs/>
        </w:rPr>
        <w:t>10</w:t>
      </w:r>
      <w:r w:rsidRPr="00317E7D">
        <w:rPr>
          <w:rFonts w:ascii="Calibri" w:cs="Calibri"/>
        </w:rPr>
        <w:t>, e0130348 (2015).</w:t>
      </w:r>
    </w:p>
    <w:p w14:paraId="3E1D59A6" w14:textId="77777777" w:rsidR="00317E7D" w:rsidRPr="00317E7D" w:rsidRDefault="00317E7D" w:rsidP="00317E7D">
      <w:pPr>
        <w:pStyle w:val="Bibliography"/>
        <w:rPr>
          <w:rFonts w:ascii="Calibri" w:cs="Calibri"/>
        </w:rPr>
      </w:pPr>
      <w:r w:rsidRPr="00317E7D">
        <w:rPr>
          <w:rFonts w:ascii="Calibri" w:cs="Calibri"/>
        </w:rPr>
        <w:t>259.</w:t>
      </w:r>
      <w:r w:rsidRPr="00317E7D">
        <w:rPr>
          <w:rFonts w:ascii="Calibri" w:cs="Calibri"/>
        </w:rPr>
        <w:tab/>
        <w:t xml:space="preserve">Mirab, F., Kang, Y. J. &amp; Majd, S. Preparation and characterization of size-controlled glioma spheroids using agarose hydrogel microwells. </w:t>
      </w:r>
      <w:r w:rsidRPr="00317E7D">
        <w:rPr>
          <w:rFonts w:ascii="Calibri" w:cs="Calibri"/>
          <w:i/>
          <w:iCs/>
        </w:rPr>
        <w:t>PLOS ONE</w:t>
      </w:r>
      <w:r w:rsidRPr="00317E7D">
        <w:rPr>
          <w:rFonts w:ascii="Calibri" w:cs="Calibri"/>
        </w:rPr>
        <w:t xml:space="preserve"> </w:t>
      </w:r>
      <w:r w:rsidRPr="00317E7D">
        <w:rPr>
          <w:rFonts w:ascii="Calibri" w:cs="Calibri"/>
          <w:b/>
          <w:bCs/>
        </w:rPr>
        <w:t>14</w:t>
      </w:r>
      <w:r w:rsidRPr="00317E7D">
        <w:rPr>
          <w:rFonts w:ascii="Calibri" w:cs="Calibri"/>
        </w:rPr>
        <w:t>, e0211078 (2019).</w:t>
      </w:r>
    </w:p>
    <w:p w14:paraId="0704FA2B" w14:textId="77777777" w:rsidR="00317E7D" w:rsidRPr="00317E7D" w:rsidRDefault="00317E7D" w:rsidP="00317E7D">
      <w:pPr>
        <w:pStyle w:val="Bibliography"/>
        <w:rPr>
          <w:rFonts w:ascii="Calibri" w:cs="Calibri"/>
        </w:rPr>
      </w:pPr>
      <w:r w:rsidRPr="00317E7D">
        <w:rPr>
          <w:rFonts w:ascii="Calibri" w:cs="Calibri"/>
        </w:rPr>
        <w:lastRenderedPageBreak/>
        <w:t>260.</w:t>
      </w:r>
      <w:r w:rsidRPr="00317E7D">
        <w:rPr>
          <w:rFonts w:ascii="Calibri" w:cs="Calibri"/>
        </w:rPr>
        <w:tab/>
        <w:t xml:space="preserve">Casey, R. C. </w:t>
      </w:r>
      <w:r w:rsidRPr="00317E7D">
        <w:rPr>
          <w:rFonts w:ascii="Calibri" w:cs="Calibri"/>
          <w:i/>
          <w:iCs/>
        </w:rPr>
        <w:t>et al.</w:t>
      </w:r>
      <w:r w:rsidRPr="00317E7D">
        <w:rPr>
          <w:rFonts w:ascii="Calibri" w:cs="Calibri"/>
        </w:rPr>
        <w:t xml:space="preserve"> β1-Integrins Regulate the Formation and Adhesion of Ovarian Carcinoma Multicellular Spheroids. </w:t>
      </w:r>
      <w:r w:rsidRPr="00317E7D">
        <w:rPr>
          <w:rFonts w:ascii="Calibri" w:cs="Calibri"/>
          <w:i/>
          <w:iCs/>
        </w:rPr>
        <w:t>The American Journal of Pathology</w:t>
      </w:r>
      <w:r w:rsidRPr="00317E7D">
        <w:rPr>
          <w:rFonts w:ascii="Calibri" w:cs="Calibri"/>
        </w:rPr>
        <w:t xml:space="preserve"> </w:t>
      </w:r>
      <w:r w:rsidRPr="00317E7D">
        <w:rPr>
          <w:rFonts w:ascii="Calibri" w:cs="Calibri"/>
          <w:b/>
          <w:bCs/>
        </w:rPr>
        <w:t>159</w:t>
      </w:r>
      <w:r w:rsidRPr="00317E7D">
        <w:rPr>
          <w:rFonts w:ascii="Calibri" w:cs="Calibri"/>
        </w:rPr>
        <w:t>, 2071–2080 (2001).</w:t>
      </w:r>
    </w:p>
    <w:p w14:paraId="64FDF453" w14:textId="77777777" w:rsidR="00317E7D" w:rsidRPr="00317E7D" w:rsidRDefault="00317E7D" w:rsidP="00317E7D">
      <w:pPr>
        <w:pStyle w:val="Bibliography"/>
        <w:rPr>
          <w:rFonts w:ascii="Calibri" w:cs="Calibri"/>
        </w:rPr>
      </w:pPr>
      <w:r w:rsidRPr="00317E7D">
        <w:rPr>
          <w:rFonts w:ascii="Calibri" w:cs="Calibri"/>
        </w:rPr>
        <w:t>261.</w:t>
      </w:r>
      <w:r w:rsidRPr="00317E7D">
        <w:rPr>
          <w:rFonts w:ascii="Calibri" w:cs="Calibri"/>
        </w:rPr>
        <w:tab/>
        <w:t xml:space="preserve">Del Duca, D., Werbowetski, T. &amp; Del Maestro, R. F. Spheroid Preparation from Hanging Drops: Characterization of a Model of Brain Tumor Invasion. </w:t>
      </w:r>
      <w:r w:rsidRPr="00317E7D">
        <w:rPr>
          <w:rFonts w:ascii="Calibri" w:cs="Calibri"/>
          <w:i/>
          <w:iCs/>
        </w:rPr>
        <w:t>J Neurooncol</w:t>
      </w:r>
      <w:r w:rsidRPr="00317E7D">
        <w:rPr>
          <w:rFonts w:ascii="Calibri" w:cs="Calibri"/>
        </w:rPr>
        <w:t xml:space="preserve"> </w:t>
      </w:r>
      <w:r w:rsidRPr="00317E7D">
        <w:rPr>
          <w:rFonts w:ascii="Calibri" w:cs="Calibri"/>
          <w:b/>
          <w:bCs/>
        </w:rPr>
        <w:t>67</w:t>
      </w:r>
      <w:r w:rsidRPr="00317E7D">
        <w:rPr>
          <w:rFonts w:ascii="Calibri" w:cs="Calibri"/>
        </w:rPr>
        <w:t>, 295–303 (2004).</w:t>
      </w:r>
    </w:p>
    <w:p w14:paraId="7D92F089" w14:textId="77777777" w:rsidR="00317E7D" w:rsidRPr="00317E7D" w:rsidRDefault="00317E7D" w:rsidP="00317E7D">
      <w:pPr>
        <w:pStyle w:val="Bibliography"/>
        <w:rPr>
          <w:rFonts w:ascii="Calibri" w:cs="Calibri"/>
        </w:rPr>
      </w:pPr>
      <w:r w:rsidRPr="00317E7D">
        <w:rPr>
          <w:rFonts w:ascii="Calibri" w:cs="Calibri"/>
        </w:rPr>
        <w:t>262.</w:t>
      </w:r>
      <w:r w:rsidRPr="00317E7D">
        <w:rPr>
          <w:rFonts w:ascii="Calibri" w:cs="Calibri"/>
        </w:rPr>
        <w:tab/>
        <w:t xml:space="preserve">Kelm, J. M., Timmins, N. E., Brown, C. J., Fussenegger, M. &amp; Nielsen, L. K. Method for generation of homogeneous multicellular tumor spheroids applicable to a wide variety of cell types. </w:t>
      </w:r>
      <w:r w:rsidRPr="00317E7D">
        <w:rPr>
          <w:rFonts w:ascii="Calibri" w:cs="Calibri"/>
          <w:i/>
          <w:iCs/>
        </w:rPr>
        <w:t>Biotechnol. Bioeng.</w:t>
      </w:r>
      <w:r w:rsidRPr="00317E7D">
        <w:rPr>
          <w:rFonts w:ascii="Calibri" w:cs="Calibri"/>
        </w:rPr>
        <w:t xml:space="preserve"> </w:t>
      </w:r>
      <w:r w:rsidRPr="00317E7D">
        <w:rPr>
          <w:rFonts w:ascii="Calibri" w:cs="Calibri"/>
          <w:b/>
          <w:bCs/>
        </w:rPr>
        <w:t>83</w:t>
      </w:r>
      <w:r w:rsidRPr="00317E7D">
        <w:rPr>
          <w:rFonts w:ascii="Calibri" w:cs="Calibri"/>
        </w:rPr>
        <w:t>, 173–180 (2003).</w:t>
      </w:r>
    </w:p>
    <w:p w14:paraId="0922B68D" w14:textId="77777777" w:rsidR="00317E7D" w:rsidRPr="00317E7D" w:rsidRDefault="00317E7D" w:rsidP="00317E7D">
      <w:pPr>
        <w:pStyle w:val="Bibliography"/>
        <w:rPr>
          <w:rFonts w:ascii="Calibri" w:cs="Calibri"/>
        </w:rPr>
      </w:pPr>
      <w:r w:rsidRPr="00317E7D">
        <w:rPr>
          <w:rFonts w:ascii="Calibri" w:cs="Calibri"/>
        </w:rPr>
        <w:t>263.</w:t>
      </w:r>
      <w:r w:rsidRPr="00317E7D">
        <w:rPr>
          <w:rFonts w:ascii="Calibri" w:cs="Calibri"/>
        </w:rPr>
        <w:tab/>
        <w:t xml:space="preserve">Tung, Y.-C. </w:t>
      </w:r>
      <w:r w:rsidRPr="00317E7D">
        <w:rPr>
          <w:rFonts w:ascii="Calibri" w:cs="Calibri"/>
          <w:i/>
          <w:iCs/>
        </w:rPr>
        <w:t>et al.</w:t>
      </w:r>
      <w:r w:rsidRPr="00317E7D">
        <w:rPr>
          <w:rFonts w:ascii="Calibri" w:cs="Calibri"/>
        </w:rPr>
        <w:t xml:space="preserve"> High-throughput 3D spheroid culture and drug testing using a 384 hanging drop array. </w:t>
      </w:r>
      <w:r w:rsidRPr="00317E7D">
        <w:rPr>
          <w:rFonts w:ascii="Calibri" w:cs="Calibri"/>
          <w:i/>
          <w:iCs/>
        </w:rPr>
        <w:t>Analyst</w:t>
      </w:r>
      <w:r w:rsidRPr="00317E7D">
        <w:rPr>
          <w:rFonts w:ascii="Calibri" w:cs="Calibri"/>
        </w:rPr>
        <w:t xml:space="preserve"> </w:t>
      </w:r>
      <w:r w:rsidRPr="00317E7D">
        <w:rPr>
          <w:rFonts w:ascii="Calibri" w:cs="Calibri"/>
          <w:b/>
          <w:bCs/>
        </w:rPr>
        <w:t>136</w:t>
      </w:r>
      <w:r w:rsidRPr="00317E7D">
        <w:rPr>
          <w:rFonts w:ascii="Calibri" w:cs="Calibri"/>
        </w:rPr>
        <w:t>, 473–478 (2011).</w:t>
      </w:r>
    </w:p>
    <w:p w14:paraId="13C1FF97" w14:textId="77777777" w:rsidR="00317E7D" w:rsidRPr="00317E7D" w:rsidRDefault="00317E7D" w:rsidP="00317E7D">
      <w:pPr>
        <w:pStyle w:val="Bibliography"/>
        <w:rPr>
          <w:rFonts w:ascii="Calibri" w:cs="Calibri"/>
        </w:rPr>
      </w:pPr>
      <w:r w:rsidRPr="00317E7D">
        <w:rPr>
          <w:rFonts w:ascii="Calibri" w:cs="Calibri"/>
        </w:rPr>
        <w:t>264.</w:t>
      </w:r>
      <w:r w:rsidRPr="00317E7D">
        <w:rPr>
          <w:rFonts w:ascii="Calibri" w:cs="Calibri"/>
        </w:rPr>
        <w:tab/>
        <w:t xml:space="preserve">Amaral, R. L. F., Miranda, M., Marcato, P. D. &amp; Swiech, K. Comparative Analysis of 3D Bladder Tumor Spheroids Obtained by Forced Floating and Hanging Drop Methods for Drug Screening. </w:t>
      </w:r>
      <w:r w:rsidRPr="00317E7D">
        <w:rPr>
          <w:rFonts w:ascii="Calibri" w:cs="Calibri"/>
          <w:i/>
          <w:iCs/>
        </w:rPr>
        <w:t>Front. Physiol.</w:t>
      </w:r>
      <w:r w:rsidRPr="00317E7D">
        <w:rPr>
          <w:rFonts w:ascii="Calibri" w:cs="Calibri"/>
        </w:rPr>
        <w:t xml:space="preserve"> </w:t>
      </w:r>
      <w:r w:rsidRPr="00317E7D">
        <w:rPr>
          <w:rFonts w:ascii="Calibri" w:cs="Calibri"/>
          <w:b/>
          <w:bCs/>
        </w:rPr>
        <w:t>8</w:t>
      </w:r>
      <w:r w:rsidRPr="00317E7D">
        <w:rPr>
          <w:rFonts w:ascii="Calibri" w:cs="Calibri"/>
        </w:rPr>
        <w:t>, 605 (2017).</w:t>
      </w:r>
    </w:p>
    <w:p w14:paraId="1476F875" w14:textId="77777777" w:rsidR="00317E7D" w:rsidRPr="00317E7D" w:rsidRDefault="00317E7D" w:rsidP="00317E7D">
      <w:pPr>
        <w:pStyle w:val="Bibliography"/>
        <w:rPr>
          <w:rFonts w:ascii="Calibri" w:cs="Calibri"/>
        </w:rPr>
      </w:pPr>
      <w:r w:rsidRPr="00317E7D">
        <w:rPr>
          <w:rFonts w:ascii="Calibri" w:cs="Calibri"/>
        </w:rPr>
        <w:t>265.</w:t>
      </w:r>
      <w:r w:rsidRPr="00317E7D">
        <w:rPr>
          <w:rFonts w:ascii="Calibri" w:cs="Calibri"/>
        </w:rPr>
        <w:tab/>
        <w:t xml:space="preserve">Achilli, T.-M., Meyer, J. &amp; Morgan, J. R. Advances in the formation, use and understanding of multi-cellular spheroids. </w:t>
      </w:r>
      <w:r w:rsidRPr="00317E7D">
        <w:rPr>
          <w:rFonts w:ascii="Calibri" w:cs="Calibri"/>
          <w:i/>
          <w:iCs/>
        </w:rPr>
        <w:t>Expert Opinion on Biological Therapy</w:t>
      </w:r>
      <w:r w:rsidRPr="00317E7D">
        <w:rPr>
          <w:rFonts w:ascii="Calibri" w:cs="Calibri"/>
        </w:rPr>
        <w:t xml:space="preserve"> </w:t>
      </w:r>
      <w:r w:rsidRPr="00317E7D">
        <w:rPr>
          <w:rFonts w:ascii="Calibri" w:cs="Calibri"/>
          <w:b/>
          <w:bCs/>
        </w:rPr>
        <w:t>12</w:t>
      </w:r>
      <w:r w:rsidRPr="00317E7D">
        <w:rPr>
          <w:rFonts w:ascii="Calibri" w:cs="Calibri"/>
        </w:rPr>
        <w:t>, 1347–1360 (2012).</w:t>
      </w:r>
    </w:p>
    <w:p w14:paraId="3326679D" w14:textId="77777777" w:rsidR="00317E7D" w:rsidRPr="00317E7D" w:rsidRDefault="00317E7D" w:rsidP="00317E7D">
      <w:pPr>
        <w:pStyle w:val="Bibliography"/>
        <w:rPr>
          <w:rFonts w:ascii="Calibri" w:cs="Calibri"/>
        </w:rPr>
      </w:pPr>
      <w:r w:rsidRPr="00317E7D">
        <w:rPr>
          <w:rFonts w:ascii="Calibri" w:cs="Calibri"/>
        </w:rPr>
        <w:t>266.</w:t>
      </w:r>
      <w:r w:rsidRPr="00317E7D">
        <w:rPr>
          <w:rFonts w:ascii="Calibri" w:cs="Calibri"/>
        </w:rPr>
        <w:tab/>
        <w:t xml:space="preserve">Castañeda, F. &amp; Kinne, R. K. H. Short exposure to millimolar concentrations of ethanol induces apoptotic cell death in multicellular HepG2 spheroids. </w:t>
      </w:r>
      <w:r w:rsidRPr="00317E7D">
        <w:rPr>
          <w:rFonts w:ascii="Calibri" w:cs="Calibri"/>
          <w:i/>
          <w:iCs/>
        </w:rPr>
        <w:t>J Cancer Res Clin Oncol</w:t>
      </w:r>
      <w:r w:rsidRPr="00317E7D">
        <w:rPr>
          <w:rFonts w:ascii="Calibri" w:cs="Calibri"/>
        </w:rPr>
        <w:t xml:space="preserve"> </w:t>
      </w:r>
      <w:r w:rsidRPr="00317E7D">
        <w:rPr>
          <w:rFonts w:ascii="Calibri" w:cs="Calibri"/>
          <w:b/>
          <w:bCs/>
        </w:rPr>
        <w:t>126</w:t>
      </w:r>
      <w:r w:rsidRPr="00317E7D">
        <w:rPr>
          <w:rFonts w:ascii="Calibri" w:cs="Calibri"/>
        </w:rPr>
        <w:t>, 305–310 (2000).</w:t>
      </w:r>
    </w:p>
    <w:p w14:paraId="6361B3F8" w14:textId="77777777" w:rsidR="00317E7D" w:rsidRPr="00317E7D" w:rsidRDefault="00317E7D" w:rsidP="00317E7D">
      <w:pPr>
        <w:pStyle w:val="Bibliography"/>
        <w:rPr>
          <w:rFonts w:ascii="Calibri" w:cs="Calibri"/>
        </w:rPr>
      </w:pPr>
      <w:r w:rsidRPr="00317E7D">
        <w:rPr>
          <w:rFonts w:ascii="Calibri" w:cs="Calibri"/>
        </w:rPr>
        <w:t>267.</w:t>
      </w:r>
      <w:r w:rsidRPr="00317E7D">
        <w:rPr>
          <w:rFonts w:ascii="Calibri" w:cs="Calibri"/>
        </w:rPr>
        <w:tab/>
        <w:t xml:space="preserve">Okubo, H. </w:t>
      </w:r>
      <w:r w:rsidRPr="00317E7D">
        <w:rPr>
          <w:rFonts w:ascii="Calibri" w:cs="Calibri"/>
          <w:i/>
          <w:iCs/>
        </w:rPr>
        <w:t>et al.</w:t>
      </w:r>
      <w:r w:rsidRPr="00317E7D">
        <w:rPr>
          <w:rFonts w:ascii="Calibri" w:cs="Calibri"/>
        </w:rPr>
        <w:t xml:space="preserve"> A Novel Method for Faster Formation of Rat Liver Cell Spheroids. </w:t>
      </w:r>
      <w:r w:rsidRPr="00317E7D">
        <w:rPr>
          <w:rFonts w:ascii="Calibri" w:cs="Calibri"/>
          <w:i/>
          <w:iCs/>
        </w:rPr>
        <w:t>Artificial Organs</w:t>
      </w:r>
      <w:r w:rsidRPr="00317E7D">
        <w:rPr>
          <w:rFonts w:ascii="Calibri" w:cs="Calibri"/>
        </w:rPr>
        <w:t xml:space="preserve"> </w:t>
      </w:r>
      <w:r w:rsidRPr="00317E7D">
        <w:rPr>
          <w:rFonts w:ascii="Calibri" w:cs="Calibri"/>
          <w:b/>
          <w:bCs/>
        </w:rPr>
        <w:t>26</w:t>
      </w:r>
      <w:r w:rsidRPr="00317E7D">
        <w:rPr>
          <w:rFonts w:ascii="Calibri" w:cs="Calibri"/>
        </w:rPr>
        <w:t>, 497–505 (2002).</w:t>
      </w:r>
    </w:p>
    <w:p w14:paraId="36422B4D" w14:textId="77777777" w:rsidR="00317E7D" w:rsidRPr="00317E7D" w:rsidRDefault="00317E7D" w:rsidP="00317E7D">
      <w:pPr>
        <w:pStyle w:val="Bibliography"/>
        <w:rPr>
          <w:rFonts w:ascii="Calibri" w:cs="Calibri"/>
        </w:rPr>
      </w:pPr>
      <w:r w:rsidRPr="00317E7D">
        <w:rPr>
          <w:rFonts w:ascii="Calibri" w:cs="Calibri"/>
        </w:rPr>
        <w:t>268.</w:t>
      </w:r>
      <w:r w:rsidRPr="00317E7D">
        <w:rPr>
          <w:rFonts w:ascii="Calibri" w:cs="Calibri"/>
        </w:rPr>
        <w:tab/>
        <w:t xml:space="preserve">Jaganathan, H. </w:t>
      </w:r>
      <w:r w:rsidRPr="00317E7D">
        <w:rPr>
          <w:rFonts w:ascii="Calibri" w:cs="Calibri"/>
          <w:i/>
          <w:iCs/>
        </w:rPr>
        <w:t>et al.</w:t>
      </w:r>
      <w:r w:rsidRPr="00317E7D">
        <w:rPr>
          <w:rFonts w:ascii="Calibri" w:cs="Calibri"/>
        </w:rPr>
        <w:t xml:space="preserve"> Three-Dimensional In Vitro Co-Culture Model of Breast Tumor using Magnetic Levitation. </w:t>
      </w:r>
      <w:r w:rsidRPr="00317E7D">
        <w:rPr>
          <w:rFonts w:ascii="Calibri" w:cs="Calibri"/>
          <w:i/>
          <w:iCs/>
        </w:rPr>
        <w:t>Sci Rep</w:t>
      </w:r>
      <w:r w:rsidRPr="00317E7D">
        <w:rPr>
          <w:rFonts w:ascii="Calibri" w:cs="Calibri"/>
        </w:rPr>
        <w:t xml:space="preserve"> </w:t>
      </w:r>
      <w:r w:rsidRPr="00317E7D">
        <w:rPr>
          <w:rFonts w:ascii="Calibri" w:cs="Calibri"/>
          <w:b/>
          <w:bCs/>
        </w:rPr>
        <w:t>4</w:t>
      </w:r>
      <w:r w:rsidRPr="00317E7D">
        <w:rPr>
          <w:rFonts w:ascii="Calibri" w:cs="Calibri"/>
        </w:rPr>
        <w:t>, 6468 (2015).</w:t>
      </w:r>
    </w:p>
    <w:p w14:paraId="23840CA1" w14:textId="77777777" w:rsidR="00317E7D" w:rsidRPr="00317E7D" w:rsidRDefault="00317E7D" w:rsidP="00317E7D">
      <w:pPr>
        <w:pStyle w:val="Bibliography"/>
        <w:rPr>
          <w:rFonts w:ascii="Calibri" w:cs="Calibri"/>
        </w:rPr>
      </w:pPr>
      <w:r w:rsidRPr="00317E7D">
        <w:rPr>
          <w:rFonts w:ascii="Calibri" w:cs="Calibri"/>
        </w:rPr>
        <w:lastRenderedPageBreak/>
        <w:t>269.</w:t>
      </w:r>
      <w:r w:rsidRPr="00317E7D">
        <w:rPr>
          <w:rFonts w:ascii="Calibri" w:cs="Calibri"/>
        </w:rPr>
        <w:tab/>
        <w:t xml:space="preserve">Daquinag, A. C., Souza, G. R. &amp; Kolonin, M. G. Adipose Tissue Engineering in Three-Dimensional Levitation Tissue Culture System Based on Magnetic Nanoparticles. </w:t>
      </w:r>
      <w:r w:rsidRPr="00317E7D">
        <w:rPr>
          <w:rFonts w:ascii="Calibri" w:cs="Calibri"/>
          <w:i/>
          <w:iCs/>
        </w:rPr>
        <w:t>Tissue Engineering Part C: Methods</w:t>
      </w:r>
      <w:r w:rsidRPr="00317E7D">
        <w:rPr>
          <w:rFonts w:ascii="Calibri" w:cs="Calibri"/>
        </w:rPr>
        <w:t xml:space="preserve"> </w:t>
      </w:r>
      <w:r w:rsidRPr="00317E7D">
        <w:rPr>
          <w:rFonts w:ascii="Calibri" w:cs="Calibri"/>
          <w:b/>
          <w:bCs/>
        </w:rPr>
        <w:t>19</w:t>
      </w:r>
      <w:r w:rsidRPr="00317E7D">
        <w:rPr>
          <w:rFonts w:ascii="Calibri" w:cs="Calibri"/>
        </w:rPr>
        <w:t>, 336–344 (2013).</w:t>
      </w:r>
    </w:p>
    <w:p w14:paraId="1BE5464C" w14:textId="77777777" w:rsidR="00317E7D" w:rsidRPr="00317E7D" w:rsidRDefault="00317E7D" w:rsidP="00317E7D">
      <w:pPr>
        <w:pStyle w:val="Bibliography"/>
        <w:rPr>
          <w:rFonts w:ascii="Calibri" w:cs="Calibri"/>
        </w:rPr>
      </w:pPr>
      <w:r w:rsidRPr="00317E7D">
        <w:rPr>
          <w:rFonts w:ascii="Calibri" w:cs="Calibri"/>
        </w:rPr>
        <w:t>270.</w:t>
      </w:r>
      <w:r w:rsidRPr="00317E7D">
        <w:rPr>
          <w:rFonts w:ascii="Calibri" w:cs="Calibri"/>
        </w:rPr>
        <w:tab/>
        <w:t xml:space="preserve">Tseng, H. </w:t>
      </w:r>
      <w:r w:rsidRPr="00317E7D">
        <w:rPr>
          <w:rFonts w:ascii="Calibri" w:cs="Calibri"/>
          <w:i/>
          <w:iCs/>
        </w:rPr>
        <w:t>et al.</w:t>
      </w:r>
      <w:r w:rsidRPr="00317E7D">
        <w:rPr>
          <w:rFonts w:ascii="Calibri" w:cs="Calibri"/>
        </w:rPr>
        <w:t xml:space="preserve"> Assembly of a Three-Dimensional Multitype Bronchiole Coculture Model Using Magnetic Levitation. </w:t>
      </w:r>
      <w:r w:rsidRPr="00317E7D">
        <w:rPr>
          <w:rFonts w:ascii="Calibri" w:cs="Calibri"/>
          <w:i/>
          <w:iCs/>
        </w:rPr>
        <w:t>Tissue Engineering Part C: Methods</w:t>
      </w:r>
      <w:r w:rsidRPr="00317E7D">
        <w:rPr>
          <w:rFonts w:ascii="Calibri" w:cs="Calibri"/>
        </w:rPr>
        <w:t xml:space="preserve"> </w:t>
      </w:r>
      <w:r w:rsidRPr="00317E7D">
        <w:rPr>
          <w:rFonts w:ascii="Calibri" w:cs="Calibri"/>
          <w:b/>
          <w:bCs/>
        </w:rPr>
        <w:t>19</w:t>
      </w:r>
      <w:r w:rsidRPr="00317E7D">
        <w:rPr>
          <w:rFonts w:ascii="Calibri" w:cs="Calibri"/>
        </w:rPr>
        <w:t>, 665–675 (2013).</w:t>
      </w:r>
    </w:p>
    <w:p w14:paraId="45C681DD" w14:textId="77777777" w:rsidR="00317E7D" w:rsidRPr="00317E7D" w:rsidRDefault="00317E7D" w:rsidP="00317E7D">
      <w:pPr>
        <w:pStyle w:val="Bibliography"/>
        <w:rPr>
          <w:rFonts w:ascii="Calibri" w:cs="Calibri"/>
        </w:rPr>
      </w:pPr>
      <w:r w:rsidRPr="00317E7D">
        <w:rPr>
          <w:rFonts w:ascii="Calibri" w:cs="Calibri"/>
        </w:rPr>
        <w:t>271.</w:t>
      </w:r>
      <w:r w:rsidRPr="00317E7D">
        <w:rPr>
          <w:rFonts w:ascii="Calibri" w:cs="Calibri"/>
        </w:rPr>
        <w:tab/>
        <w:t xml:space="preserve">Lewis, N. S. </w:t>
      </w:r>
      <w:r w:rsidRPr="00317E7D">
        <w:rPr>
          <w:rFonts w:ascii="Calibri" w:cs="Calibri"/>
          <w:i/>
          <w:iCs/>
        </w:rPr>
        <w:t>et al.</w:t>
      </w:r>
      <w:r w:rsidRPr="00317E7D">
        <w:rPr>
          <w:rFonts w:ascii="Calibri" w:cs="Calibri"/>
        </w:rPr>
        <w:t xml:space="preserve"> Magnetically levitated mesenchymal stem cell spheroids cultured with a collagen gel maintain phenotype and quiescence. </w:t>
      </w:r>
      <w:r w:rsidRPr="00317E7D">
        <w:rPr>
          <w:rFonts w:ascii="Calibri" w:cs="Calibri"/>
          <w:i/>
          <w:iCs/>
        </w:rPr>
        <w:t>J Tissue Eng</w:t>
      </w:r>
      <w:r w:rsidRPr="00317E7D">
        <w:rPr>
          <w:rFonts w:ascii="Calibri" w:cs="Calibri"/>
        </w:rPr>
        <w:t xml:space="preserve"> </w:t>
      </w:r>
      <w:r w:rsidRPr="00317E7D">
        <w:rPr>
          <w:rFonts w:ascii="Calibri" w:cs="Calibri"/>
          <w:b/>
          <w:bCs/>
        </w:rPr>
        <w:t>8</w:t>
      </w:r>
      <w:r w:rsidRPr="00317E7D">
        <w:rPr>
          <w:rFonts w:ascii="Calibri" w:cs="Calibri"/>
        </w:rPr>
        <w:t>, (2017).</w:t>
      </w:r>
    </w:p>
    <w:p w14:paraId="6B70D439" w14:textId="77777777" w:rsidR="00317E7D" w:rsidRPr="00317E7D" w:rsidRDefault="00317E7D" w:rsidP="00317E7D">
      <w:pPr>
        <w:pStyle w:val="Bibliography"/>
        <w:rPr>
          <w:rFonts w:ascii="Calibri" w:cs="Calibri"/>
        </w:rPr>
      </w:pPr>
      <w:r w:rsidRPr="00317E7D">
        <w:rPr>
          <w:rFonts w:ascii="Calibri" w:cs="Calibri"/>
        </w:rPr>
        <w:t>272.</w:t>
      </w:r>
      <w:r w:rsidRPr="00317E7D">
        <w:rPr>
          <w:rFonts w:ascii="Calibri" w:cs="Calibri"/>
        </w:rPr>
        <w:tab/>
        <w:t xml:space="preserve">Wang, Z. </w:t>
      </w:r>
      <w:r w:rsidRPr="00317E7D">
        <w:rPr>
          <w:rFonts w:ascii="Calibri" w:cs="Calibri"/>
          <w:i/>
          <w:iCs/>
        </w:rPr>
        <w:t>et al.</w:t>
      </w:r>
      <w:r w:rsidRPr="00317E7D">
        <w:rPr>
          <w:rFonts w:ascii="Calibri" w:cs="Calibri"/>
        </w:rPr>
        <w:t xml:space="preserve"> Inhibitory effects of a gradient static magnetic field on normal angiogenesis. </w:t>
      </w:r>
      <w:r w:rsidRPr="00317E7D">
        <w:rPr>
          <w:rFonts w:ascii="Calibri" w:cs="Calibri"/>
          <w:i/>
          <w:iCs/>
        </w:rPr>
        <w:t>Bioelectromagnetics</w:t>
      </w:r>
      <w:r w:rsidRPr="00317E7D">
        <w:rPr>
          <w:rFonts w:ascii="Calibri" w:cs="Calibri"/>
        </w:rPr>
        <w:t xml:space="preserve"> </w:t>
      </w:r>
      <w:r w:rsidRPr="00317E7D">
        <w:rPr>
          <w:rFonts w:ascii="Calibri" w:cs="Calibri"/>
          <w:b/>
          <w:bCs/>
        </w:rPr>
        <w:t>30</w:t>
      </w:r>
      <w:r w:rsidRPr="00317E7D">
        <w:rPr>
          <w:rFonts w:ascii="Calibri" w:cs="Calibri"/>
        </w:rPr>
        <w:t>, 446–453 (2009).</w:t>
      </w:r>
    </w:p>
    <w:p w14:paraId="628A7FD9" w14:textId="77777777" w:rsidR="00317E7D" w:rsidRPr="00317E7D" w:rsidRDefault="00317E7D" w:rsidP="00317E7D">
      <w:pPr>
        <w:pStyle w:val="Bibliography"/>
        <w:rPr>
          <w:rFonts w:ascii="Calibri" w:cs="Calibri"/>
        </w:rPr>
      </w:pPr>
      <w:r w:rsidRPr="00317E7D">
        <w:rPr>
          <w:rFonts w:ascii="Calibri" w:cs="Calibri"/>
        </w:rPr>
        <w:t>273.</w:t>
      </w:r>
      <w:r w:rsidRPr="00317E7D">
        <w:rPr>
          <w:rFonts w:ascii="Calibri" w:cs="Calibri"/>
        </w:rPr>
        <w:tab/>
        <w:t xml:space="preserve">Torre, L. A. </w:t>
      </w:r>
      <w:r w:rsidRPr="00317E7D">
        <w:rPr>
          <w:rFonts w:ascii="Calibri" w:cs="Calibri"/>
          <w:i/>
          <w:iCs/>
        </w:rPr>
        <w:t>et al.</w:t>
      </w:r>
      <w:r w:rsidRPr="00317E7D">
        <w:rPr>
          <w:rFonts w:ascii="Calibri" w:cs="Calibri"/>
        </w:rPr>
        <w:t xml:space="preserve"> Ovarian cancer statistics, 2018: Ovarian Cancer Statistics, 2018. </w:t>
      </w:r>
      <w:r w:rsidRPr="00317E7D">
        <w:rPr>
          <w:rFonts w:ascii="Calibri" w:cs="Calibri"/>
          <w:i/>
          <w:iCs/>
        </w:rPr>
        <w:t>CA: A Cancer Journal for Clinicians</w:t>
      </w:r>
      <w:r w:rsidRPr="00317E7D">
        <w:rPr>
          <w:rFonts w:ascii="Calibri" w:cs="Calibri"/>
        </w:rPr>
        <w:t xml:space="preserve"> </w:t>
      </w:r>
      <w:r w:rsidRPr="00317E7D">
        <w:rPr>
          <w:rFonts w:ascii="Calibri" w:cs="Calibri"/>
          <w:b/>
          <w:bCs/>
        </w:rPr>
        <w:t>68</w:t>
      </w:r>
      <w:r w:rsidRPr="00317E7D">
        <w:rPr>
          <w:rFonts w:ascii="Calibri" w:cs="Calibri"/>
        </w:rPr>
        <w:t>, 284–296 (2018).</w:t>
      </w:r>
    </w:p>
    <w:p w14:paraId="76578C75" w14:textId="77777777" w:rsidR="00317E7D" w:rsidRPr="00317E7D" w:rsidRDefault="00317E7D" w:rsidP="00317E7D">
      <w:pPr>
        <w:pStyle w:val="Bibliography"/>
        <w:rPr>
          <w:rFonts w:ascii="Calibri" w:cs="Calibri"/>
        </w:rPr>
      </w:pPr>
      <w:r w:rsidRPr="00317E7D">
        <w:rPr>
          <w:rFonts w:ascii="Calibri" w:cs="Calibri"/>
        </w:rPr>
        <w:t>274.</w:t>
      </w:r>
      <w:r w:rsidRPr="00317E7D">
        <w:rPr>
          <w:rFonts w:ascii="Calibri" w:cs="Calibri"/>
        </w:rPr>
        <w:tab/>
        <w:t xml:space="preserve">Lengyel, E. Ovarian cancer development and metastasis. </w:t>
      </w:r>
      <w:r w:rsidRPr="00317E7D">
        <w:rPr>
          <w:rFonts w:ascii="Calibri" w:cs="Calibri"/>
          <w:i/>
          <w:iCs/>
        </w:rPr>
        <w:t>American Journal of Pathology</w:t>
      </w:r>
      <w:r w:rsidRPr="00317E7D">
        <w:rPr>
          <w:rFonts w:ascii="Calibri" w:cs="Calibri"/>
        </w:rPr>
        <w:t xml:space="preserve"> </w:t>
      </w:r>
      <w:r w:rsidRPr="00317E7D">
        <w:rPr>
          <w:rFonts w:ascii="Calibri" w:cs="Calibri"/>
          <w:b/>
          <w:bCs/>
        </w:rPr>
        <w:t>177</w:t>
      </w:r>
      <w:r w:rsidRPr="00317E7D">
        <w:rPr>
          <w:rFonts w:ascii="Calibri" w:cs="Calibri"/>
        </w:rPr>
        <w:t>, 1053–1064 (2010).</w:t>
      </w:r>
    </w:p>
    <w:p w14:paraId="17B46289" w14:textId="77777777" w:rsidR="00317E7D" w:rsidRPr="00317E7D" w:rsidRDefault="00317E7D" w:rsidP="00317E7D">
      <w:pPr>
        <w:pStyle w:val="Bibliography"/>
        <w:rPr>
          <w:rFonts w:ascii="Calibri" w:cs="Calibri"/>
        </w:rPr>
      </w:pPr>
      <w:r w:rsidRPr="00317E7D">
        <w:rPr>
          <w:rFonts w:ascii="Calibri" w:cs="Calibri"/>
        </w:rPr>
        <w:t>275.</w:t>
      </w:r>
      <w:r w:rsidRPr="00317E7D">
        <w:rPr>
          <w:rFonts w:ascii="Calibri" w:cs="Calibri"/>
        </w:rPr>
        <w:tab/>
        <w:t xml:space="preserve">Kipps, E., Tan, D. S. P. &amp; Kaye, S. B. Meeting the challenge of ascites in ovarian cancer: New avenues for therapy and research. </w:t>
      </w:r>
      <w:r w:rsidRPr="00317E7D">
        <w:rPr>
          <w:rFonts w:ascii="Calibri" w:cs="Calibri"/>
          <w:i/>
          <w:iCs/>
        </w:rPr>
        <w:t>Nature Reviews Cancer</w:t>
      </w:r>
      <w:r w:rsidRPr="00317E7D">
        <w:rPr>
          <w:rFonts w:ascii="Calibri" w:cs="Calibri"/>
        </w:rPr>
        <w:t xml:space="preserve"> (2013) doi:10.1038/nrc3432.</w:t>
      </w:r>
    </w:p>
    <w:p w14:paraId="7E34E953" w14:textId="77777777" w:rsidR="00317E7D" w:rsidRPr="00317E7D" w:rsidRDefault="00317E7D" w:rsidP="00317E7D">
      <w:pPr>
        <w:pStyle w:val="Bibliography"/>
        <w:rPr>
          <w:rFonts w:ascii="Calibri" w:cs="Calibri"/>
        </w:rPr>
      </w:pPr>
      <w:r w:rsidRPr="00317E7D">
        <w:rPr>
          <w:rFonts w:ascii="Calibri" w:cs="Calibri"/>
        </w:rPr>
        <w:t>276.</w:t>
      </w:r>
      <w:r w:rsidRPr="00317E7D">
        <w:rPr>
          <w:rFonts w:ascii="Calibri" w:cs="Calibri"/>
        </w:rPr>
        <w:tab/>
        <w:t xml:space="preserve">Ayantunde, A. A. &amp; Parsons, S. L. Pattern and prognostic factors in patients with malignant ascites: a retrospective study. </w:t>
      </w:r>
      <w:r w:rsidRPr="00317E7D">
        <w:rPr>
          <w:rFonts w:ascii="Calibri" w:cs="Calibri"/>
          <w:i/>
          <w:iCs/>
        </w:rPr>
        <w:t>Annals of Oncology</w:t>
      </w:r>
      <w:r w:rsidRPr="00317E7D">
        <w:rPr>
          <w:rFonts w:ascii="Calibri" w:cs="Calibri"/>
        </w:rPr>
        <w:t xml:space="preserve"> </w:t>
      </w:r>
      <w:r w:rsidRPr="00317E7D">
        <w:rPr>
          <w:rFonts w:ascii="Calibri" w:cs="Calibri"/>
          <w:b/>
          <w:bCs/>
        </w:rPr>
        <w:t>18</w:t>
      </w:r>
      <w:r w:rsidRPr="00317E7D">
        <w:rPr>
          <w:rFonts w:ascii="Calibri" w:cs="Calibri"/>
        </w:rPr>
        <w:t>, 945–949 (2007).</w:t>
      </w:r>
    </w:p>
    <w:p w14:paraId="4EE800E6" w14:textId="77777777" w:rsidR="00317E7D" w:rsidRPr="00317E7D" w:rsidRDefault="00317E7D" w:rsidP="00317E7D">
      <w:pPr>
        <w:pStyle w:val="Bibliography"/>
        <w:rPr>
          <w:rFonts w:ascii="Calibri" w:cs="Calibri"/>
        </w:rPr>
      </w:pPr>
      <w:r w:rsidRPr="00317E7D">
        <w:rPr>
          <w:rFonts w:ascii="Calibri" w:cs="Calibri"/>
        </w:rPr>
        <w:t>277.</w:t>
      </w:r>
      <w:r w:rsidRPr="00317E7D">
        <w:rPr>
          <w:rFonts w:ascii="Calibri" w:cs="Calibri"/>
        </w:rPr>
        <w:tab/>
        <w:t xml:space="preserve">Al Habyan, S., Kalos, C., Szymborski, J. &amp; McCaffrey, L. Multicellular detachment generates metastatic spheroids during intra-abdominal dissemination in epithelial ovarian cancer. </w:t>
      </w:r>
      <w:r w:rsidRPr="00317E7D">
        <w:rPr>
          <w:rFonts w:ascii="Calibri" w:cs="Calibri"/>
          <w:i/>
          <w:iCs/>
        </w:rPr>
        <w:t>Oncogene</w:t>
      </w:r>
      <w:r w:rsidRPr="00317E7D">
        <w:rPr>
          <w:rFonts w:ascii="Calibri" w:cs="Calibri"/>
        </w:rPr>
        <w:t xml:space="preserve"> (2018) doi:10.1038/s41388-018-0317-x.</w:t>
      </w:r>
    </w:p>
    <w:p w14:paraId="35775930" w14:textId="77777777" w:rsidR="00317E7D" w:rsidRPr="00317E7D" w:rsidRDefault="00317E7D" w:rsidP="00317E7D">
      <w:pPr>
        <w:pStyle w:val="Bibliography"/>
        <w:rPr>
          <w:rFonts w:ascii="Calibri" w:cs="Calibri"/>
        </w:rPr>
      </w:pPr>
      <w:r w:rsidRPr="00317E7D">
        <w:rPr>
          <w:rFonts w:ascii="Calibri" w:cs="Calibri"/>
        </w:rPr>
        <w:t>278.</w:t>
      </w:r>
      <w:r w:rsidRPr="00317E7D">
        <w:rPr>
          <w:rFonts w:ascii="Calibri" w:cs="Calibri"/>
        </w:rPr>
        <w:tab/>
        <w:t xml:space="preserve">Xing, H. </w:t>
      </w:r>
      <w:r w:rsidRPr="00317E7D">
        <w:rPr>
          <w:rFonts w:ascii="Calibri" w:cs="Calibri"/>
          <w:i/>
          <w:iCs/>
        </w:rPr>
        <w:t>et al.</w:t>
      </w:r>
      <w:r w:rsidRPr="00317E7D">
        <w:rPr>
          <w:rFonts w:ascii="Calibri" w:cs="Calibri"/>
        </w:rPr>
        <w:t xml:space="preserve"> Knock-down of P-glycoprotein reverses taxol resistance in ovarian cancer multicellular spheroids. </w:t>
      </w:r>
      <w:r w:rsidRPr="00317E7D">
        <w:rPr>
          <w:rFonts w:ascii="Calibri" w:cs="Calibri"/>
          <w:i/>
          <w:iCs/>
        </w:rPr>
        <w:t>Oncol Rep</w:t>
      </w:r>
      <w:r w:rsidRPr="00317E7D">
        <w:rPr>
          <w:rFonts w:ascii="Calibri" w:cs="Calibri"/>
        </w:rPr>
        <w:t xml:space="preserve"> (2007) doi:10.3892/or.17.1.117.</w:t>
      </w:r>
    </w:p>
    <w:p w14:paraId="3EA553EA" w14:textId="77777777" w:rsidR="00317E7D" w:rsidRPr="00317E7D" w:rsidRDefault="00317E7D" w:rsidP="00317E7D">
      <w:pPr>
        <w:pStyle w:val="Bibliography"/>
        <w:rPr>
          <w:rFonts w:ascii="Calibri" w:cs="Calibri"/>
        </w:rPr>
      </w:pPr>
      <w:r w:rsidRPr="00317E7D">
        <w:rPr>
          <w:rFonts w:ascii="Calibri" w:cs="Calibri"/>
        </w:rPr>
        <w:lastRenderedPageBreak/>
        <w:t>279.</w:t>
      </w:r>
      <w:r w:rsidRPr="00317E7D">
        <w:rPr>
          <w:rFonts w:ascii="Calibri" w:cs="Calibri"/>
        </w:rPr>
        <w:tab/>
        <w:t xml:space="preserve">Burleson, K. M., Boente, M. P., Pambuccian, S. E. &amp; Skubitz, A. P. N. Disaggregation and invasion of ovarian carcinoma ascites spheroids. </w:t>
      </w:r>
      <w:r w:rsidRPr="00317E7D">
        <w:rPr>
          <w:rFonts w:ascii="Calibri" w:cs="Calibri"/>
          <w:i/>
          <w:iCs/>
        </w:rPr>
        <w:t>J Transl Med</w:t>
      </w:r>
      <w:r w:rsidRPr="00317E7D">
        <w:rPr>
          <w:rFonts w:ascii="Calibri" w:cs="Calibri"/>
        </w:rPr>
        <w:t xml:space="preserve"> </w:t>
      </w:r>
      <w:r w:rsidRPr="00317E7D">
        <w:rPr>
          <w:rFonts w:ascii="Calibri" w:cs="Calibri"/>
          <w:b/>
          <w:bCs/>
        </w:rPr>
        <w:t>4</w:t>
      </w:r>
      <w:r w:rsidRPr="00317E7D">
        <w:rPr>
          <w:rFonts w:ascii="Calibri" w:cs="Calibri"/>
        </w:rPr>
        <w:t>, 6 (2006).</w:t>
      </w:r>
    </w:p>
    <w:p w14:paraId="67910ACD" w14:textId="77777777" w:rsidR="00317E7D" w:rsidRPr="00317E7D" w:rsidRDefault="00317E7D" w:rsidP="00317E7D">
      <w:pPr>
        <w:pStyle w:val="Bibliography"/>
        <w:rPr>
          <w:rFonts w:ascii="Calibri" w:cs="Calibri"/>
        </w:rPr>
      </w:pPr>
      <w:r w:rsidRPr="00317E7D">
        <w:rPr>
          <w:rFonts w:ascii="Calibri" w:cs="Calibri"/>
        </w:rPr>
        <w:t>280.</w:t>
      </w:r>
      <w:r w:rsidRPr="00317E7D">
        <w:rPr>
          <w:rFonts w:ascii="Calibri" w:cs="Calibri"/>
        </w:rPr>
        <w:tab/>
        <w:t xml:space="preserve">Yung, S., Li, F. K. &amp; Chan, T. M. Peritoneal mesothelial cell culture and biology. </w:t>
      </w:r>
      <w:r w:rsidRPr="00317E7D">
        <w:rPr>
          <w:rFonts w:ascii="Calibri" w:cs="Calibri"/>
          <w:i/>
          <w:iCs/>
        </w:rPr>
        <w:t>Perit Dial Int</w:t>
      </w:r>
      <w:r w:rsidRPr="00317E7D">
        <w:rPr>
          <w:rFonts w:ascii="Calibri" w:cs="Calibri"/>
        </w:rPr>
        <w:t xml:space="preserve"> </w:t>
      </w:r>
      <w:r w:rsidRPr="00317E7D">
        <w:rPr>
          <w:rFonts w:ascii="Calibri" w:cs="Calibri"/>
          <w:b/>
          <w:bCs/>
        </w:rPr>
        <w:t>26</w:t>
      </w:r>
      <w:r w:rsidRPr="00317E7D">
        <w:rPr>
          <w:rFonts w:ascii="Calibri" w:cs="Calibri"/>
        </w:rPr>
        <w:t>, 162–173 (2006).</w:t>
      </w:r>
    </w:p>
    <w:p w14:paraId="42584FA9" w14:textId="77777777" w:rsidR="00317E7D" w:rsidRPr="00317E7D" w:rsidRDefault="00317E7D" w:rsidP="00317E7D">
      <w:pPr>
        <w:pStyle w:val="Bibliography"/>
        <w:rPr>
          <w:rFonts w:ascii="Calibri" w:cs="Calibri"/>
        </w:rPr>
      </w:pPr>
      <w:r w:rsidRPr="00317E7D">
        <w:rPr>
          <w:rFonts w:ascii="Calibri" w:cs="Calibri"/>
        </w:rPr>
        <w:t>281.</w:t>
      </w:r>
      <w:r w:rsidRPr="00317E7D">
        <w:rPr>
          <w:rFonts w:ascii="Calibri" w:cs="Calibri"/>
        </w:rPr>
        <w:tab/>
        <w:t xml:space="preserve">Allen, H. J., Porter, C., Gamarra, M., Piver, S. &amp; Johnson, E. A. Z. Isolation and Morphologic Characterization of Human Ovarian Carcinoma Cell Clusters Present in Effusions. </w:t>
      </w:r>
      <w:r w:rsidRPr="00317E7D">
        <w:rPr>
          <w:rFonts w:ascii="Calibri" w:cs="Calibri"/>
          <w:i/>
          <w:iCs/>
        </w:rPr>
        <w:t>Pathobiology</w:t>
      </w:r>
      <w:r w:rsidRPr="00317E7D">
        <w:rPr>
          <w:rFonts w:ascii="Calibri" w:cs="Calibri"/>
        </w:rPr>
        <w:t xml:space="preserve"> (2008) doi:10.1159/000163419.</w:t>
      </w:r>
    </w:p>
    <w:p w14:paraId="50F4E388" w14:textId="77777777" w:rsidR="00317E7D" w:rsidRPr="00317E7D" w:rsidRDefault="00317E7D" w:rsidP="00317E7D">
      <w:pPr>
        <w:pStyle w:val="Bibliography"/>
        <w:rPr>
          <w:rFonts w:ascii="Calibri" w:cs="Calibri"/>
        </w:rPr>
      </w:pPr>
      <w:r w:rsidRPr="00317E7D">
        <w:rPr>
          <w:rFonts w:ascii="Calibri" w:cs="Calibri"/>
        </w:rPr>
        <w:t>282.</w:t>
      </w:r>
      <w:r w:rsidRPr="00317E7D">
        <w:rPr>
          <w:rFonts w:ascii="Calibri" w:cs="Calibri"/>
        </w:rPr>
        <w:tab/>
        <w:t xml:space="preserve">Latifi, A. </w:t>
      </w:r>
      <w:r w:rsidRPr="00317E7D">
        <w:rPr>
          <w:rFonts w:ascii="Calibri" w:cs="Calibri"/>
          <w:i/>
          <w:iCs/>
        </w:rPr>
        <w:t>et al.</w:t>
      </w:r>
      <w:r w:rsidRPr="00317E7D">
        <w:rPr>
          <w:rFonts w:ascii="Calibri" w:cs="Calibri"/>
        </w:rPr>
        <w:t xml:space="preserve"> Isolation and Characterization of Tumor Cells from the Ascites of Ovarian Cancer Patients: Molecular Phenotype of Chemoresistant Ovarian Tumors. </w:t>
      </w:r>
      <w:r w:rsidRPr="00317E7D">
        <w:rPr>
          <w:rFonts w:ascii="Calibri" w:cs="Calibri"/>
          <w:i/>
          <w:iCs/>
        </w:rPr>
        <w:t>PLoS ONE</w:t>
      </w:r>
      <w:r w:rsidRPr="00317E7D">
        <w:rPr>
          <w:rFonts w:ascii="Calibri" w:cs="Calibri"/>
        </w:rPr>
        <w:t xml:space="preserve"> </w:t>
      </w:r>
      <w:r w:rsidRPr="00317E7D">
        <w:rPr>
          <w:rFonts w:ascii="Calibri" w:cs="Calibri"/>
          <w:b/>
          <w:bCs/>
        </w:rPr>
        <w:t>7</w:t>
      </w:r>
      <w:r w:rsidRPr="00317E7D">
        <w:rPr>
          <w:rFonts w:ascii="Calibri" w:cs="Calibri"/>
        </w:rPr>
        <w:t>, e46858 (2012).</w:t>
      </w:r>
    </w:p>
    <w:p w14:paraId="5DC9A9C7" w14:textId="77777777" w:rsidR="00317E7D" w:rsidRPr="00317E7D" w:rsidRDefault="00317E7D" w:rsidP="00317E7D">
      <w:pPr>
        <w:pStyle w:val="Bibliography"/>
        <w:rPr>
          <w:rFonts w:ascii="Calibri" w:cs="Calibri"/>
        </w:rPr>
      </w:pPr>
      <w:r w:rsidRPr="00317E7D">
        <w:rPr>
          <w:rFonts w:ascii="Calibri" w:cs="Calibri"/>
        </w:rPr>
        <w:t>283.</w:t>
      </w:r>
      <w:r w:rsidRPr="00317E7D">
        <w:rPr>
          <w:rFonts w:ascii="Calibri" w:cs="Calibri"/>
        </w:rPr>
        <w:tab/>
        <w:t xml:space="preserve">Thiery, J. P., Acloque, H., Huang, R. Y. J. &amp; Nieto, M. A. Epithelial-Mesenchymal Transitions in Development and Disease. </w:t>
      </w:r>
      <w:r w:rsidRPr="00317E7D">
        <w:rPr>
          <w:rFonts w:ascii="Calibri" w:cs="Calibri"/>
          <w:i/>
          <w:iCs/>
        </w:rPr>
        <w:t>Cell</w:t>
      </w:r>
      <w:r w:rsidRPr="00317E7D">
        <w:rPr>
          <w:rFonts w:ascii="Calibri" w:cs="Calibri"/>
        </w:rPr>
        <w:t xml:space="preserve"> </w:t>
      </w:r>
      <w:r w:rsidRPr="00317E7D">
        <w:rPr>
          <w:rFonts w:ascii="Calibri" w:cs="Calibri"/>
          <w:b/>
          <w:bCs/>
        </w:rPr>
        <w:t>139</w:t>
      </w:r>
      <w:r w:rsidRPr="00317E7D">
        <w:rPr>
          <w:rFonts w:ascii="Calibri" w:cs="Calibri"/>
        </w:rPr>
        <w:t>, 871–890 (2009).</w:t>
      </w:r>
    </w:p>
    <w:p w14:paraId="1C831B2D" w14:textId="77777777" w:rsidR="00317E7D" w:rsidRPr="00317E7D" w:rsidRDefault="00317E7D" w:rsidP="00317E7D">
      <w:pPr>
        <w:pStyle w:val="Bibliography"/>
        <w:rPr>
          <w:rFonts w:ascii="Calibri" w:cs="Calibri"/>
        </w:rPr>
      </w:pPr>
      <w:r w:rsidRPr="00317E7D">
        <w:rPr>
          <w:rFonts w:ascii="Calibri" w:cs="Calibri"/>
        </w:rPr>
        <w:t>284.</w:t>
      </w:r>
      <w:r w:rsidRPr="00317E7D">
        <w:rPr>
          <w:rFonts w:ascii="Calibri" w:cs="Calibri"/>
        </w:rPr>
        <w:tab/>
        <w:t xml:space="preserve">Gheldof, A. &amp; Berx, G. Cadherins and Epithelial-to-Mesenchymal Transition. in </w:t>
      </w:r>
      <w:r w:rsidRPr="00317E7D">
        <w:rPr>
          <w:rFonts w:ascii="Calibri" w:cs="Calibri"/>
          <w:i/>
          <w:iCs/>
        </w:rPr>
        <w:t>Progress in Molecular Biology and Translational Science</w:t>
      </w:r>
      <w:r w:rsidRPr="00317E7D">
        <w:rPr>
          <w:rFonts w:ascii="Calibri" w:cs="Calibri"/>
        </w:rPr>
        <w:t xml:space="preserve"> vol. 116 317–336 (Elsevier, 2013).</w:t>
      </w:r>
    </w:p>
    <w:p w14:paraId="6CB645B1" w14:textId="77777777" w:rsidR="00317E7D" w:rsidRPr="00317E7D" w:rsidRDefault="00317E7D" w:rsidP="00317E7D">
      <w:pPr>
        <w:pStyle w:val="Bibliography"/>
        <w:rPr>
          <w:rFonts w:ascii="Calibri" w:cs="Calibri"/>
        </w:rPr>
      </w:pPr>
      <w:r w:rsidRPr="00317E7D">
        <w:rPr>
          <w:rFonts w:ascii="Calibri" w:cs="Calibri"/>
        </w:rPr>
        <w:t>285.</w:t>
      </w:r>
      <w:r w:rsidRPr="00317E7D">
        <w:rPr>
          <w:rFonts w:ascii="Calibri" w:cs="Calibri"/>
        </w:rPr>
        <w:tab/>
        <w:t xml:space="preserve">Bagnato, A. &amp; Rosanò, L. Epithelial-Mesenchymal Transition in Ovarian Cancer Progression: A Crucial Role for the Endothelin Axis. </w:t>
      </w:r>
      <w:r w:rsidRPr="00317E7D">
        <w:rPr>
          <w:rFonts w:ascii="Calibri" w:cs="Calibri"/>
          <w:i/>
          <w:iCs/>
        </w:rPr>
        <w:t>Cells Tissues Organs</w:t>
      </w:r>
      <w:r w:rsidRPr="00317E7D">
        <w:rPr>
          <w:rFonts w:ascii="Calibri" w:cs="Calibri"/>
        </w:rPr>
        <w:t xml:space="preserve"> </w:t>
      </w:r>
      <w:r w:rsidRPr="00317E7D">
        <w:rPr>
          <w:rFonts w:ascii="Calibri" w:cs="Calibri"/>
          <w:b/>
          <w:bCs/>
        </w:rPr>
        <w:t>185</w:t>
      </w:r>
      <w:r w:rsidRPr="00317E7D">
        <w:rPr>
          <w:rFonts w:ascii="Calibri" w:cs="Calibri"/>
        </w:rPr>
        <w:t>, 85–94 (2007).</w:t>
      </w:r>
    </w:p>
    <w:p w14:paraId="279C87EB" w14:textId="77777777" w:rsidR="00317E7D" w:rsidRPr="00317E7D" w:rsidRDefault="00317E7D" w:rsidP="00317E7D">
      <w:pPr>
        <w:pStyle w:val="Bibliography"/>
        <w:rPr>
          <w:rFonts w:ascii="Calibri" w:cs="Calibri"/>
        </w:rPr>
      </w:pPr>
      <w:r w:rsidRPr="00317E7D">
        <w:rPr>
          <w:rFonts w:ascii="Calibri" w:cs="Calibri"/>
        </w:rPr>
        <w:t>286.</w:t>
      </w:r>
      <w:r w:rsidRPr="00317E7D">
        <w:rPr>
          <w:rFonts w:ascii="Calibri" w:cs="Calibri"/>
        </w:rPr>
        <w:tab/>
        <w:t xml:space="preserve">Angst, B. D., Marcozzi, C. &amp; Magee, A. I. The cadherin superfamily: diversity in form and function. </w:t>
      </w:r>
      <w:r w:rsidRPr="00317E7D">
        <w:rPr>
          <w:rFonts w:ascii="Calibri" w:cs="Calibri"/>
          <w:i/>
          <w:iCs/>
        </w:rPr>
        <w:t>J. Cell. Sci.</w:t>
      </w:r>
      <w:r w:rsidRPr="00317E7D">
        <w:rPr>
          <w:rFonts w:ascii="Calibri" w:cs="Calibri"/>
        </w:rPr>
        <w:t xml:space="preserve"> </w:t>
      </w:r>
      <w:r w:rsidRPr="00317E7D">
        <w:rPr>
          <w:rFonts w:ascii="Calibri" w:cs="Calibri"/>
          <w:b/>
          <w:bCs/>
        </w:rPr>
        <w:t>114</w:t>
      </w:r>
      <w:r w:rsidRPr="00317E7D">
        <w:rPr>
          <w:rFonts w:ascii="Calibri" w:cs="Calibri"/>
        </w:rPr>
        <w:t>, 629–641 (2001).</w:t>
      </w:r>
    </w:p>
    <w:p w14:paraId="3B171C83" w14:textId="77777777" w:rsidR="00317E7D" w:rsidRPr="00317E7D" w:rsidRDefault="00317E7D" w:rsidP="00317E7D">
      <w:pPr>
        <w:pStyle w:val="Bibliography"/>
        <w:rPr>
          <w:rFonts w:ascii="Calibri" w:cs="Calibri"/>
        </w:rPr>
      </w:pPr>
      <w:r w:rsidRPr="00317E7D">
        <w:rPr>
          <w:rFonts w:ascii="Calibri" w:cs="Calibri"/>
        </w:rPr>
        <w:t>287.</w:t>
      </w:r>
      <w:r w:rsidRPr="00317E7D">
        <w:rPr>
          <w:rFonts w:ascii="Calibri" w:cs="Calibri"/>
        </w:rPr>
        <w:tab/>
        <w:t xml:space="preserve">Lin, R.-Z., Chou, L.-F., Chien, C.-C. M. &amp; Chang, H.-Y. Dynamic analysis of hepatoma spheroid formation: roles of E-cadherin and β1-integrin. </w:t>
      </w:r>
      <w:r w:rsidRPr="00317E7D">
        <w:rPr>
          <w:rFonts w:ascii="Calibri" w:cs="Calibri"/>
          <w:i/>
          <w:iCs/>
        </w:rPr>
        <w:t>Cell Tissue Res</w:t>
      </w:r>
      <w:r w:rsidRPr="00317E7D">
        <w:rPr>
          <w:rFonts w:ascii="Calibri" w:cs="Calibri"/>
        </w:rPr>
        <w:t xml:space="preserve"> </w:t>
      </w:r>
      <w:r w:rsidRPr="00317E7D">
        <w:rPr>
          <w:rFonts w:ascii="Calibri" w:cs="Calibri"/>
          <w:b/>
          <w:bCs/>
        </w:rPr>
        <w:t>324</w:t>
      </w:r>
      <w:r w:rsidRPr="00317E7D">
        <w:rPr>
          <w:rFonts w:ascii="Calibri" w:cs="Calibri"/>
        </w:rPr>
        <w:t>, 411–422 (2006).</w:t>
      </w:r>
    </w:p>
    <w:p w14:paraId="00AD94C7" w14:textId="77777777" w:rsidR="00317E7D" w:rsidRPr="00317E7D" w:rsidRDefault="00317E7D" w:rsidP="00317E7D">
      <w:pPr>
        <w:pStyle w:val="Bibliography"/>
        <w:rPr>
          <w:rFonts w:ascii="Calibri" w:cs="Calibri"/>
        </w:rPr>
      </w:pPr>
      <w:r w:rsidRPr="00317E7D">
        <w:rPr>
          <w:rFonts w:ascii="Calibri" w:cs="Calibri"/>
        </w:rPr>
        <w:lastRenderedPageBreak/>
        <w:t>288.</w:t>
      </w:r>
      <w:r w:rsidRPr="00317E7D">
        <w:rPr>
          <w:rFonts w:ascii="Calibri" w:cs="Calibri"/>
        </w:rPr>
        <w:tab/>
        <w:t xml:space="preserve">van Roy, F. &amp; Berx, G. The cell-cell adhesion molecule E-cadherin. </w:t>
      </w:r>
      <w:r w:rsidRPr="00317E7D">
        <w:rPr>
          <w:rFonts w:ascii="Calibri" w:cs="Calibri"/>
          <w:i/>
          <w:iCs/>
        </w:rPr>
        <w:t>Cell. Mol. Life Sci.</w:t>
      </w:r>
      <w:r w:rsidRPr="00317E7D">
        <w:rPr>
          <w:rFonts w:ascii="Calibri" w:cs="Calibri"/>
        </w:rPr>
        <w:t xml:space="preserve"> </w:t>
      </w:r>
      <w:r w:rsidRPr="00317E7D">
        <w:rPr>
          <w:rFonts w:ascii="Calibri" w:cs="Calibri"/>
          <w:b/>
          <w:bCs/>
        </w:rPr>
        <w:t>65</w:t>
      </w:r>
      <w:r w:rsidRPr="00317E7D">
        <w:rPr>
          <w:rFonts w:ascii="Calibri" w:cs="Calibri"/>
        </w:rPr>
        <w:t>, 3756–3788 (2008).</w:t>
      </w:r>
    </w:p>
    <w:p w14:paraId="1E3138D6" w14:textId="77777777" w:rsidR="00317E7D" w:rsidRPr="00317E7D" w:rsidRDefault="00317E7D" w:rsidP="00317E7D">
      <w:pPr>
        <w:pStyle w:val="Bibliography"/>
        <w:rPr>
          <w:rFonts w:ascii="Calibri" w:cs="Calibri"/>
        </w:rPr>
      </w:pPr>
      <w:r w:rsidRPr="00317E7D">
        <w:rPr>
          <w:rFonts w:ascii="Calibri" w:cs="Calibri"/>
        </w:rPr>
        <w:t>289.</w:t>
      </w:r>
      <w:r w:rsidRPr="00317E7D">
        <w:rPr>
          <w:rFonts w:ascii="Calibri" w:cs="Calibri"/>
        </w:rPr>
        <w:tab/>
        <w:t xml:space="preserve">Auersperg, N., Wong, A. S. T., Choi, K.-C., Kang, S. K. &amp; Leung, P. C. K. Ovarian Surface Epithelium: Biology, Endocrinology, and Pathology </w:t>
      </w:r>
      <w:r w:rsidRPr="00317E7D">
        <w:rPr>
          <w:rFonts w:ascii="Calibri" w:cs="Calibri"/>
          <w:vertAlign w:val="superscript"/>
        </w:rPr>
        <w:t>1</w:t>
      </w:r>
      <w:r w:rsidRPr="00317E7D">
        <w:rPr>
          <w:rFonts w:ascii="Calibri" w:cs="Calibri"/>
        </w:rPr>
        <w:t xml:space="preserve">. </w:t>
      </w:r>
      <w:r w:rsidRPr="00317E7D">
        <w:rPr>
          <w:rFonts w:ascii="Calibri" w:cs="Calibri"/>
          <w:i/>
          <w:iCs/>
        </w:rPr>
        <w:t>Endocrine Reviews</w:t>
      </w:r>
      <w:r w:rsidRPr="00317E7D">
        <w:rPr>
          <w:rFonts w:ascii="Calibri" w:cs="Calibri"/>
        </w:rPr>
        <w:t xml:space="preserve"> </w:t>
      </w:r>
      <w:r w:rsidRPr="00317E7D">
        <w:rPr>
          <w:rFonts w:ascii="Calibri" w:cs="Calibri"/>
          <w:b/>
          <w:bCs/>
        </w:rPr>
        <w:t>22</w:t>
      </w:r>
      <w:r w:rsidRPr="00317E7D">
        <w:rPr>
          <w:rFonts w:ascii="Calibri" w:cs="Calibri"/>
        </w:rPr>
        <w:t>, 255–288 (2001).</w:t>
      </w:r>
    </w:p>
    <w:p w14:paraId="615E3977" w14:textId="77777777" w:rsidR="00317E7D" w:rsidRPr="00317E7D" w:rsidRDefault="00317E7D" w:rsidP="00317E7D">
      <w:pPr>
        <w:pStyle w:val="Bibliography"/>
        <w:rPr>
          <w:rFonts w:ascii="Calibri" w:cs="Calibri"/>
        </w:rPr>
      </w:pPr>
      <w:r w:rsidRPr="00317E7D">
        <w:rPr>
          <w:rFonts w:ascii="Calibri" w:cs="Calibri"/>
        </w:rPr>
        <w:t>290.</w:t>
      </w:r>
      <w:r w:rsidRPr="00317E7D">
        <w:rPr>
          <w:rFonts w:ascii="Calibri" w:cs="Calibri"/>
        </w:rPr>
        <w:tab/>
        <w:t xml:space="preserve">Mendez, M. G., Kojima, S. &amp; Goldman, R. D. Vimentin induces changes in cell shape, motility, and adhesion during the epithelial to mesenchymal transition. </w:t>
      </w:r>
      <w:r w:rsidRPr="00317E7D">
        <w:rPr>
          <w:rFonts w:ascii="Calibri" w:cs="Calibri"/>
          <w:i/>
          <w:iCs/>
        </w:rPr>
        <w:t>FASEB j.</w:t>
      </w:r>
      <w:r w:rsidRPr="00317E7D">
        <w:rPr>
          <w:rFonts w:ascii="Calibri" w:cs="Calibri"/>
        </w:rPr>
        <w:t xml:space="preserve"> </w:t>
      </w:r>
      <w:r w:rsidRPr="00317E7D">
        <w:rPr>
          <w:rFonts w:ascii="Calibri" w:cs="Calibri"/>
          <w:b/>
          <w:bCs/>
        </w:rPr>
        <w:t>24</w:t>
      </w:r>
      <w:r w:rsidRPr="00317E7D">
        <w:rPr>
          <w:rFonts w:ascii="Calibri" w:cs="Calibri"/>
        </w:rPr>
        <w:t>, 1838–1851 (2010).</w:t>
      </w:r>
    </w:p>
    <w:p w14:paraId="76CF79C2" w14:textId="77777777" w:rsidR="00317E7D" w:rsidRPr="00317E7D" w:rsidRDefault="00317E7D" w:rsidP="00317E7D">
      <w:pPr>
        <w:pStyle w:val="Bibliography"/>
        <w:rPr>
          <w:rFonts w:ascii="Calibri" w:cs="Calibri"/>
        </w:rPr>
      </w:pPr>
      <w:r w:rsidRPr="00317E7D">
        <w:rPr>
          <w:rFonts w:ascii="Calibri" w:cs="Calibri"/>
        </w:rPr>
        <w:t>291.</w:t>
      </w:r>
      <w:r w:rsidRPr="00317E7D">
        <w:rPr>
          <w:rFonts w:ascii="Calibri" w:cs="Calibri"/>
        </w:rPr>
        <w:tab/>
        <w:t xml:space="preserve">Eckes, B. </w:t>
      </w:r>
      <w:r w:rsidRPr="00317E7D">
        <w:rPr>
          <w:rFonts w:ascii="Calibri" w:cs="Calibri"/>
          <w:i/>
          <w:iCs/>
        </w:rPr>
        <w:t>et al.</w:t>
      </w:r>
      <w:r w:rsidRPr="00317E7D">
        <w:rPr>
          <w:rFonts w:ascii="Calibri" w:cs="Calibri"/>
        </w:rPr>
        <w:t xml:space="preserve"> Impaired mechanical stability, migration and contractile capacity in vimentin-deficient fibroblasts. </w:t>
      </w:r>
      <w:r w:rsidRPr="00317E7D">
        <w:rPr>
          <w:rFonts w:ascii="Calibri" w:cs="Calibri"/>
          <w:i/>
          <w:iCs/>
        </w:rPr>
        <w:t>J. Cell. Sci.</w:t>
      </w:r>
      <w:r w:rsidRPr="00317E7D">
        <w:rPr>
          <w:rFonts w:ascii="Calibri" w:cs="Calibri"/>
        </w:rPr>
        <w:t xml:space="preserve"> </w:t>
      </w:r>
      <w:r w:rsidRPr="00317E7D">
        <w:rPr>
          <w:rFonts w:ascii="Calibri" w:cs="Calibri"/>
          <w:b/>
          <w:bCs/>
        </w:rPr>
        <w:t>111 ( Pt 13)</w:t>
      </w:r>
      <w:r w:rsidRPr="00317E7D">
        <w:rPr>
          <w:rFonts w:ascii="Calibri" w:cs="Calibri"/>
        </w:rPr>
        <w:t>, 1897–1907 (1998).</w:t>
      </w:r>
    </w:p>
    <w:p w14:paraId="107F02D0" w14:textId="77777777" w:rsidR="00317E7D" w:rsidRPr="00317E7D" w:rsidRDefault="00317E7D" w:rsidP="00317E7D">
      <w:pPr>
        <w:pStyle w:val="Bibliography"/>
        <w:rPr>
          <w:rFonts w:ascii="Calibri" w:cs="Calibri"/>
        </w:rPr>
      </w:pPr>
      <w:r w:rsidRPr="00317E7D">
        <w:rPr>
          <w:rFonts w:ascii="Calibri" w:cs="Calibri"/>
        </w:rPr>
        <w:t>292.</w:t>
      </w:r>
      <w:r w:rsidRPr="00317E7D">
        <w:rPr>
          <w:rFonts w:ascii="Calibri" w:cs="Calibri"/>
        </w:rPr>
        <w:tab/>
        <w:t xml:space="preserve">Kidd, M. E., Shumaker, D. K. &amp; Ridge, K. M. The Role of Vimentin Intermediate Filaments in the Progression of Lung Cancer. </w:t>
      </w:r>
      <w:r w:rsidRPr="00317E7D">
        <w:rPr>
          <w:rFonts w:ascii="Calibri" w:cs="Calibri"/>
          <w:i/>
          <w:iCs/>
        </w:rPr>
        <w:t>Am J Respir Cell Mol Biol</w:t>
      </w:r>
      <w:r w:rsidRPr="00317E7D">
        <w:rPr>
          <w:rFonts w:ascii="Calibri" w:cs="Calibri"/>
        </w:rPr>
        <w:t xml:space="preserve"> 130827094923003 (2013) doi:10.1165/rcmb.2013-0314TR.</w:t>
      </w:r>
    </w:p>
    <w:p w14:paraId="739B9870" w14:textId="77777777" w:rsidR="00317E7D" w:rsidRPr="00317E7D" w:rsidRDefault="00317E7D" w:rsidP="00317E7D">
      <w:pPr>
        <w:pStyle w:val="Bibliography"/>
        <w:rPr>
          <w:rFonts w:ascii="Calibri" w:cs="Calibri"/>
        </w:rPr>
      </w:pPr>
      <w:r w:rsidRPr="00317E7D">
        <w:rPr>
          <w:rFonts w:ascii="Calibri" w:cs="Calibri"/>
        </w:rPr>
        <w:t>293.</w:t>
      </w:r>
      <w:r w:rsidRPr="00317E7D">
        <w:rPr>
          <w:rFonts w:ascii="Calibri" w:cs="Calibri"/>
        </w:rPr>
        <w:tab/>
        <w:t xml:space="preserve">Hudson, L. G., Zeineldin, R. &amp; Stack, M. S. Phenotypic plasticity of neoplastic ovarian epithelium: unique cadherin profiles in tumor progression. </w:t>
      </w:r>
      <w:r w:rsidRPr="00317E7D">
        <w:rPr>
          <w:rFonts w:ascii="Calibri" w:cs="Calibri"/>
          <w:i/>
          <w:iCs/>
        </w:rPr>
        <w:t>Clin. Exp. Metastasis</w:t>
      </w:r>
      <w:r w:rsidRPr="00317E7D">
        <w:rPr>
          <w:rFonts w:ascii="Calibri" w:cs="Calibri"/>
        </w:rPr>
        <w:t xml:space="preserve"> </w:t>
      </w:r>
      <w:r w:rsidRPr="00317E7D">
        <w:rPr>
          <w:rFonts w:ascii="Calibri" w:cs="Calibri"/>
          <w:b/>
          <w:bCs/>
        </w:rPr>
        <w:t>25</w:t>
      </w:r>
      <w:r w:rsidRPr="00317E7D">
        <w:rPr>
          <w:rFonts w:ascii="Calibri" w:cs="Calibri"/>
        </w:rPr>
        <w:t>, 643–655 (2008).</w:t>
      </w:r>
    </w:p>
    <w:p w14:paraId="3333E757" w14:textId="77777777" w:rsidR="00317E7D" w:rsidRPr="00317E7D" w:rsidRDefault="00317E7D" w:rsidP="00317E7D">
      <w:pPr>
        <w:pStyle w:val="Bibliography"/>
        <w:rPr>
          <w:rFonts w:ascii="Calibri" w:cs="Calibri"/>
        </w:rPr>
      </w:pPr>
      <w:r w:rsidRPr="00317E7D">
        <w:rPr>
          <w:rFonts w:ascii="Calibri" w:cs="Calibri"/>
        </w:rPr>
        <w:t>294.</w:t>
      </w:r>
      <w:r w:rsidRPr="00317E7D">
        <w:rPr>
          <w:rFonts w:ascii="Calibri" w:cs="Calibri"/>
        </w:rPr>
        <w:tab/>
        <w:t xml:space="preserve">Ahmed, N., Thompson, E. W. &amp; Quinn, M. A. Epithelial-mesenchymal interconversions in normal ovarian surface epithelium and ovarian carcinomas: an exception to the norm. </w:t>
      </w:r>
      <w:r w:rsidRPr="00317E7D">
        <w:rPr>
          <w:rFonts w:ascii="Calibri" w:cs="Calibri"/>
          <w:i/>
          <w:iCs/>
        </w:rPr>
        <w:t>J. Cell. Physiol.</w:t>
      </w:r>
      <w:r w:rsidRPr="00317E7D">
        <w:rPr>
          <w:rFonts w:ascii="Calibri" w:cs="Calibri"/>
        </w:rPr>
        <w:t xml:space="preserve"> </w:t>
      </w:r>
      <w:r w:rsidRPr="00317E7D">
        <w:rPr>
          <w:rFonts w:ascii="Calibri" w:cs="Calibri"/>
          <w:b/>
          <w:bCs/>
        </w:rPr>
        <w:t>213</w:t>
      </w:r>
      <w:r w:rsidRPr="00317E7D">
        <w:rPr>
          <w:rFonts w:ascii="Calibri" w:cs="Calibri"/>
        </w:rPr>
        <w:t>, 581–588 (2007).</w:t>
      </w:r>
    </w:p>
    <w:p w14:paraId="693EC8BF" w14:textId="77777777" w:rsidR="00317E7D" w:rsidRPr="00317E7D" w:rsidRDefault="00317E7D" w:rsidP="00317E7D">
      <w:pPr>
        <w:pStyle w:val="Bibliography"/>
        <w:rPr>
          <w:rFonts w:ascii="Calibri" w:cs="Calibri"/>
        </w:rPr>
      </w:pPr>
      <w:r w:rsidRPr="00317E7D">
        <w:rPr>
          <w:rFonts w:ascii="Calibri" w:cs="Calibri"/>
        </w:rPr>
        <w:t>295.</w:t>
      </w:r>
      <w:r w:rsidRPr="00317E7D">
        <w:rPr>
          <w:rFonts w:ascii="Calibri" w:cs="Calibri"/>
        </w:rPr>
        <w:tab/>
        <w:t xml:space="preserve">Pampaloni, F., Reynaud, E. G. &amp; Stelzer, E. H. K. The third dimension bridges the gap between cell culture and live tissue. </w:t>
      </w:r>
      <w:r w:rsidRPr="00317E7D">
        <w:rPr>
          <w:rFonts w:ascii="Calibri" w:cs="Calibri"/>
          <w:i/>
          <w:iCs/>
        </w:rPr>
        <w:t>Nature Reviews Molecular Cell Biology</w:t>
      </w:r>
      <w:r w:rsidRPr="00317E7D">
        <w:rPr>
          <w:rFonts w:ascii="Calibri" w:cs="Calibri"/>
        </w:rPr>
        <w:t xml:space="preserve"> Preprint at https://doi.org/10.1038/nrm2236 (2007).</w:t>
      </w:r>
    </w:p>
    <w:p w14:paraId="28A846EB" w14:textId="77777777" w:rsidR="00317E7D" w:rsidRPr="00317E7D" w:rsidRDefault="00317E7D" w:rsidP="00317E7D">
      <w:pPr>
        <w:pStyle w:val="Bibliography"/>
        <w:rPr>
          <w:rFonts w:ascii="Calibri" w:cs="Calibri"/>
        </w:rPr>
      </w:pPr>
      <w:r w:rsidRPr="00317E7D">
        <w:rPr>
          <w:rFonts w:ascii="Calibri" w:cs="Calibri"/>
        </w:rPr>
        <w:lastRenderedPageBreak/>
        <w:t>296.</w:t>
      </w:r>
      <w:r w:rsidRPr="00317E7D">
        <w:rPr>
          <w:rFonts w:ascii="Calibri" w:cs="Calibri"/>
        </w:rPr>
        <w:tab/>
        <w:t xml:space="preserve">Sontheimer-Phelps, A., Hassell, B. A. &amp; Ingber, D. E. Modelling cancer in microfluidic human organs-on-chips. </w:t>
      </w:r>
      <w:r w:rsidRPr="00317E7D">
        <w:rPr>
          <w:rFonts w:ascii="Calibri" w:cs="Calibri"/>
          <w:i/>
          <w:iCs/>
        </w:rPr>
        <w:t>Nature Reviews Cancer</w:t>
      </w:r>
      <w:r w:rsidRPr="00317E7D">
        <w:rPr>
          <w:rFonts w:ascii="Calibri" w:cs="Calibri"/>
        </w:rPr>
        <w:t xml:space="preserve"> Preprint at https://doi.org/10.1038/s41568-018-0104-6 (2019).</w:t>
      </w:r>
    </w:p>
    <w:p w14:paraId="5AB55EB1" w14:textId="77777777" w:rsidR="00317E7D" w:rsidRPr="00317E7D" w:rsidRDefault="00317E7D" w:rsidP="00317E7D">
      <w:pPr>
        <w:pStyle w:val="Bibliography"/>
        <w:rPr>
          <w:rFonts w:ascii="Calibri" w:cs="Calibri"/>
        </w:rPr>
      </w:pPr>
      <w:r w:rsidRPr="00317E7D">
        <w:rPr>
          <w:rFonts w:ascii="Calibri" w:cs="Calibri"/>
        </w:rPr>
        <w:t>297.</w:t>
      </w:r>
      <w:r w:rsidRPr="00317E7D">
        <w:rPr>
          <w:rFonts w:ascii="Calibri" w:cs="Calibri"/>
        </w:rPr>
        <w:tab/>
        <w:t xml:space="preserve">Casey, R. C. </w:t>
      </w:r>
      <w:r w:rsidRPr="00317E7D">
        <w:rPr>
          <w:rFonts w:ascii="Calibri" w:cs="Calibri"/>
          <w:i/>
          <w:iCs/>
        </w:rPr>
        <w:t>et al.</w:t>
      </w:r>
      <w:r w:rsidRPr="00317E7D">
        <w:rPr>
          <w:rFonts w:ascii="Calibri" w:cs="Calibri"/>
        </w:rPr>
        <w:t xml:space="preserve"> Beta 1-integrins regulate the formation and adhesion of ovarian carcinoma multicellular spheroids. </w:t>
      </w:r>
      <w:r w:rsidRPr="00317E7D">
        <w:rPr>
          <w:rFonts w:ascii="Calibri" w:cs="Calibri"/>
          <w:i/>
          <w:iCs/>
        </w:rPr>
        <w:t>Am. J. Pathol.</w:t>
      </w:r>
      <w:r w:rsidRPr="00317E7D">
        <w:rPr>
          <w:rFonts w:ascii="Calibri" w:cs="Calibri"/>
        </w:rPr>
        <w:t xml:space="preserve"> </w:t>
      </w:r>
      <w:r w:rsidRPr="00317E7D">
        <w:rPr>
          <w:rFonts w:ascii="Calibri" w:cs="Calibri"/>
          <w:b/>
          <w:bCs/>
        </w:rPr>
        <w:t>159</w:t>
      </w:r>
      <w:r w:rsidRPr="00317E7D">
        <w:rPr>
          <w:rFonts w:ascii="Calibri" w:cs="Calibri"/>
        </w:rPr>
        <w:t>, 2071–2080 (2001).</w:t>
      </w:r>
    </w:p>
    <w:p w14:paraId="7AFE846A" w14:textId="77777777" w:rsidR="00317E7D" w:rsidRPr="00317E7D" w:rsidRDefault="00317E7D" w:rsidP="00317E7D">
      <w:pPr>
        <w:pStyle w:val="Bibliography"/>
        <w:rPr>
          <w:rFonts w:ascii="Calibri" w:cs="Calibri"/>
        </w:rPr>
      </w:pPr>
      <w:r w:rsidRPr="00317E7D">
        <w:rPr>
          <w:rFonts w:ascii="Calibri" w:cs="Calibri"/>
        </w:rPr>
        <w:t>298.</w:t>
      </w:r>
      <w:r w:rsidRPr="00317E7D">
        <w:rPr>
          <w:rFonts w:ascii="Calibri" w:cs="Calibri"/>
        </w:rPr>
        <w:tab/>
        <w:t xml:space="preserve">Auersperg, N. </w:t>
      </w:r>
      <w:r w:rsidRPr="00317E7D">
        <w:rPr>
          <w:rFonts w:ascii="Calibri" w:cs="Calibri"/>
          <w:i/>
          <w:iCs/>
        </w:rPr>
        <w:t>et al.</w:t>
      </w:r>
      <w:r w:rsidRPr="00317E7D">
        <w:rPr>
          <w:rFonts w:ascii="Calibri" w:cs="Calibri"/>
        </w:rPr>
        <w:t xml:space="preserve"> E-cadherin induces mesenchymal-to-epithelial transition in human ovarian surface epithelium. </w:t>
      </w:r>
      <w:r w:rsidRPr="00317E7D">
        <w:rPr>
          <w:rFonts w:ascii="Calibri" w:cs="Calibri"/>
          <w:i/>
          <w:iCs/>
        </w:rPr>
        <w:t>Proceedings of the National Academy of Sciences</w:t>
      </w:r>
      <w:r w:rsidRPr="00317E7D">
        <w:rPr>
          <w:rFonts w:ascii="Calibri" w:cs="Calibri"/>
        </w:rPr>
        <w:t xml:space="preserve"> </w:t>
      </w:r>
      <w:r w:rsidRPr="00317E7D">
        <w:rPr>
          <w:rFonts w:ascii="Calibri" w:cs="Calibri"/>
          <w:b/>
          <w:bCs/>
        </w:rPr>
        <w:t>96</w:t>
      </w:r>
      <w:r w:rsidRPr="00317E7D">
        <w:rPr>
          <w:rFonts w:ascii="Calibri" w:cs="Calibri"/>
        </w:rPr>
        <w:t>, 6249–6254 (1999).</w:t>
      </w:r>
    </w:p>
    <w:p w14:paraId="112AC7BA" w14:textId="77777777" w:rsidR="00317E7D" w:rsidRPr="00317E7D" w:rsidRDefault="00317E7D" w:rsidP="00317E7D">
      <w:pPr>
        <w:pStyle w:val="Bibliography"/>
        <w:rPr>
          <w:rFonts w:ascii="Calibri" w:cs="Calibri"/>
        </w:rPr>
      </w:pPr>
      <w:r w:rsidRPr="00317E7D">
        <w:rPr>
          <w:rFonts w:ascii="Calibri" w:cs="Calibri"/>
        </w:rPr>
        <w:t>299.</w:t>
      </w:r>
      <w:r w:rsidRPr="00317E7D">
        <w:rPr>
          <w:rFonts w:ascii="Calibri" w:cs="Calibri"/>
        </w:rPr>
        <w:tab/>
        <w:t xml:space="preserve">Marques, F. R., Fonsechi-Carvasan, G. A., De Angelo Andrade, L. A. L. &amp; Böttcher-Luiz, F. Immunohistochemical patterns for α- and β-catenin, E- and N-cadherin expression in ovarian epithelial tumors. </w:t>
      </w:r>
      <w:r w:rsidRPr="00317E7D">
        <w:rPr>
          <w:rFonts w:ascii="Calibri" w:cs="Calibri"/>
          <w:i/>
          <w:iCs/>
        </w:rPr>
        <w:t>Gynecologic Oncology</w:t>
      </w:r>
      <w:r w:rsidRPr="00317E7D">
        <w:rPr>
          <w:rFonts w:ascii="Calibri" w:cs="Calibri"/>
        </w:rPr>
        <w:t xml:space="preserve"> </w:t>
      </w:r>
      <w:r w:rsidRPr="00317E7D">
        <w:rPr>
          <w:rFonts w:ascii="Calibri" w:cs="Calibri"/>
          <w:b/>
          <w:bCs/>
        </w:rPr>
        <w:t>94</w:t>
      </w:r>
      <w:r w:rsidRPr="00317E7D">
        <w:rPr>
          <w:rFonts w:ascii="Calibri" w:cs="Calibri"/>
        </w:rPr>
        <w:t>, 16–24 (2004).</w:t>
      </w:r>
    </w:p>
    <w:p w14:paraId="313CEFBB" w14:textId="77777777" w:rsidR="00317E7D" w:rsidRPr="00317E7D" w:rsidRDefault="00317E7D" w:rsidP="00317E7D">
      <w:pPr>
        <w:pStyle w:val="Bibliography"/>
        <w:rPr>
          <w:rFonts w:ascii="Calibri" w:cs="Calibri"/>
        </w:rPr>
      </w:pPr>
      <w:r w:rsidRPr="00317E7D">
        <w:rPr>
          <w:rFonts w:ascii="Calibri" w:cs="Calibri"/>
        </w:rPr>
        <w:t>300.</w:t>
      </w:r>
      <w:r w:rsidRPr="00317E7D">
        <w:rPr>
          <w:rFonts w:ascii="Calibri" w:cs="Calibri"/>
        </w:rPr>
        <w:tab/>
        <w:t xml:space="preserve">Davies, Worsley, &amp; Ponder. Expression of E‐cadherin, α‐catenin and β‐catenin in normal ovarian surface epithelium and epithelial ovarian cancers. </w:t>
      </w:r>
      <w:r w:rsidRPr="00317E7D">
        <w:rPr>
          <w:rFonts w:ascii="Calibri" w:cs="Calibri"/>
          <w:i/>
          <w:iCs/>
        </w:rPr>
        <w:t>Histopathology</w:t>
      </w:r>
      <w:r w:rsidRPr="00317E7D">
        <w:rPr>
          <w:rFonts w:ascii="Calibri" w:cs="Calibri"/>
        </w:rPr>
        <w:t xml:space="preserve"> </w:t>
      </w:r>
      <w:r w:rsidRPr="00317E7D">
        <w:rPr>
          <w:rFonts w:ascii="Calibri" w:cs="Calibri"/>
          <w:b/>
          <w:bCs/>
        </w:rPr>
        <w:t>32</w:t>
      </w:r>
      <w:r w:rsidRPr="00317E7D">
        <w:rPr>
          <w:rFonts w:ascii="Calibri" w:cs="Calibri"/>
        </w:rPr>
        <w:t>, 69–80 (1998).</w:t>
      </w:r>
    </w:p>
    <w:p w14:paraId="09C5A584" w14:textId="77777777" w:rsidR="00317E7D" w:rsidRPr="00317E7D" w:rsidRDefault="00317E7D" w:rsidP="00317E7D">
      <w:pPr>
        <w:pStyle w:val="Bibliography"/>
        <w:rPr>
          <w:rFonts w:ascii="Calibri" w:cs="Calibri"/>
        </w:rPr>
      </w:pPr>
      <w:r w:rsidRPr="00317E7D">
        <w:rPr>
          <w:rFonts w:ascii="Calibri" w:cs="Calibri"/>
        </w:rPr>
        <w:t>301.</w:t>
      </w:r>
      <w:r w:rsidRPr="00317E7D">
        <w:rPr>
          <w:rFonts w:ascii="Calibri" w:cs="Calibri"/>
        </w:rPr>
        <w:tab/>
        <w:t xml:space="preserve">Haley, J. </w:t>
      </w:r>
      <w:r w:rsidRPr="00317E7D">
        <w:rPr>
          <w:rFonts w:ascii="Calibri" w:cs="Calibri"/>
          <w:i/>
          <w:iCs/>
        </w:rPr>
        <w:t>et al.</w:t>
      </w:r>
      <w:r w:rsidRPr="00317E7D">
        <w:rPr>
          <w:rFonts w:ascii="Calibri" w:cs="Calibri"/>
        </w:rPr>
        <w:t xml:space="preserve"> Functional characterization of a panel of high-grade serous ovarian cancer cell lines as representative experimental models of the disease. </w:t>
      </w:r>
      <w:r w:rsidRPr="00317E7D">
        <w:rPr>
          <w:rFonts w:ascii="Calibri" w:cs="Calibri"/>
          <w:i/>
          <w:iCs/>
        </w:rPr>
        <w:t>Oncotarget</w:t>
      </w:r>
      <w:r w:rsidRPr="00317E7D">
        <w:rPr>
          <w:rFonts w:ascii="Calibri" w:cs="Calibri"/>
        </w:rPr>
        <w:t xml:space="preserve"> </w:t>
      </w:r>
      <w:r w:rsidRPr="00317E7D">
        <w:rPr>
          <w:rFonts w:ascii="Calibri" w:cs="Calibri"/>
          <w:b/>
          <w:bCs/>
        </w:rPr>
        <w:t>7</w:t>
      </w:r>
      <w:r w:rsidRPr="00317E7D">
        <w:rPr>
          <w:rFonts w:ascii="Calibri" w:cs="Calibri"/>
        </w:rPr>
        <w:t>, (2016).</w:t>
      </w:r>
    </w:p>
    <w:p w14:paraId="7E6B5E7D" w14:textId="77777777" w:rsidR="00317E7D" w:rsidRPr="00317E7D" w:rsidRDefault="00317E7D" w:rsidP="00317E7D">
      <w:pPr>
        <w:pStyle w:val="Bibliography"/>
        <w:rPr>
          <w:rFonts w:ascii="Calibri" w:cs="Calibri"/>
        </w:rPr>
      </w:pPr>
      <w:r w:rsidRPr="00317E7D">
        <w:rPr>
          <w:rFonts w:ascii="Calibri" w:cs="Calibri"/>
        </w:rPr>
        <w:t>302.</w:t>
      </w:r>
      <w:r w:rsidRPr="00317E7D">
        <w:rPr>
          <w:rFonts w:ascii="Calibri" w:cs="Calibri"/>
        </w:rPr>
        <w:tab/>
        <w:t xml:space="preserve">Hirschhaeuser, F. </w:t>
      </w:r>
      <w:r w:rsidRPr="00317E7D">
        <w:rPr>
          <w:rFonts w:ascii="Calibri" w:cs="Calibri"/>
          <w:i/>
          <w:iCs/>
        </w:rPr>
        <w:t>et al.</w:t>
      </w:r>
      <w:r w:rsidRPr="00317E7D">
        <w:rPr>
          <w:rFonts w:ascii="Calibri" w:cs="Calibri"/>
        </w:rPr>
        <w:t xml:space="preserve"> Multicellular tumor spheroids: An underestimated tool is catching up again. </w:t>
      </w:r>
      <w:r w:rsidRPr="00317E7D">
        <w:rPr>
          <w:rFonts w:ascii="Calibri" w:cs="Calibri"/>
          <w:i/>
          <w:iCs/>
        </w:rPr>
        <w:t>Journal of Biotechnology</w:t>
      </w:r>
      <w:r w:rsidRPr="00317E7D">
        <w:rPr>
          <w:rFonts w:ascii="Calibri" w:cs="Calibri"/>
        </w:rPr>
        <w:t xml:space="preserve"> </w:t>
      </w:r>
      <w:r w:rsidRPr="00317E7D">
        <w:rPr>
          <w:rFonts w:ascii="Calibri" w:cs="Calibri"/>
          <w:b/>
          <w:bCs/>
        </w:rPr>
        <w:t>148</w:t>
      </w:r>
      <w:r w:rsidRPr="00317E7D">
        <w:rPr>
          <w:rFonts w:ascii="Calibri" w:cs="Calibri"/>
        </w:rPr>
        <w:t>, 3–15 (2010).</w:t>
      </w:r>
    </w:p>
    <w:p w14:paraId="7814E1AF" w14:textId="77777777" w:rsidR="00317E7D" w:rsidRPr="00317E7D" w:rsidRDefault="00317E7D" w:rsidP="00317E7D">
      <w:pPr>
        <w:pStyle w:val="Bibliography"/>
        <w:rPr>
          <w:rFonts w:ascii="Calibri" w:cs="Calibri"/>
        </w:rPr>
      </w:pPr>
      <w:r w:rsidRPr="00317E7D">
        <w:rPr>
          <w:rFonts w:ascii="Calibri" w:cs="Calibri"/>
        </w:rPr>
        <w:t>303.</w:t>
      </w:r>
      <w:r w:rsidRPr="00317E7D">
        <w:rPr>
          <w:rFonts w:ascii="Calibri" w:cs="Calibri"/>
        </w:rPr>
        <w:tab/>
        <w:t xml:space="preserve">Park, M. C. </w:t>
      </w:r>
      <w:r w:rsidRPr="00317E7D">
        <w:rPr>
          <w:rFonts w:ascii="Calibri" w:cs="Calibri"/>
          <w:i/>
          <w:iCs/>
        </w:rPr>
        <w:t>et al.</w:t>
      </w:r>
      <w:r w:rsidRPr="00317E7D">
        <w:rPr>
          <w:rFonts w:ascii="Calibri" w:cs="Calibri"/>
        </w:rPr>
        <w:t xml:space="preserve"> Novel Morphologic and Genetic Analysis of Cancer Cells in a 3D Microenvironment Identifies STAT3 as a Regulator of Tumor Permeability Barrier Function. </w:t>
      </w:r>
      <w:r w:rsidRPr="00317E7D">
        <w:rPr>
          <w:rFonts w:ascii="Calibri" w:cs="Calibri"/>
          <w:i/>
          <w:iCs/>
        </w:rPr>
        <w:t>Cancer Research</w:t>
      </w:r>
      <w:r w:rsidRPr="00317E7D">
        <w:rPr>
          <w:rFonts w:ascii="Calibri" w:cs="Calibri"/>
        </w:rPr>
        <w:t xml:space="preserve"> </w:t>
      </w:r>
      <w:r w:rsidRPr="00317E7D">
        <w:rPr>
          <w:rFonts w:ascii="Calibri" w:cs="Calibri"/>
          <w:b/>
          <w:bCs/>
        </w:rPr>
        <w:t>76</w:t>
      </w:r>
      <w:r w:rsidRPr="00317E7D">
        <w:rPr>
          <w:rFonts w:ascii="Calibri" w:cs="Calibri"/>
        </w:rPr>
        <w:t>, 1044–1054 (2016).</w:t>
      </w:r>
    </w:p>
    <w:p w14:paraId="5422F594" w14:textId="77777777" w:rsidR="00317E7D" w:rsidRPr="00317E7D" w:rsidRDefault="00317E7D" w:rsidP="00317E7D">
      <w:pPr>
        <w:pStyle w:val="Bibliography"/>
        <w:rPr>
          <w:rFonts w:ascii="Calibri" w:cs="Calibri"/>
        </w:rPr>
      </w:pPr>
      <w:r w:rsidRPr="00317E7D">
        <w:rPr>
          <w:rFonts w:ascii="Calibri" w:cs="Calibri"/>
        </w:rPr>
        <w:lastRenderedPageBreak/>
        <w:t>304.</w:t>
      </w:r>
      <w:r w:rsidRPr="00317E7D">
        <w:rPr>
          <w:rFonts w:ascii="Calibri" w:cs="Calibri"/>
        </w:rPr>
        <w:tab/>
        <w:t xml:space="preserve">Takayama, S. </w:t>
      </w:r>
      <w:r w:rsidRPr="00317E7D">
        <w:rPr>
          <w:rFonts w:ascii="Calibri" w:cs="Calibri"/>
          <w:i/>
          <w:iCs/>
        </w:rPr>
        <w:t>et al.</w:t>
      </w:r>
      <w:r w:rsidRPr="00317E7D">
        <w:rPr>
          <w:rFonts w:ascii="Calibri" w:cs="Calibri"/>
        </w:rPr>
        <w:t xml:space="preserve"> Formation of stable small cell number three-dimensional ovarian cancer spheroids using hanging drop arrays for preclinical drug sensitivity assays. </w:t>
      </w:r>
      <w:r w:rsidRPr="00317E7D">
        <w:rPr>
          <w:rFonts w:ascii="Calibri" w:cs="Calibri"/>
          <w:i/>
          <w:iCs/>
        </w:rPr>
        <w:t>Gynecologic Oncology</w:t>
      </w:r>
      <w:r w:rsidRPr="00317E7D">
        <w:rPr>
          <w:rFonts w:ascii="Calibri" w:cs="Calibri"/>
        </w:rPr>
        <w:t xml:space="preserve"> (2015) doi:10.1016/j.ygyno.2015.04.014.</w:t>
      </w:r>
    </w:p>
    <w:p w14:paraId="5C34041C" w14:textId="77777777" w:rsidR="00317E7D" w:rsidRPr="00317E7D" w:rsidRDefault="00317E7D" w:rsidP="00317E7D">
      <w:pPr>
        <w:pStyle w:val="Bibliography"/>
        <w:rPr>
          <w:rFonts w:ascii="Calibri" w:cs="Calibri"/>
        </w:rPr>
      </w:pPr>
      <w:r w:rsidRPr="00317E7D">
        <w:rPr>
          <w:rFonts w:ascii="Calibri" w:cs="Calibri"/>
        </w:rPr>
        <w:t>305.</w:t>
      </w:r>
      <w:r w:rsidRPr="00317E7D">
        <w:rPr>
          <w:rFonts w:ascii="Calibri" w:cs="Calibri"/>
        </w:rPr>
        <w:tab/>
        <w:t xml:space="preserve">Horst, E. N. </w:t>
      </w:r>
      <w:r w:rsidRPr="00317E7D">
        <w:rPr>
          <w:rFonts w:ascii="Calibri" w:cs="Calibri"/>
          <w:i/>
          <w:iCs/>
        </w:rPr>
        <w:t>et al.</w:t>
      </w:r>
      <w:r w:rsidRPr="00317E7D">
        <w:rPr>
          <w:rFonts w:ascii="Calibri" w:cs="Calibri"/>
        </w:rPr>
        <w:t xml:space="preserve"> Comparative analysis of tumor spheroid generation techniques for differential in vitro drug toxicity. </w:t>
      </w:r>
      <w:r w:rsidRPr="00317E7D">
        <w:rPr>
          <w:rFonts w:ascii="Calibri" w:cs="Calibri"/>
          <w:i/>
          <w:iCs/>
        </w:rPr>
        <w:t>Oncotarget</w:t>
      </w:r>
      <w:r w:rsidRPr="00317E7D">
        <w:rPr>
          <w:rFonts w:ascii="Calibri" w:cs="Calibri"/>
        </w:rPr>
        <w:t xml:space="preserve"> (2016) doi:10.18632/oncotarget.7659.</w:t>
      </w:r>
    </w:p>
    <w:p w14:paraId="528E7BBD" w14:textId="77777777" w:rsidR="00317E7D" w:rsidRPr="00317E7D" w:rsidRDefault="00317E7D" w:rsidP="00317E7D">
      <w:pPr>
        <w:pStyle w:val="Bibliography"/>
        <w:rPr>
          <w:rFonts w:ascii="Calibri" w:cs="Calibri"/>
        </w:rPr>
      </w:pPr>
      <w:r w:rsidRPr="00317E7D">
        <w:rPr>
          <w:rFonts w:ascii="Calibri" w:cs="Calibri"/>
        </w:rPr>
        <w:t>306.</w:t>
      </w:r>
      <w:r w:rsidRPr="00317E7D">
        <w:rPr>
          <w:rFonts w:ascii="Calibri" w:cs="Calibri"/>
        </w:rPr>
        <w:tab/>
        <w:t xml:space="preserve">Shi, W. </w:t>
      </w:r>
      <w:r w:rsidRPr="00317E7D">
        <w:rPr>
          <w:rFonts w:ascii="Calibri" w:cs="Calibri"/>
          <w:i/>
          <w:iCs/>
        </w:rPr>
        <w:t>et al.</w:t>
      </w:r>
      <w:r w:rsidRPr="00317E7D">
        <w:rPr>
          <w:rFonts w:ascii="Calibri" w:cs="Calibri"/>
        </w:rPr>
        <w:t xml:space="preserve"> Facile Tumor Spheroids Formation in Large Quantity with Controllable Size and High Uniformity. </w:t>
      </w:r>
      <w:r w:rsidRPr="00317E7D">
        <w:rPr>
          <w:rFonts w:ascii="Calibri" w:cs="Calibri"/>
          <w:i/>
          <w:iCs/>
        </w:rPr>
        <w:t>Sci Rep</w:t>
      </w:r>
      <w:r w:rsidRPr="00317E7D">
        <w:rPr>
          <w:rFonts w:ascii="Calibri" w:cs="Calibri"/>
        </w:rPr>
        <w:t xml:space="preserve"> </w:t>
      </w:r>
      <w:r w:rsidRPr="00317E7D">
        <w:rPr>
          <w:rFonts w:ascii="Calibri" w:cs="Calibri"/>
          <w:b/>
          <w:bCs/>
        </w:rPr>
        <w:t>8</w:t>
      </w:r>
      <w:r w:rsidRPr="00317E7D">
        <w:rPr>
          <w:rFonts w:ascii="Calibri" w:cs="Calibri"/>
        </w:rPr>
        <w:t>, 6837 (2018).</w:t>
      </w:r>
    </w:p>
    <w:p w14:paraId="3F2DEC22" w14:textId="77777777" w:rsidR="00317E7D" w:rsidRPr="00317E7D" w:rsidRDefault="00317E7D" w:rsidP="00317E7D">
      <w:pPr>
        <w:pStyle w:val="Bibliography"/>
        <w:rPr>
          <w:rFonts w:ascii="Calibri" w:cs="Calibri"/>
        </w:rPr>
      </w:pPr>
      <w:r w:rsidRPr="00317E7D">
        <w:rPr>
          <w:rFonts w:ascii="Calibri" w:cs="Calibri"/>
        </w:rPr>
        <w:t>307.</w:t>
      </w:r>
      <w:r w:rsidRPr="00317E7D">
        <w:rPr>
          <w:rFonts w:ascii="Calibri" w:cs="Calibri"/>
        </w:rPr>
        <w:tab/>
        <w:t xml:space="preserve">Nath, S. &amp; Devi, G. R. Three-dimensional culture systems in cancer research: Focus on tumor spheroid model. </w:t>
      </w:r>
      <w:r w:rsidRPr="00317E7D">
        <w:rPr>
          <w:rFonts w:ascii="Calibri" w:cs="Calibri"/>
          <w:i/>
          <w:iCs/>
        </w:rPr>
        <w:t>Pharmacology &amp; Therapeutics</w:t>
      </w:r>
      <w:r w:rsidRPr="00317E7D">
        <w:rPr>
          <w:rFonts w:ascii="Calibri" w:cs="Calibri"/>
        </w:rPr>
        <w:t xml:space="preserve"> </w:t>
      </w:r>
      <w:r w:rsidRPr="00317E7D">
        <w:rPr>
          <w:rFonts w:ascii="Calibri" w:cs="Calibri"/>
          <w:b/>
          <w:bCs/>
        </w:rPr>
        <w:t>163</w:t>
      </w:r>
      <w:r w:rsidRPr="00317E7D">
        <w:rPr>
          <w:rFonts w:ascii="Calibri" w:cs="Calibri"/>
        </w:rPr>
        <w:t>, 94–108 (2016).</w:t>
      </w:r>
    </w:p>
    <w:p w14:paraId="5FC8B276" w14:textId="77777777" w:rsidR="00317E7D" w:rsidRPr="00317E7D" w:rsidRDefault="00317E7D" w:rsidP="00317E7D">
      <w:pPr>
        <w:pStyle w:val="Bibliography"/>
        <w:rPr>
          <w:rFonts w:ascii="Calibri" w:cs="Calibri"/>
        </w:rPr>
      </w:pPr>
      <w:r w:rsidRPr="00317E7D">
        <w:rPr>
          <w:rFonts w:ascii="Calibri" w:cs="Calibri"/>
        </w:rPr>
        <w:t>308.</w:t>
      </w:r>
      <w:r w:rsidRPr="00317E7D">
        <w:rPr>
          <w:rFonts w:ascii="Calibri" w:cs="Calibri"/>
        </w:rPr>
        <w:tab/>
        <w:t xml:space="preserve">Santo, V. E. </w:t>
      </w:r>
      <w:r w:rsidRPr="00317E7D">
        <w:rPr>
          <w:rFonts w:ascii="Calibri" w:cs="Calibri"/>
          <w:i/>
          <w:iCs/>
        </w:rPr>
        <w:t>et al.</w:t>
      </w:r>
      <w:r w:rsidRPr="00317E7D">
        <w:rPr>
          <w:rFonts w:ascii="Calibri" w:cs="Calibri"/>
        </w:rPr>
        <w:t xml:space="preserve"> Adaptable stirred-tank culture strategies for large scale production of multicellular spheroid-based tumor cell models. </w:t>
      </w:r>
      <w:r w:rsidRPr="00317E7D">
        <w:rPr>
          <w:rFonts w:ascii="Calibri" w:cs="Calibri"/>
          <w:i/>
          <w:iCs/>
        </w:rPr>
        <w:t>Journal of Biotechnology</w:t>
      </w:r>
      <w:r w:rsidRPr="00317E7D">
        <w:rPr>
          <w:rFonts w:ascii="Calibri" w:cs="Calibri"/>
        </w:rPr>
        <w:t xml:space="preserve"> </w:t>
      </w:r>
      <w:r w:rsidRPr="00317E7D">
        <w:rPr>
          <w:rFonts w:ascii="Calibri" w:cs="Calibri"/>
          <w:b/>
          <w:bCs/>
        </w:rPr>
        <w:t>221</w:t>
      </w:r>
      <w:r w:rsidRPr="00317E7D">
        <w:rPr>
          <w:rFonts w:ascii="Calibri" w:cs="Calibri"/>
        </w:rPr>
        <w:t>, 118–129 (2016).</w:t>
      </w:r>
    </w:p>
    <w:p w14:paraId="3173381A" w14:textId="77777777" w:rsidR="00317E7D" w:rsidRPr="00317E7D" w:rsidRDefault="00317E7D" w:rsidP="00317E7D">
      <w:pPr>
        <w:pStyle w:val="Bibliography"/>
        <w:rPr>
          <w:rFonts w:ascii="Calibri" w:cs="Calibri"/>
        </w:rPr>
      </w:pPr>
      <w:r w:rsidRPr="00317E7D">
        <w:rPr>
          <w:rFonts w:ascii="Calibri" w:cs="Calibri"/>
        </w:rPr>
        <w:t>309.</w:t>
      </w:r>
      <w:r w:rsidRPr="00317E7D">
        <w:rPr>
          <w:rFonts w:ascii="Calibri" w:cs="Calibri"/>
        </w:rPr>
        <w:tab/>
        <w:t xml:space="preserve">le Roux, L. </w:t>
      </w:r>
      <w:r w:rsidRPr="00317E7D">
        <w:rPr>
          <w:rFonts w:ascii="Calibri" w:cs="Calibri"/>
          <w:i/>
          <w:iCs/>
        </w:rPr>
        <w:t>et al.</w:t>
      </w:r>
      <w:r w:rsidRPr="00317E7D">
        <w:rPr>
          <w:rFonts w:ascii="Calibri" w:cs="Calibri"/>
        </w:rPr>
        <w:t xml:space="preserve"> Optimizing Imaging of Three-Dimensional Multicellular Tumor Spheroids with Fluorescent Reporter Proteins Using Confocal Microscopy. </w:t>
      </w:r>
      <w:r w:rsidRPr="00317E7D">
        <w:rPr>
          <w:rFonts w:ascii="Calibri" w:cs="Calibri"/>
          <w:i/>
          <w:iCs/>
        </w:rPr>
        <w:t>Mol Imaging</w:t>
      </w:r>
      <w:r w:rsidRPr="00317E7D">
        <w:rPr>
          <w:rFonts w:ascii="Calibri" w:cs="Calibri"/>
        </w:rPr>
        <w:t xml:space="preserve"> </w:t>
      </w:r>
      <w:r w:rsidRPr="00317E7D">
        <w:rPr>
          <w:rFonts w:ascii="Calibri" w:cs="Calibri"/>
          <w:b/>
          <w:bCs/>
        </w:rPr>
        <w:t>7</w:t>
      </w:r>
      <w:r w:rsidRPr="00317E7D">
        <w:rPr>
          <w:rFonts w:ascii="Calibri" w:cs="Calibri"/>
        </w:rPr>
        <w:t>, 7290.2008.00023 (2008).</w:t>
      </w:r>
    </w:p>
    <w:p w14:paraId="2C3C121E" w14:textId="77777777" w:rsidR="00317E7D" w:rsidRPr="00317E7D" w:rsidRDefault="00317E7D" w:rsidP="00317E7D">
      <w:pPr>
        <w:pStyle w:val="Bibliography"/>
        <w:rPr>
          <w:rFonts w:ascii="Calibri" w:cs="Calibri"/>
        </w:rPr>
      </w:pPr>
      <w:r w:rsidRPr="00317E7D">
        <w:rPr>
          <w:rFonts w:ascii="Calibri" w:cs="Calibri"/>
        </w:rPr>
        <w:t>310.</w:t>
      </w:r>
      <w:r w:rsidRPr="00317E7D">
        <w:rPr>
          <w:rFonts w:ascii="Calibri" w:cs="Calibri"/>
        </w:rPr>
        <w:tab/>
        <w:t xml:space="preserve">Heine, J. </w:t>
      </w:r>
      <w:r w:rsidRPr="00317E7D">
        <w:rPr>
          <w:rFonts w:ascii="Calibri" w:cs="Calibri"/>
          <w:i/>
          <w:iCs/>
        </w:rPr>
        <w:t>et al.</w:t>
      </w:r>
      <w:r w:rsidRPr="00317E7D">
        <w:rPr>
          <w:rFonts w:ascii="Calibri" w:cs="Calibri"/>
        </w:rPr>
        <w:t xml:space="preserve"> Three dimensional live-cell STED microscopy at increased depth using a water immersion objective. </w:t>
      </w:r>
      <w:r w:rsidRPr="00317E7D">
        <w:rPr>
          <w:rFonts w:ascii="Calibri" w:cs="Calibri"/>
          <w:i/>
          <w:iCs/>
        </w:rPr>
        <w:t>Review of Scientific Instruments</w:t>
      </w:r>
      <w:r w:rsidRPr="00317E7D">
        <w:rPr>
          <w:rFonts w:ascii="Calibri" w:cs="Calibri"/>
        </w:rPr>
        <w:t xml:space="preserve"> </w:t>
      </w:r>
      <w:r w:rsidRPr="00317E7D">
        <w:rPr>
          <w:rFonts w:ascii="Calibri" w:cs="Calibri"/>
          <w:b/>
          <w:bCs/>
        </w:rPr>
        <w:t>89</w:t>
      </w:r>
      <w:r w:rsidRPr="00317E7D">
        <w:rPr>
          <w:rFonts w:ascii="Calibri" w:cs="Calibri"/>
        </w:rPr>
        <w:t>, 053701 (2018).</w:t>
      </w:r>
    </w:p>
    <w:p w14:paraId="178FC61E" w14:textId="77777777" w:rsidR="00317E7D" w:rsidRPr="00317E7D" w:rsidRDefault="00317E7D" w:rsidP="00317E7D">
      <w:pPr>
        <w:pStyle w:val="Bibliography"/>
        <w:rPr>
          <w:rFonts w:ascii="Calibri" w:cs="Calibri"/>
        </w:rPr>
      </w:pPr>
      <w:r w:rsidRPr="00317E7D">
        <w:rPr>
          <w:rFonts w:ascii="Calibri" w:cs="Calibri"/>
        </w:rPr>
        <w:t>311.</w:t>
      </w:r>
      <w:r w:rsidRPr="00317E7D">
        <w:rPr>
          <w:rFonts w:ascii="Calibri" w:cs="Calibri"/>
        </w:rPr>
        <w:tab/>
        <w:t xml:space="preserve">Uygur, B. &amp; Wu, W.-S. SLUG promotes prostate cancer cell migration and invasion via CXCR4/CXCL12 axis. </w:t>
      </w:r>
      <w:r w:rsidRPr="00317E7D">
        <w:rPr>
          <w:rFonts w:ascii="Calibri" w:cs="Calibri"/>
          <w:i/>
          <w:iCs/>
        </w:rPr>
        <w:t>Mol Cancer</w:t>
      </w:r>
      <w:r w:rsidRPr="00317E7D">
        <w:rPr>
          <w:rFonts w:ascii="Calibri" w:cs="Calibri"/>
        </w:rPr>
        <w:t xml:space="preserve"> </w:t>
      </w:r>
      <w:r w:rsidRPr="00317E7D">
        <w:rPr>
          <w:rFonts w:ascii="Calibri" w:cs="Calibri"/>
          <w:b/>
          <w:bCs/>
        </w:rPr>
        <w:t>10</w:t>
      </w:r>
      <w:r w:rsidRPr="00317E7D">
        <w:rPr>
          <w:rFonts w:ascii="Calibri" w:cs="Calibri"/>
        </w:rPr>
        <w:t>, 139 (2011).</w:t>
      </w:r>
    </w:p>
    <w:p w14:paraId="01B02FBD" w14:textId="77777777" w:rsidR="00317E7D" w:rsidRPr="00317E7D" w:rsidRDefault="00317E7D" w:rsidP="00317E7D">
      <w:pPr>
        <w:pStyle w:val="Bibliography"/>
        <w:rPr>
          <w:rFonts w:ascii="Calibri" w:cs="Calibri"/>
        </w:rPr>
      </w:pPr>
      <w:r w:rsidRPr="00317E7D">
        <w:rPr>
          <w:rFonts w:ascii="Calibri" w:cs="Calibri"/>
        </w:rPr>
        <w:t>312.</w:t>
      </w:r>
      <w:r w:rsidRPr="00317E7D">
        <w:rPr>
          <w:rFonts w:ascii="Calibri" w:cs="Calibri"/>
        </w:rPr>
        <w:tab/>
        <w:t xml:space="preserve">Domcke, S., Sinha, R., Levine, D. A., Sander, C. &amp; Schultz, N. Evaluating cell lines as tumour models by comparison of genomic profiles. </w:t>
      </w:r>
      <w:r w:rsidRPr="00317E7D">
        <w:rPr>
          <w:rFonts w:ascii="Calibri" w:cs="Calibri"/>
          <w:i/>
          <w:iCs/>
        </w:rPr>
        <w:t>Nat Commun</w:t>
      </w:r>
      <w:r w:rsidRPr="00317E7D">
        <w:rPr>
          <w:rFonts w:ascii="Calibri" w:cs="Calibri"/>
        </w:rPr>
        <w:t xml:space="preserve"> </w:t>
      </w:r>
      <w:r w:rsidRPr="00317E7D">
        <w:rPr>
          <w:rFonts w:ascii="Calibri" w:cs="Calibri"/>
          <w:b/>
          <w:bCs/>
        </w:rPr>
        <w:t>4</w:t>
      </w:r>
      <w:r w:rsidRPr="00317E7D">
        <w:rPr>
          <w:rFonts w:ascii="Calibri" w:cs="Calibri"/>
        </w:rPr>
        <w:t>, 2126 (2013).</w:t>
      </w:r>
    </w:p>
    <w:p w14:paraId="5F241A09" w14:textId="77777777" w:rsidR="00317E7D" w:rsidRPr="00317E7D" w:rsidRDefault="00317E7D" w:rsidP="00317E7D">
      <w:pPr>
        <w:pStyle w:val="Bibliography"/>
        <w:rPr>
          <w:rFonts w:ascii="Calibri" w:cs="Calibri"/>
        </w:rPr>
      </w:pPr>
      <w:r w:rsidRPr="00317E7D">
        <w:rPr>
          <w:rFonts w:ascii="Calibri" w:cs="Calibri"/>
        </w:rPr>
        <w:lastRenderedPageBreak/>
        <w:t>313.</w:t>
      </w:r>
      <w:r w:rsidRPr="00317E7D">
        <w:rPr>
          <w:rFonts w:ascii="Calibri" w:cs="Calibri"/>
        </w:rPr>
        <w:tab/>
        <w:t xml:space="preserve">Lovitt, C., Shelper, T. &amp; Avery, V. Advanced Cell Culture Techniques for Cancer Drug Discovery. </w:t>
      </w:r>
      <w:r w:rsidRPr="00317E7D">
        <w:rPr>
          <w:rFonts w:ascii="Calibri" w:cs="Calibri"/>
          <w:i/>
          <w:iCs/>
        </w:rPr>
        <w:t>Biology</w:t>
      </w:r>
      <w:r w:rsidRPr="00317E7D">
        <w:rPr>
          <w:rFonts w:ascii="Calibri" w:cs="Calibri"/>
        </w:rPr>
        <w:t xml:space="preserve"> </w:t>
      </w:r>
      <w:r w:rsidRPr="00317E7D">
        <w:rPr>
          <w:rFonts w:ascii="Calibri" w:cs="Calibri"/>
          <w:b/>
          <w:bCs/>
        </w:rPr>
        <w:t>3</w:t>
      </w:r>
      <w:r w:rsidRPr="00317E7D">
        <w:rPr>
          <w:rFonts w:ascii="Calibri" w:cs="Calibri"/>
        </w:rPr>
        <w:t>, 345–367 (2014).</w:t>
      </w:r>
    </w:p>
    <w:p w14:paraId="0707A3D7" w14:textId="77777777" w:rsidR="00317E7D" w:rsidRPr="00317E7D" w:rsidRDefault="00317E7D" w:rsidP="00317E7D">
      <w:pPr>
        <w:pStyle w:val="Bibliography"/>
        <w:rPr>
          <w:rFonts w:ascii="Calibri" w:cs="Calibri"/>
        </w:rPr>
      </w:pPr>
      <w:r w:rsidRPr="00317E7D">
        <w:rPr>
          <w:rFonts w:ascii="Calibri" w:cs="Calibri"/>
        </w:rPr>
        <w:t>314.</w:t>
      </w:r>
      <w:r w:rsidRPr="00317E7D">
        <w:rPr>
          <w:rFonts w:ascii="Calibri" w:cs="Calibri"/>
        </w:rPr>
        <w:tab/>
        <w:t xml:space="preserve">Smith, J. A., Ngo, H., Martin, M. C. &amp; Wolf, J. K. An evaluation of cytotoxicity of the taxane and platinum agents combination treatment in a panel of human ovarian carcinoma cell lines. </w:t>
      </w:r>
      <w:r w:rsidRPr="00317E7D">
        <w:rPr>
          <w:rFonts w:ascii="Calibri" w:cs="Calibri"/>
          <w:i/>
          <w:iCs/>
        </w:rPr>
        <w:t>Gynecologic Oncology</w:t>
      </w:r>
      <w:r w:rsidRPr="00317E7D">
        <w:rPr>
          <w:rFonts w:ascii="Calibri" w:cs="Calibri"/>
        </w:rPr>
        <w:t xml:space="preserve"> </w:t>
      </w:r>
      <w:r w:rsidRPr="00317E7D">
        <w:rPr>
          <w:rFonts w:ascii="Calibri" w:cs="Calibri"/>
          <w:b/>
          <w:bCs/>
        </w:rPr>
        <w:t>98</w:t>
      </w:r>
      <w:r w:rsidRPr="00317E7D">
        <w:rPr>
          <w:rFonts w:ascii="Calibri" w:cs="Calibri"/>
        </w:rPr>
        <w:t>, 141–145 (2005).</w:t>
      </w:r>
    </w:p>
    <w:p w14:paraId="4B252E0B" w14:textId="77777777" w:rsidR="00317E7D" w:rsidRPr="00317E7D" w:rsidRDefault="00317E7D" w:rsidP="00317E7D">
      <w:pPr>
        <w:pStyle w:val="Bibliography"/>
        <w:rPr>
          <w:rFonts w:ascii="Calibri" w:cs="Calibri"/>
        </w:rPr>
      </w:pPr>
      <w:r w:rsidRPr="00317E7D">
        <w:rPr>
          <w:rFonts w:ascii="Calibri" w:cs="Calibri"/>
        </w:rPr>
        <w:t>315.</w:t>
      </w:r>
      <w:r w:rsidRPr="00317E7D">
        <w:rPr>
          <w:rFonts w:ascii="Calibri" w:cs="Calibri"/>
        </w:rPr>
        <w:tab/>
        <w:t xml:space="preserve">Untch, M. </w:t>
      </w:r>
      <w:r w:rsidRPr="00317E7D">
        <w:rPr>
          <w:rFonts w:ascii="Calibri" w:cs="Calibri"/>
          <w:i/>
          <w:iCs/>
        </w:rPr>
        <w:t>et al.</w:t>
      </w:r>
      <w:r w:rsidRPr="00317E7D">
        <w:rPr>
          <w:rFonts w:ascii="Calibri" w:cs="Calibri"/>
        </w:rPr>
        <w:t xml:space="preserve"> Evaluation of Paclitaxel (Taxol), Cisplatin, and the Combination Paclitaxel-Cisplatin in Ovarian Cancer in Vitro with the ATP Cell Viability Assay. </w:t>
      </w:r>
      <w:r w:rsidRPr="00317E7D">
        <w:rPr>
          <w:rFonts w:ascii="Calibri" w:cs="Calibri"/>
          <w:i/>
          <w:iCs/>
        </w:rPr>
        <w:t>Gynecologic Oncology</w:t>
      </w:r>
      <w:r w:rsidRPr="00317E7D">
        <w:rPr>
          <w:rFonts w:ascii="Calibri" w:cs="Calibri"/>
        </w:rPr>
        <w:t xml:space="preserve"> </w:t>
      </w:r>
      <w:r w:rsidRPr="00317E7D">
        <w:rPr>
          <w:rFonts w:ascii="Calibri" w:cs="Calibri"/>
          <w:b/>
          <w:bCs/>
        </w:rPr>
        <w:t>53</w:t>
      </w:r>
      <w:r w:rsidRPr="00317E7D">
        <w:rPr>
          <w:rFonts w:ascii="Calibri" w:cs="Calibri"/>
        </w:rPr>
        <w:t>, 44–49 (1994).</w:t>
      </w:r>
    </w:p>
    <w:p w14:paraId="6C644C03" w14:textId="77777777" w:rsidR="00317E7D" w:rsidRPr="00317E7D" w:rsidRDefault="00317E7D" w:rsidP="00317E7D">
      <w:pPr>
        <w:pStyle w:val="Bibliography"/>
        <w:rPr>
          <w:rFonts w:ascii="Calibri" w:cs="Calibri"/>
        </w:rPr>
      </w:pPr>
      <w:r w:rsidRPr="00317E7D">
        <w:rPr>
          <w:rFonts w:ascii="Calibri" w:cs="Calibri"/>
        </w:rPr>
        <w:t>316.</w:t>
      </w:r>
      <w:r w:rsidRPr="00317E7D">
        <w:rPr>
          <w:rFonts w:ascii="Calibri" w:cs="Calibri"/>
        </w:rPr>
        <w:tab/>
        <w:t xml:space="preserve">du Bois, A. A Randomized Clinical Trial of Cisplatin/Paclitaxel Versus Carboplatin/Paclitaxel as First-Line Treatment of Ovarian Cancer. </w:t>
      </w:r>
      <w:r w:rsidRPr="00317E7D">
        <w:rPr>
          <w:rFonts w:ascii="Calibri" w:cs="Calibri"/>
          <w:i/>
          <w:iCs/>
        </w:rPr>
        <w:t>CancerSpectrum Knowledge Environment</w:t>
      </w:r>
      <w:r w:rsidRPr="00317E7D">
        <w:rPr>
          <w:rFonts w:ascii="Calibri" w:cs="Calibri"/>
        </w:rPr>
        <w:t xml:space="preserve"> </w:t>
      </w:r>
      <w:r w:rsidRPr="00317E7D">
        <w:rPr>
          <w:rFonts w:ascii="Calibri" w:cs="Calibri"/>
          <w:b/>
          <w:bCs/>
        </w:rPr>
        <w:t>95</w:t>
      </w:r>
      <w:r w:rsidRPr="00317E7D">
        <w:rPr>
          <w:rFonts w:ascii="Calibri" w:cs="Calibri"/>
        </w:rPr>
        <w:t>, 1320–1329 (2003).</w:t>
      </w:r>
    </w:p>
    <w:p w14:paraId="5EC4FE22" w14:textId="77777777" w:rsidR="00317E7D" w:rsidRPr="00317E7D" w:rsidRDefault="00317E7D" w:rsidP="00317E7D">
      <w:pPr>
        <w:pStyle w:val="Bibliography"/>
        <w:rPr>
          <w:rFonts w:ascii="Calibri" w:cs="Calibri"/>
        </w:rPr>
      </w:pPr>
      <w:r w:rsidRPr="00317E7D">
        <w:rPr>
          <w:rFonts w:ascii="Calibri" w:cs="Calibri"/>
        </w:rPr>
        <w:t>317.</w:t>
      </w:r>
      <w:r w:rsidRPr="00317E7D">
        <w:rPr>
          <w:rFonts w:ascii="Calibri" w:cs="Calibri"/>
        </w:rPr>
        <w:tab/>
        <w:t xml:space="preserve">Bicaku, E. </w:t>
      </w:r>
      <w:r w:rsidRPr="00317E7D">
        <w:rPr>
          <w:rFonts w:ascii="Calibri" w:cs="Calibri"/>
          <w:i/>
          <w:iCs/>
        </w:rPr>
        <w:t>et al.</w:t>
      </w:r>
      <w:r w:rsidRPr="00317E7D">
        <w:rPr>
          <w:rFonts w:ascii="Calibri" w:cs="Calibri"/>
        </w:rPr>
        <w:t xml:space="preserve"> In vitro analysis of ovarian cancer response to cisplatin, carboplatin, and paclitaxel identifies common pathways that are also associated with overall patient survival. </w:t>
      </w:r>
      <w:r w:rsidRPr="00317E7D">
        <w:rPr>
          <w:rFonts w:ascii="Calibri" w:cs="Calibri"/>
          <w:i/>
          <w:iCs/>
        </w:rPr>
        <w:t>Br J Cancer</w:t>
      </w:r>
      <w:r w:rsidRPr="00317E7D">
        <w:rPr>
          <w:rFonts w:ascii="Calibri" w:cs="Calibri"/>
        </w:rPr>
        <w:t xml:space="preserve"> </w:t>
      </w:r>
      <w:r w:rsidRPr="00317E7D">
        <w:rPr>
          <w:rFonts w:ascii="Calibri" w:cs="Calibri"/>
          <w:b/>
          <w:bCs/>
        </w:rPr>
        <w:t>106</w:t>
      </w:r>
      <w:r w:rsidRPr="00317E7D">
        <w:rPr>
          <w:rFonts w:ascii="Calibri" w:cs="Calibri"/>
        </w:rPr>
        <w:t>, 1967–1975 (2012).</w:t>
      </w:r>
    </w:p>
    <w:p w14:paraId="46563FAF" w14:textId="77777777" w:rsidR="00317E7D" w:rsidRPr="00317E7D" w:rsidRDefault="00317E7D" w:rsidP="00317E7D">
      <w:pPr>
        <w:pStyle w:val="Bibliography"/>
        <w:rPr>
          <w:rFonts w:ascii="Calibri" w:cs="Calibri"/>
        </w:rPr>
      </w:pPr>
      <w:r w:rsidRPr="00317E7D">
        <w:rPr>
          <w:rFonts w:ascii="Calibri" w:cs="Calibri"/>
        </w:rPr>
        <w:t>318.</w:t>
      </w:r>
      <w:r w:rsidRPr="00317E7D">
        <w:rPr>
          <w:rFonts w:ascii="Calibri" w:cs="Calibri"/>
        </w:rPr>
        <w:tab/>
        <w:t xml:space="preserve">McGrail, D. J. </w:t>
      </w:r>
      <w:r w:rsidRPr="00317E7D">
        <w:rPr>
          <w:rFonts w:ascii="Calibri" w:cs="Calibri"/>
          <w:i/>
          <w:iCs/>
        </w:rPr>
        <w:t>et al.</w:t>
      </w:r>
      <w:r w:rsidRPr="00317E7D">
        <w:rPr>
          <w:rFonts w:ascii="Calibri" w:cs="Calibri"/>
        </w:rPr>
        <w:t xml:space="preserve"> Alterations in Ovarian Cancer Cell Adhesion Drive Taxol Resistance by Increasing Microtubule Dynamics in a FAK-dependent Manner. </w:t>
      </w:r>
      <w:r w:rsidRPr="00317E7D">
        <w:rPr>
          <w:rFonts w:ascii="Calibri" w:cs="Calibri"/>
          <w:i/>
          <w:iCs/>
        </w:rPr>
        <w:t>Sci Rep</w:t>
      </w:r>
      <w:r w:rsidRPr="00317E7D">
        <w:rPr>
          <w:rFonts w:ascii="Calibri" w:cs="Calibri"/>
        </w:rPr>
        <w:t xml:space="preserve"> </w:t>
      </w:r>
      <w:r w:rsidRPr="00317E7D">
        <w:rPr>
          <w:rFonts w:ascii="Calibri" w:cs="Calibri"/>
          <w:b/>
          <w:bCs/>
        </w:rPr>
        <w:t>5</w:t>
      </w:r>
      <w:r w:rsidRPr="00317E7D">
        <w:rPr>
          <w:rFonts w:ascii="Calibri" w:cs="Calibri"/>
        </w:rPr>
        <w:t>, 9529 (2015).</w:t>
      </w:r>
    </w:p>
    <w:p w14:paraId="75D5F489" w14:textId="77777777" w:rsidR="00317E7D" w:rsidRPr="00317E7D" w:rsidRDefault="00317E7D" w:rsidP="00317E7D">
      <w:pPr>
        <w:pStyle w:val="Bibliography"/>
        <w:rPr>
          <w:rFonts w:ascii="Calibri" w:cs="Calibri"/>
        </w:rPr>
      </w:pPr>
      <w:r w:rsidRPr="00317E7D">
        <w:rPr>
          <w:rFonts w:ascii="Calibri" w:cs="Calibri"/>
        </w:rPr>
        <w:t>319.</w:t>
      </w:r>
      <w:r w:rsidRPr="00317E7D">
        <w:rPr>
          <w:rFonts w:ascii="Calibri" w:cs="Calibri"/>
        </w:rPr>
        <w:tab/>
        <w:t xml:space="preserve">Muenyi, C. S. </w:t>
      </w:r>
      <w:r w:rsidRPr="00317E7D">
        <w:rPr>
          <w:rFonts w:ascii="Calibri" w:cs="Calibri"/>
          <w:i/>
          <w:iCs/>
        </w:rPr>
        <w:t>et al.</w:t>
      </w:r>
      <w:r w:rsidRPr="00317E7D">
        <w:rPr>
          <w:rFonts w:ascii="Calibri" w:cs="Calibri"/>
        </w:rPr>
        <w:t xml:space="preserve"> Sodium Arsenite ± Hyperthermia Sensitizes p53-Expressing Human Ovarian Cancer Cells to Cisplatin by Modulating Platinum-DNA Damage Responses. </w:t>
      </w:r>
      <w:r w:rsidRPr="00317E7D">
        <w:rPr>
          <w:rFonts w:ascii="Calibri" w:cs="Calibri"/>
          <w:i/>
          <w:iCs/>
        </w:rPr>
        <w:t>Toxicological Sciences</w:t>
      </w:r>
      <w:r w:rsidRPr="00317E7D">
        <w:rPr>
          <w:rFonts w:ascii="Calibri" w:cs="Calibri"/>
        </w:rPr>
        <w:t xml:space="preserve"> </w:t>
      </w:r>
      <w:r w:rsidRPr="00317E7D">
        <w:rPr>
          <w:rFonts w:ascii="Calibri" w:cs="Calibri"/>
          <w:b/>
          <w:bCs/>
        </w:rPr>
        <w:t>127</w:t>
      </w:r>
      <w:r w:rsidRPr="00317E7D">
        <w:rPr>
          <w:rFonts w:ascii="Calibri" w:cs="Calibri"/>
        </w:rPr>
        <w:t>, 139–149 (2012).</w:t>
      </w:r>
    </w:p>
    <w:p w14:paraId="2C13356A" w14:textId="77777777" w:rsidR="00317E7D" w:rsidRPr="00317E7D" w:rsidRDefault="00317E7D" w:rsidP="00317E7D">
      <w:pPr>
        <w:pStyle w:val="Bibliography"/>
        <w:rPr>
          <w:rFonts w:ascii="Calibri" w:cs="Calibri"/>
        </w:rPr>
      </w:pPr>
      <w:r w:rsidRPr="00317E7D">
        <w:rPr>
          <w:rFonts w:ascii="Calibri" w:cs="Calibri"/>
        </w:rPr>
        <w:t>320.</w:t>
      </w:r>
      <w:r w:rsidRPr="00317E7D">
        <w:rPr>
          <w:rFonts w:ascii="Calibri" w:cs="Calibri"/>
        </w:rPr>
        <w:tab/>
        <w:t xml:space="preserve">Kijanska, M. &amp; Kelm, J. In vitro 3D Spheroids and Microtissues: ATP-based Cell Viability and Toxicity Assays. in </w:t>
      </w:r>
      <w:r w:rsidRPr="00317E7D">
        <w:rPr>
          <w:rFonts w:ascii="Calibri" w:cs="Calibri"/>
          <w:i/>
          <w:iCs/>
        </w:rPr>
        <w:t>Assay Guidance Manual</w:t>
      </w:r>
      <w:r w:rsidRPr="00317E7D">
        <w:rPr>
          <w:rFonts w:ascii="Calibri" w:cs="Calibri"/>
        </w:rPr>
        <w:t xml:space="preserve"> (eds. Sittampalam, G. S. et al.) (Eli Lilly &amp; Company and the National Center for Advancing Translational Sciences, 2004).</w:t>
      </w:r>
    </w:p>
    <w:p w14:paraId="77F4F0E8" w14:textId="77777777" w:rsidR="00317E7D" w:rsidRPr="00317E7D" w:rsidRDefault="00317E7D" w:rsidP="00317E7D">
      <w:pPr>
        <w:pStyle w:val="Bibliography"/>
        <w:rPr>
          <w:rFonts w:ascii="Calibri" w:cs="Calibri"/>
        </w:rPr>
      </w:pPr>
      <w:r w:rsidRPr="00317E7D">
        <w:rPr>
          <w:rFonts w:ascii="Calibri" w:cs="Calibri"/>
        </w:rPr>
        <w:lastRenderedPageBreak/>
        <w:t>321.</w:t>
      </w:r>
      <w:r w:rsidRPr="00317E7D">
        <w:rPr>
          <w:rFonts w:ascii="Calibri" w:cs="Calibri"/>
        </w:rPr>
        <w:tab/>
        <w:t xml:space="preserve">Mittler, F. </w:t>
      </w:r>
      <w:r w:rsidRPr="00317E7D">
        <w:rPr>
          <w:rFonts w:ascii="Calibri" w:cs="Calibri"/>
          <w:i/>
          <w:iCs/>
        </w:rPr>
        <w:t>et al.</w:t>
      </w:r>
      <w:r w:rsidRPr="00317E7D">
        <w:rPr>
          <w:rFonts w:ascii="Calibri" w:cs="Calibri"/>
        </w:rPr>
        <w:t xml:space="preserve"> High-Content Monitoring of Drug Effects in a 3D Spheroid Model. </w:t>
      </w:r>
      <w:r w:rsidRPr="00317E7D">
        <w:rPr>
          <w:rFonts w:ascii="Calibri" w:cs="Calibri"/>
          <w:i/>
          <w:iCs/>
        </w:rPr>
        <w:t>Front. Oncol.</w:t>
      </w:r>
      <w:r w:rsidRPr="00317E7D">
        <w:rPr>
          <w:rFonts w:ascii="Calibri" w:cs="Calibri"/>
        </w:rPr>
        <w:t xml:space="preserve"> </w:t>
      </w:r>
      <w:r w:rsidRPr="00317E7D">
        <w:rPr>
          <w:rFonts w:ascii="Calibri" w:cs="Calibri"/>
          <w:b/>
          <w:bCs/>
        </w:rPr>
        <w:t>7</w:t>
      </w:r>
      <w:r w:rsidRPr="00317E7D">
        <w:rPr>
          <w:rFonts w:ascii="Calibri" w:cs="Calibri"/>
        </w:rPr>
        <w:t>, 293 (2017).</w:t>
      </w:r>
    </w:p>
    <w:p w14:paraId="0ACAE67A" w14:textId="77777777" w:rsidR="00317E7D" w:rsidRPr="00317E7D" w:rsidRDefault="00317E7D" w:rsidP="00317E7D">
      <w:pPr>
        <w:pStyle w:val="Bibliography"/>
        <w:rPr>
          <w:rFonts w:ascii="Calibri" w:cs="Calibri"/>
        </w:rPr>
      </w:pPr>
      <w:r w:rsidRPr="00317E7D">
        <w:rPr>
          <w:rFonts w:ascii="Calibri" w:cs="Calibri"/>
        </w:rPr>
        <w:t>322.</w:t>
      </w:r>
      <w:r w:rsidRPr="00317E7D">
        <w:rPr>
          <w:rFonts w:ascii="Calibri" w:cs="Calibri"/>
        </w:rPr>
        <w:tab/>
        <w:t xml:space="preserve">Yvon, A.-M. C., Wadsworth, P. &amp; Jordan, M. A. Taxol Suppresses Dynamics of Individual Microtubules in Living Human Tumor Cells. </w:t>
      </w:r>
      <w:r w:rsidRPr="00317E7D">
        <w:rPr>
          <w:rFonts w:ascii="Calibri" w:cs="Calibri"/>
          <w:i/>
          <w:iCs/>
        </w:rPr>
        <w:t>MBoC</w:t>
      </w:r>
      <w:r w:rsidRPr="00317E7D">
        <w:rPr>
          <w:rFonts w:ascii="Calibri" w:cs="Calibri"/>
        </w:rPr>
        <w:t xml:space="preserve"> </w:t>
      </w:r>
      <w:r w:rsidRPr="00317E7D">
        <w:rPr>
          <w:rFonts w:ascii="Calibri" w:cs="Calibri"/>
          <w:b/>
          <w:bCs/>
        </w:rPr>
        <w:t>10</w:t>
      </w:r>
      <w:r w:rsidRPr="00317E7D">
        <w:rPr>
          <w:rFonts w:ascii="Calibri" w:cs="Calibri"/>
        </w:rPr>
        <w:t>, 947–959 (1999).</w:t>
      </w:r>
    </w:p>
    <w:p w14:paraId="24F882E8" w14:textId="77777777" w:rsidR="00317E7D" w:rsidRPr="00317E7D" w:rsidRDefault="00317E7D" w:rsidP="00317E7D">
      <w:pPr>
        <w:pStyle w:val="Bibliography"/>
        <w:rPr>
          <w:rFonts w:ascii="Calibri" w:cs="Calibri"/>
        </w:rPr>
      </w:pPr>
      <w:r w:rsidRPr="00317E7D">
        <w:rPr>
          <w:rFonts w:ascii="Calibri" w:cs="Calibri"/>
        </w:rPr>
        <w:t>323.</w:t>
      </w:r>
      <w:r w:rsidRPr="00317E7D">
        <w:rPr>
          <w:rFonts w:ascii="Calibri" w:cs="Calibri"/>
        </w:rPr>
        <w:tab/>
        <w:t xml:space="preserve">Dasari, S. &amp; Bernard Tchounwou, P. Cisplatin in cancer therapy: Molecular mechanisms of action. </w:t>
      </w:r>
      <w:r w:rsidRPr="00317E7D">
        <w:rPr>
          <w:rFonts w:ascii="Calibri" w:cs="Calibri"/>
          <w:i/>
          <w:iCs/>
        </w:rPr>
        <w:t>European Journal of Pharmacology</w:t>
      </w:r>
      <w:r w:rsidRPr="00317E7D">
        <w:rPr>
          <w:rFonts w:ascii="Calibri" w:cs="Calibri"/>
        </w:rPr>
        <w:t xml:space="preserve"> </w:t>
      </w:r>
      <w:r w:rsidRPr="00317E7D">
        <w:rPr>
          <w:rFonts w:ascii="Calibri" w:cs="Calibri"/>
          <w:b/>
          <w:bCs/>
        </w:rPr>
        <w:t>740</w:t>
      </w:r>
      <w:r w:rsidRPr="00317E7D">
        <w:rPr>
          <w:rFonts w:ascii="Calibri" w:cs="Calibri"/>
        </w:rPr>
        <w:t>, 364–378 (2014).</w:t>
      </w:r>
    </w:p>
    <w:p w14:paraId="6CC2B4AD" w14:textId="77777777" w:rsidR="00317E7D" w:rsidRPr="00317E7D" w:rsidRDefault="00317E7D" w:rsidP="00317E7D">
      <w:pPr>
        <w:pStyle w:val="Bibliography"/>
        <w:rPr>
          <w:rFonts w:ascii="Calibri" w:cs="Calibri"/>
        </w:rPr>
      </w:pPr>
      <w:r w:rsidRPr="00317E7D">
        <w:rPr>
          <w:rFonts w:ascii="Calibri" w:cs="Calibri"/>
        </w:rPr>
        <w:t>324.</w:t>
      </w:r>
      <w:r w:rsidRPr="00317E7D">
        <w:rPr>
          <w:rFonts w:ascii="Calibri" w:cs="Calibri"/>
        </w:rPr>
        <w:tab/>
        <w:t xml:space="preserve">Yap, A. S. The Morphogenetic Role of Cadherin Cell Adhesion Molecules in Human Cancer: A Thematic Review. </w:t>
      </w:r>
      <w:r w:rsidRPr="00317E7D">
        <w:rPr>
          <w:rFonts w:ascii="Calibri" w:cs="Calibri"/>
          <w:i/>
          <w:iCs/>
        </w:rPr>
        <w:t>Cancer Investigation</w:t>
      </w:r>
      <w:r w:rsidRPr="00317E7D">
        <w:rPr>
          <w:rFonts w:ascii="Calibri" w:cs="Calibri"/>
        </w:rPr>
        <w:t xml:space="preserve"> </w:t>
      </w:r>
      <w:r w:rsidRPr="00317E7D">
        <w:rPr>
          <w:rFonts w:ascii="Calibri" w:cs="Calibri"/>
          <w:b/>
          <w:bCs/>
        </w:rPr>
        <w:t>16</w:t>
      </w:r>
      <w:r w:rsidRPr="00317E7D">
        <w:rPr>
          <w:rFonts w:ascii="Calibri" w:cs="Calibri"/>
        </w:rPr>
        <w:t>, 252–261 (1998).</w:t>
      </w:r>
    </w:p>
    <w:p w14:paraId="049A4C1C" w14:textId="77777777" w:rsidR="00317E7D" w:rsidRPr="00317E7D" w:rsidRDefault="00317E7D" w:rsidP="00317E7D">
      <w:pPr>
        <w:pStyle w:val="Bibliography"/>
        <w:rPr>
          <w:rFonts w:ascii="Calibri" w:cs="Calibri"/>
        </w:rPr>
      </w:pPr>
      <w:r w:rsidRPr="00317E7D">
        <w:rPr>
          <w:rFonts w:ascii="Calibri" w:cs="Calibri"/>
        </w:rPr>
        <w:t>325.</w:t>
      </w:r>
      <w:r w:rsidRPr="00317E7D">
        <w:rPr>
          <w:rFonts w:ascii="Calibri" w:cs="Calibri"/>
        </w:rPr>
        <w:tab/>
        <w:t xml:space="preserve">Rosso, M. </w:t>
      </w:r>
      <w:r w:rsidRPr="00317E7D">
        <w:rPr>
          <w:rFonts w:ascii="Calibri" w:cs="Calibri"/>
          <w:i/>
          <w:iCs/>
        </w:rPr>
        <w:t>et al.</w:t>
      </w:r>
      <w:r w:rsidRPr="00317E7D">
        <w:rPr>
          <w:rFonts w:ascii="Calibri" w:cs="Calibri"/>
        </w:rPr>
        <w:t xml:space="preserve"> E-cadherin: A determinant molecule associated with ovarian cancer progression, dissemination and aggressiveness. </w:t>
      </w:r>
      <w:r w:rsidRPr="00317E7D">
        <w:rPr>
          <w:rFonts w:ascii="Calibri" w:cs="Calibri"/>
          <w:i/>
          <w:iCs/>
        </w:rPr>
        <w:t>PLoS ONE</w:t>
      </w:r>
      <w:r w:rsidRPr="00317E7D">
        <w:rPr>
          <w:rFonts w:ascii="Calibri" w:cs="Calibri"/>
        </w:rPr>
        <w:t xml:space="preserve"> (2017) doi:10.1371/journal.pone.0184439.</w:t>
      </w:r>
    </w:p>
    <w:p w14:paraId="2E667A02" w14:textId="77777777" w:rsidR="00317E7D" w:rsidRPr="00317E7D" w:rsidRDefault="00317E7D" w:rsidP="00317E7D">
      <w:pPr>
        <w:pStyle w:val="Bibliography"/>
        <w:rPr>
          <w:rFonts w:ascii="Calibri" w:cs="Calibri"/>
        </w:rPr>
      </w:pPr>
      <w:r w:rsidRPr="00317E7D">
        <w:rPr>
          <w:rFonts w:ascii="Calibri" w:cs="Calibri"/>
        </w:rPr>
        <w:t>326.</w:t>
      </w:r>
      <w:r w:rsidRPr="00317E7D">
        <w:rPr>
          <w:rFonts w:ascii="Calibri" w:cs="Calibri"/>
        </w:rPr>
        <w:tab/>
        <w:t xml:space="preserve">Huang, R. Y.-J. </w:t>
      </w:r>
      <w:r w:rsidRPr="00317E7D">
        <w:rPr>
          <w:rFonts w:ascii="Calibri" w:cs="Calibri"/>
          <w:i/>
          <w:iCs/>
        </w:rPr>
        <w:t>et al.</w:t>
      </w:r>
      <w:r w:rsidRPr="00317E7D">
        <w:rPr>
          <w:rFonts w:ascii="Calibri" w:cs="Calibri"/>
        </w:rPr>
        <w:t xml:space="preserve"> An EMT spectrum defines an anoikis-resistant and spheroidogenic intermediate mesenchymal state that is sensitive to e-cadherin restoration by a src-kinase inhibitor, saracatinib (AZD0530). </w:t>
      </w:r>
      <w:r w:rsidRPr="00317E7D">
        <w:rPr>
          <w:rFonts w:ascii="Calibri" w:cs="Calibri"/>
          <w:i/>
          <w:iCs/>
        </w:rPr>
        <w:t>Cell Death Dis</w:t>
      </w:r>
      <w:r w:rsidRPr="00317E7D">
        <w:rPr>
          <w:rFonts w:ascii="Calibri" w:cs="Calibri"/>
        </w:rPr>
        <w:t xml:space="preserve"> </w:t>
      </w:r>
      <w:r w:rsidRPr="00317E7D">
        <w:rPr>
          <w:rFonts w:ascii="Calibri" w:cs="Calibri"/>
          <w:b/>
          <w:bCs/>
        </w:rPr>
        <w:t>4</w:t>
      </w:r>
      <w:r w:rsidRPr="00317E7D">
        <w:rPr>
          <w:rFonts w:ascii="Calibri" w:cs="Calibri"/>
        </w:rPr>
        <w:t>, e915 (2013).</w:t>
      </w:r>
    </w:p>
    <w:p w14:paraId="2C635C2B" w14:textId="77777777" w:rsidR="00317E7D" w:rsidRPr="00317E7D" w:rsidRDefault="00317E7D" w:rsidP="00317E7D">
      <w:pPr>
        <w:pStyle w:val="Bibliography"/>
        <w:rPr>
          <w:rFonts w:ascii="Calibri" w:cs="Calibri"/>
        </w:rPr>
      </w:pPr>
      <w:r w:rsidRPr="00317E7D">
        <w:rPr>
          <w:rFonts w:ascii="Calibri" w:cs="Calibri"/>
        </w:rPr>
        <w:t>327.</w:t>
      </w:r>
      <w:r w:rsidRPr="00317E7D">
        <w:rPr>
          <w:rFonts w:ascii="Calibri" w:cs="Calibri"/>
        </w:rPr>
        <w:tab/>
        <w:t xml:space="preserve">Yi, B.-R., Kim, T.-H., Kim, Y.-S. &amp; Choi, K.-C. Alteration of epithelial-mesenchymal transition markers in human normal ovaries and neoplastic ovarian cancers. </w:t>
      </w:r>
      <w:r w:rsidRPr="00317E7D">
        <w:rPr>
          <w:rFonts w:ascii="Calibri" w:cs="Calibri"/>
          <w:i/>
          <w:iCs/>
        </w:rPr>
        <w:t>International Journal of Oncology</w:t>
      </w:r>
      <w:r w:rsidRPr="00317E7D">
        <w:rPr>
          <w:rFonts w:ascii="Calibri" w:cs="Calibri"/>
        </w:rPr>
        <w:t xml:space="preserve"> </w:t>
      </w:r>
      <w:r w:rsidRPr="00317E7D">
        <w:rPr>
          <w:rFonts w:ascii="Calibri" w:cs="Calibri"/>
          <w:b/>
          <w:bCs/>
        </w:rPr>
        <w:t>46</w:t>
      </w:r>
      <w:r w:rsidRPr="00317E7D">
        <w:rPr>
          <w:rFonts w:ascii="Calibri" w:cs="Calibri"/>
        </w:rPr>
        <w:t>, 272–280 (2015).</w:t>
      </w:r>
    </w:p>
    <w:p w14:paraId="7AD3B55C" w14:textId="77777777" w:rsidR="00317E7D" w:rsidRPr="00317E7D" w:rsidRDefault="00317E7D" w:rsidP="00317E7D">
      <w:pPr>
        <w:pStyle w:val="Bibliography"/>
        <w:rPr>
          <w:rFonts w:ascii="Calibri" w:cs="Calibri"/>
        </w:rPr>
      </w:pPr>
      <w:r w:rsidRPr="00317E7D">
        <w:rPr>
          <w:rFonts w:ascii="Calibri" w:cs="Calibri"/>
        </w:rPr>
        <w:t>328.</w:t>
      </w:r>
      <w:r w:rsidRPr="00317E7D">
        <w:rPr>
          <w:rFonts w:ascii="Calibri" w:cs="Calibri"/>
        </w:rPr>
        <w:tab/>
        <w:t xml:space="preserve">Davidowitz, R. A. </w:t>
      </w:r>
      <w:r w:rsidRPr="00317E7D">
        <w:rPr>
          <w:rFonts w:ascii="Calibri" w:cs="Calibri"/>
          <w:i/>
          <w:iCs/>
        </w:rPr>
        <w:t>et al.</w:t>
      </w:r>
      <w:r w:rsidRPr="00317E7D">
        <w:rPr>
          <w:rFonts w:ascii="Calibri" w:cs="Calibri"/>
        </w:rPr>
        <w:t xml:space="preserve"> Mesenchymal gene program–expressing ovarian cancer spheroids exhibit enhanced mesothelial clearance. </w:t>
      </w:r>
      <w:r w:rsidRPr="00317E7D">
        <w:rPr>
          <w:rFonts w:ascii="Calibri" w:cs="Calibri"/>
          <w:i/>
          <w:iCs/>
        </w:rPr>
        <w:t>J. Clin. Invest.</w:t>
      </w:r>
      <w:r w:rsidRPr="00317E7D">
        <w:rPr>
          <w:rFonts w:ascii="Calibri" w:cs="Calibri"/>
        </w:rPr>
        <w:t xml:space="preserve"> </w:t>
      </w:r>
      <w:r w:rsidRPr="00317E7D">
        <w:rPr>
          <w:rFonts w:ascii="Calibri" w:cs="Calibri"/>
          <w:b/>
          <w:bCs/>
        </w:rPr>
        <w:t>124</w:t>
      </w:r>
      <w:r w:rsidRPr="00317E7D">
        <w:rPr>
          <w:rFonts w:ascii="Calibri" w:cs="Calibri"/>
        </w:rPr>
        <w:t>, 2611–2625 (2014).</w:t>
      </w:r>
    </w:p>
    <w:p w14:paraId="26E17F29" w14:textId="77777777" w:rsidR="00317E7D" w:rsidRPr="00317E7D" w:rsidRDefault="00317E7D" w:rsidP="00317E7D">
      <w:pPr>
        <w:pStyle w:val="Bibliography"/>
        <w:rPr>
          <w:rFonts w:ascii="Calibri" w:cs="Calibri"/>
        </w:rPr>
      </w:pPr>
      <w:r w:rsidRPr="00317E7D">
        <w:rPr>
          <w:rFonts w:ascii="Calibri" w:cs="Calibri"/>
        </w:rPr>
        <w:t>329.</w:t>
      </w:r>
      <w:r w:rsidRPr="00317E7D">
        <w:rPr>
          <w:rFonts w:ascii="Calibri" w:cs="Calibri"/>
        </w:rPr>
        <w:tab/>
        <w:t xml:space="preserve">Hosono, S. </w:t>
      </w:r>
      <w:r w:rsidRPr="00317E7D">
        <w:rPr>
          <w:rFonts w:ascii="Calibri" w:cs="Calibri"/>
          <w:i/>
          <w:iCs/>
        </w:rPr>
        <w:t>et al.</w:t>
      </w:r>
      <w:r w:rsidRPr="00317E7D">
        <w:rPr>
          <w:rFonts w:ascii="Calibri" w:cs="Calibri"/>
        </w:rPr>
        <w:t xml:space="preserve"> Expression of Twist increases the risk for recurrence and for poor survival in epithelial ovarian carcinoma patients. </w:t>
      </w:r>
      <w:r w:rsidRPr="00317E7D">
        <w:rPr>
          <w:rFonts w:ascii="Calibri" w:cs="Calibri"/>
          <w:i/>
          <w:iCs/>
        </w:rPr>
        <w:t>Br J Cancer</w:t>
      </w:r>
      <w:r w:rsidRPr="00317E7D">
        <w:rPr>
          <w:rFonts w:ascii="Calibri" w:cs="Calibri"/>
        </w:rPr>
        <w:t xml:space="preserve"> </w:t>
      </w:r>
      <w:r w:rsidRPr="00317E7D">
        <w:rPr>
          <w:rFonts w:ascii="Calibri" w:cs="Calibri"/>
          <w:b/>
          <w:bCs/>
        </w:rPr>
        <w:t>96</w:t>
      </w:r>
      <w:r w:rsidRPr="00317E7D">
        <w:rPr>
          <w:rFonts w:ascii="Calibri" w:cs="Calibri"/>
        </w:rPr>
        <w:t>, 314–320 (2007).</w:t>
      </w:r>
    </w:p>
    <w:p w14:paraId="33D821BC" w14:textId="77777777" w:rsidR="00317E7D" w:rsidRPr="00317E7D" w:rsidRDefault="00317E7D" w:rsidP="00317E7D">
      <w:pPr>
        <w:pStyle w:val="Bibliography"/>
        <w:rPr>
          <w:rFonts w:ascii="Calibri" w:cs="Calibri"/>
        </w:rPr>
      </w:pPr>
      <w:r w:rsidRPr="00317E7D">
        <w:rPr>
          <w:rFonts w:ascii="Calibri" w:cs="Calibri"/>
        </w:rPr>
        <w:lastRenderedPageBreak/>
        <w:t>330.</w:t>
      </w:r>
      <w:r w:rsidRPr="00317E7D">
        <w:rPr>
          <w:rFonts w:ascii="Calibri" w:cs="Calibri"/>
        </w:rPr>
        <w:tab/>
        <w:t xml:space="preserve">Jin, H. </w:t>
      </w:r>
      <w:r w:rsidRPr="00317E7D">
        <w:rPr>
          <w:rFonts w:ascii="Calibri" w:cs="Calibri"/>
          <w:i/>
          <w:iCs/>
        </w:rPr>
        <w:t>et al.</w:t>
      </w:r>
      <w:r w:rsidRPr="00317E7D">
        <w:rPr>
          <w:rFonts w:ascii="Calibri" w:cs="Calibri"/>
        </w:rPr>
        <w:t xml:space="preserve"> Snail is critical for tumor growth and metastasis of ovarian carcinoma. </w:t>
      </w:r>
      <w:r w:rsidRPr="00317E7D">
        <w:rPr>
          <w:rFonts w:ascii="Calibri" w:cs="Calibri"/>
          <w:i/>
          <w:iCs/>
        </w:rPr>
        <w:t>Int. J. Cancer</w:t>
      </w:r>
      <w:r w:rsidRPr="00317E7D">
        <w:rPr>
          <w:rFonts w:ascii="Calibri" w:cs="Calibri"/>
        </w:rPr>
        <w:t xml:space="preserve"> n/a-n/a (2009) doi:10.1002/ijc.24901.</w:t>
      </w:r>
    </w:p>
    <w:p w14:paraId="0592FAF9" w14:textId="77777777" w:rsidR="00317E7D" w:rsidRPr="00317E7D" w:rsidRDefault="00317E7D" w:rsidP="00317E7D">
      <w:pPr>
        <w:pStyle w:val="Bibliography"/>
        <w:rPr>
          <w:rFonts w:ascii="Calibri" w:cs="Calibri"/>
        </w:rPr>
      </w:pPr>
      <w:r w:rsidRPr="00317E7D">
        <w:rPr>
          <w:rFonts w:ascii="Calibri" w:cs="Calibri"/>
        </w:rPr>
        <w:t>331.</w:t>
      </w:r>
      <w:r w:rsidRPr="00317E7D">
        <w:rPr>
          <w:rFonts w:ascii="Calibri" w:cs="Calibri"/>
        </w:rPr>
        <w:tab/>
        <w:t xml:space="preserve">Bagnato, A. &amp; Rosanò, L. Understanding and overcoming chemoresistance in ovarian cancer: emerging role of the endothelin axis. </w:t>
      </w:r>
      <w:r w:rsidRPr="00317E7D">
        <w:rPr>
          <w:rFonts w:ascii="Calibri" w:cs="Calibri"/>
          <w:i/>
          <w:iCs/>
        </w:rPr>
        <w:t>Curr. Oncol.</w:t>
      </w:r>
      <w:r w:rsidRPr="00317E7D">
        <w:rPr>
          <w:rFonts w:ascii="Calibri" w:cs="Calibri"/>
        </w:rPr>
        <w:t xml:space="preserve"> </w:t>
      </w:r>
      <w:r w:rsidRPr="00317E7D">
        <w:rPr>
          <w:rFonts w:ascii="Calibri" w:cs="Calibri"/>
          <w:b/>
          <w:bCs/>
        </w:rPr>
        <w:t>19</w:t>
      </w:r>
      <w:r w:rsidRPr="00317E7D">
        <w:rPr>
          <w:rFonts w:ascii="Calibri" w:cs="Calibri"/>
        </w:rPr>
        <w:t>, 36–38 (2012).</w:t>
      </w:r>
    </w:p>
    <w:p w14:paraId="72B2D57B" w14:textId="77777777" w:rsidR="00317E7D" w:rsidRPr="00317E7D" w:rsidRDefault="00317E7D" w:rsidP="00317E7D">
      <w:pPr>
        <w:pStyle w:val="Bibliography"/>
        <w:rPr>
          <w:rFonts w:ascii="Calibri" w:cs="Calibri"/>
        </w:rPr>
      </w:pPr>
      <w:r w:rsidRPr="00317E7D">
        <w:rPr>
          <w:rFonts w:ascii="Calibri" w:cs="Calibri"/>
        </w:rPr>
        <w:t>332.</w:t>
      </w:r>
      <w:r w:rsidRPr="00317E7D">
        <w:rPr>
          <w:rFonts w:ascii="Calibri" w:cs="Calibri"/>
        </w:rPr>
        <w:tab/>
        <w:t xml:space="preserve">Gu, A., Jie, Y., Yao, Q., Zhang, Y. &amp; Mingyan, E. Slug Is Associated With Tumor Metastasis and Angiogenesis in Ovarian Cancer. </w:t>
      </w:r>
      <w:r w:rsidRPr="00317E7D">
        <w:rPr>
          <w:rFonts w:ascii="Calibri" w:cs="Calibri"/>
          <w:i/>
          <w:iCs/>
        </w:rPr>
        <w:t>Reprod Sci</w:t>
      </w:r>
      <w:r w:rsidRPr="00317E7D">
        <w:rPr>
          <w:rFonts w:ascii="Calibri" w:cs="Calibri"/>
        </w:rPr>
        <w:t xml:space="preserve"> </w:t>
      </w:r>
      <w:r w:rsidRPr="00317E7D">
        <w:rPr>
          <w:rFonts w:ascii="Calibri" w:cs="Calibri"/>
          <w:b/>
          <w:bCs/>
        </w:rPr>
        <w:t>24</w:t>
      </w:r>
      <w:r w:rsidRPr="00317E7D">
        <w:rPr>
          <w:rFonts w:ascii="Calibri" w:cs="Calibri"/>
        </w:rPr>
        <w:t>, 291–299 (2017).</w:t>
      </w:r>
    </w:p>
    <w:p w14:paraId="51B4C445" w14:textId="77777777" w:rsidR="00317E7D" w:rsidRPr="00317E7D" w:rsidRDefault="00317E7D" w:rsidP="00317E7D">
      <w:pPr>
        <w:pStyle w:val="Bibliography"/>
        <w:rPr>
          <w:rFonts w:ascii="Calibri" w:cs="Calibri"/>
        </w:rPr>
      </w:pPr>
      <w:r w:rsidRPr="00317E7D">
        <w:rPr>
          <w:rFonts w:ascii="Calibri" w:cs="Calibri"/>
        </w:rPr>
        <w:t>333.</w:t>
      </w:r>
      <w:r w:rsidRPr="00317E7D">
        <w:rPr>
          <w:rFonts w:ascii="Calibri" w:cs="Calibri"/>
        </w:rPr>
        <w:tab/>
        <w:t xml:space="preserve">Li, Y. </w:t>
      </w:r>
      <w:r w:rsidRPr="00317E7D">
        <w:rPr>
          <w:rFonts w:ascii="Calibri" w:cs="Calibri"/>
          <w:i/>
          <w:iCs/>
        </w:rPr>
        <w:t>et al.</w:t>
      </w:r>
      <w:r w:rsidRPr="00317E7D">
        <w:rPr>
          <w:rFonts w:ascii="Calibri" w:cs="Calibri"/>
        </w:rPr>
        <w:t xml:space="preserve"> Slug contributes to cancer progression by direct regulation of ERα signaling pathway. </w:t>
      </w:r>
      <w:r w:rsidRPr="00317E7D">
        <w:rPr>
          <w:rFonts w:ascii="Calibri" w:cs="Calibri"/>
          <w:i/>
          <w:iCs/>
        </w:rPr>
        <w:t>International Journal of Oncology</w:t>
      </w:r>
      <w:r w:rsidRPr="00317E7D">
        <w:rPr>
          <w:rFonts w:ascii="Calibri" w:cs="Calibri"/>
        </w:rPr>
        <w:t xml:space="preserve"> </w:t>
      </w:r>
      <w:r w:rsidRPr="00317E7D">
        <w:rPr>
          <w:rFonts w:ascii="Calibri" w:cs="Calibri"/>
          <w:b/>
          <w:bCs/>
        </w:rPr>
        <w:t>46</w:t>
      </w:r>
      <w:r w:rsidRPr="00317E7D">
        <w:rPr>
          <w:rFonts w:ascii="Calibri" w:cs="Calibri"/>
        </w:rPr>
        <w:t>, 1461–1472 (2015).</w:t>
      </w:r>
    </w:p>
    <w:p w14:paraId="1EDA7D2F" w14:textId="77777777" w:rsidR="00317E7D" w:rsidRPr="00317E7D" w:rsidRDefault="00317E7D" w:rsidP="00317E7D">
      <w:pPr>
        <w:pStyle w:val="Bibliography"/>
        <w:rPr>
          <w:rFonts w:ascii="Calibri" w:cs="Calibri"/>
        </w:rPr>
      </w:pPr>
      <w:r w:rsidRPr="00317E7D">
        <w:rPr>
          <w:rFonts w:ascii="Calibri" w:cs="Calibri"/>
        </w:rPr>
        <w:t>334.</w:t>
      </w:r>
      <w:r w:rsidRPr="00317E7D">
        <w:rPr>
          <w:rFonts w:ascii="Calibri" w:cs="Calibri"/>
        </w:rPr>
        <w:tab/>
        <w:t xml:space="preserve">Kurrey, N. K., K, A. &amp; Bapat, S. A. Snail and Slug are major determinants of ovarian cancer invasiveness at the transcription level. </w:t>
      </w:r>
      <w:r w:rsidRPr="00317E7D">
        <w:rPr>
          <w:rFonts w:ascii="Calibri" w:cs="Calibri"/>
          <w:i/>
          <w:iCs/>
        </w:rPr>
        <w:t>Gynecologic Oncology</w:t>
      </w:r>
      <w:r w:rsidRPr="00317E7D">
        <w:rPr>
          <w:rFonts w:ascii="Calibri" w:cs="Calibri"/>
        </w:rPr>
        <w:t xml:space="preserve"> </w:t>
      </w:r>
      <w:r w:rsidRPr="00317E7D">
        <w:rPr>
          <w:rFonts w:ascii="Calibri" w:cs="Calibri"/>
          <w:b/>
          <w:bCs/>
        </w:rPr>
        <w:t>97</w:t>
      </w:r>
      <w:r w:rsidRPr="00317E7D">
        <w:rPr>
          <w:rFonts w:ascii="Calibri" w:cs="Calibri"/>
        </w:rPr>
        <w:t>, 155–165 (2005).</w:t>
      </w:r>
    </w:p>
    <w:p w14:paraId="3F01400D" w14:textId="77777777" w:rsidR="00317E7D" w:rsidRPr="00317E7D" w:rsidRDefault="00317E7D" w:rsidP="00317E7D">
      <w:pPr>
        <w:pStyle w:val="Bibliography"/>
        <w:rPr>
          <w:rFonts w:ascii="Calibri" w:cs="Calibri"/>
        </w:rPr>
      </w:pPr>
      <w:r w:rsidRPr="00317E7D">
        <w:rPr>
          <w:rFonts w:ascii="Calibri" w:cs="Calibri"/>
        </w:rPr>
        <w:t>335.</w:t>
      </w:r>
      <w:r w:rsidRPr="00317E7D">
        <w:rPr>
          <w:rFonts w:ascii="Calibri" w:cs="Calibri"/>
        </w:rPr>
        <w:tab/>
        <w:t xml:space="preserve">Mao, M. </w:t>
      </w:r>
      <w:r w:rsidRPr="00317E7D">
        <w:rPr>
          <w:rFonts w:ascii="Calibri" w:cs="Calibri"/>
          <w:i/>
          <w:iCs/>
        </w:rPr>
        <w:t>et al.</w:t>
      </w:r>
      <w:r w:rsidRPr="00317E7D">
        <w:rPr>
          <w:rFonts w:ascii="Calibri" w:cs="Calibri"/>
        </w:rPr>
        <w:t xml:space="preserve"> Effects of CD44 and E</w:t>
      </w:r>
      <w:r w:rsidRPr="00317E7D">
        <w:rPr>
          <w:rFonts w:ascii="Cambria Math" w:hAnsi="Cambria Math" w:cs="Cambria Math"/>
        </w:rPr>
        <w:t>‑</w:t>
      </w:r>
      <w:r w:rsidRPr="00317E7D">
        <w:rPr>
          <w:rFonts w:ascii="Calibri" w:cs="Calibri"/>
        </w:rPr>
        <w:t xml:space="preserve">cadherin overexpression on the proliferation, adhesion and invasion of ovarian cancer cells. </w:t>
      </w:r>
      <w:r w:rsidRPr="00317E7D">
        <w:rPr>
          <w:rFonts w:ascii="Calibri" w:cs="Calibri"/>
          <w:i/>
          <w:iCs/>
        </w:rPr>
        <w:t>Exp Ther Med</w:t>
      </w:r>
      <w:r w:rsidRPr="00317E7D">
        <w:rPr>
          <w:rFonts w:ascii="Calibri" w:cs="Calibri"/>
        </w:rPr>
        <w:t xml:space="preserve"> (2017) doi:10.3892/etm.2017.5259.</w:t>
      </w:r>
    </w:p>
    <w:p w14:paraId="2E03139B" w14:textId="77777777" w:rsidR="00317E7D" w:rsidRPr="00317E7D" w:rsidRDefault="00317E7D" w:rsidP="00317E7D">
      <w:pPr>
        <w:pStyle w:val="Bibliography"/>
        <w:rPr>
          <w:rFonts w:ascii="Calibri" w:cs="Calibri"/>
        </w:rPr>
      </w:pPr>
      <w:r w:rsidRPr="00317E7D">
        <w:rPr>
          <w:rFonts w:ascii="Calibri" w:cs="Calibri"/>
        </w:rPr>
        <w:t>336.</w:t>
      </w:r>
      <w:r w:rsidRPr="00317E7D">
        <w:rPr>
          <w:rFonts w:ascii="Calibri" w:cs="Calibri"/>
        </w:rPr>
        <w:tab/>
        <w:t xml:space="preserve">Hirst, J. </w:t>
      </w:r>
      <w:r w:rsidRPr="00317E7D">
        <w:rPr>
          <w:rFonts w:ascii="Calibri" w:cs="Calibri"/>
          <w:i/>
          <w:iCs/>
        </w:rPr>
        <w:t>et al.</w:t>
      </w:r>
      <w:r w:rsidRPr="00317E7D">
        <w:rPr>
          <w:rFonts w:ascii="Calibri" w:cs="Calibri"/>
        </w:rPr>
        <w:t xml:space="preserve"> Licofelone Enhances the Efficacy of Paclitaxel in Ovarian Cancer by Reversing Drug Resistance and Tumor Stem-like Properties. </w:t>
      </w:r>
      <w:r w:rsidRPr="00317E7D">
        <w:rPr>
          <w:rFonts w:ascii="Calibri" w:cs="Calibri"/>
          <w:i/>
          <w:iCs/>
        </w:rPr>
        <w:t>Cancer Res</w:t>
      </w:r>
      <w:r w:rsidRPr="00317E7D">
        <w:rPr>
          <w:rFonts w:ascii="Calibri" w:cs="Calibri"/>
        </w:rPr>
        <w:t xml:space="preserve"> </w:t>
      </w:r>
      <w:r w:rsidRPr="00317E7D">
        <w:rPr>
          <w:rFonts w:ascii="Calibri" w:cs="Calibri"/>
          <w:b/>
          <w:bCs/>
        </w:rPr>
        <w:t>78</w:t>
      </w:r>
      <w:r w:rsidRPr="00317E7D">
        <w:rPr>
          <w:rFonts w:ascii="Calibri" w:cs="Calibri"/>
        </w:rPr>
        <w:t>, 4370–4385 (2018).</w:t>
      </w:r>
    </w:p>
    <w:p w14:paraId="4713F5D4" w14:textId="77777777" w:rsidR="00317E7D" w:rsidRPr="00317E7D" w:rsidRDefault="00317E7D" w:rsidP="00317E7D">
      <w:pPr>
        <w:pStyle w:val="Bibliography"/>
        <w:rPr>
          <w:rFonts w:ascii="Calibri" w:cs="Calibri"/>
        </w:rPr>
      </w:pPr>
      <w:r w:rsidRPr="00317E7D">
        <w:rPr>
          <w:rFonts w:ascii="Calibri" w:cs="Calibri"/>
        </w:rPr>
        <w:t>337.</w:t>
      </w:r>
      <w:r w:rsidRPr="00317E7D">
        <w:rPr>
          <w:rFonts w:ascii="Calibri" w:cs="Calibri"/>
        </w:rPr>
        <w:tab/>
        <w:t xml:space="preserve">DesRochers, T. M., Suter, L., Roth, A. &amp; Kaplan, D. L. Bioengineered 3D Human Kidney Tissue, a Platform for the Determination of Nephrotoxicity. </w:t>
      </w:r>
      <w:r w:rsidRPr="00317E7D">
        <w:rPr>
          <w:rFonts w:ascii="Calibri" w:cs="Calibri"/>
          <w:i/>
          <w:iCs/>
        </w:rPr>
        <w:t>PLoS ONE</w:t>
      </w:r>
      <w:r w:rsidRPr="00317E7D">
        <w:rPr>
          <w:rFonts w:ascii="Calibri" w:cs="Calibri"/>
        </w:rPr>
        <w:t xml:space="preserve"> </w:t>
      </w:r>
      <w:r w:rsidRPr="00317E7D">
        <w:rPr>
          <w:rFonts w:ascii="Calibri" w:cs="Calibri"/>
          <w:b/>
          <w:bCs/>
        </w:rPr>
        <w:t>8</w:t>
      </w:r>
      <w:r w:rsidRPr="00317E7D">
        <w:rPr>
          <w:rFonts w:ascii="Calibri" w:cs="Calibri"/>
        </w:rPr>
        <w:t>, e59219 (2013).</w:t>
      </w:r>
    </w:p>
    <w:p w14:paraId="63CA9BA8" w14:textId="77777777" w:rsidR="00317E7D" w:rsidRPr="00317E7D" w:rsidRDefault="00317E7D" w:rsidP="00317E7D">
      <w:pPr>
        <w:pStyle w:val="Bibliography"/>
        <w:rPr>
          <w:rFonts w:ascii="Calibri" w:cs="Calibri"/>
        </w:rPr>
      </w:pPr>
      <w:r w:rsidRPr="00317E7D">
        <w:rPr>
          <w:rFonts w:ascii="Calibri" w:cs="Calibri"/>
        </w:rPr>
        <w:t>338.</w:t>
      </w:r>
      <w:r w:rsidRPr="00317E7D">
        <w:rPr>
          <w:rFonts w:ascii="Calibri" w:cs="Calibri"/>
        </w:rPr>
        <w:tab/>
        <w:t xml:space="preserve">Chowanadisai, W. </w:t>
      </w:r>
      <w:r w:rsidRPr="00317E7D">
        <w:rPr>
          <w:rFonts w:ascii="Calibri" w:cs="Calibri"/>
          <w:i/>
          <w:iCs/>
        </w:rPr>
        <w:t>et al.</w:t>
      </w:r>
      <w:r w:rsidRPr="00317E7D">
        <w:rPr>
          <w:rFonts w:ascii="Calibri" w:cs="Calibri"/>
        </w:rPr>
        <w:t xml:space="preserve"> Cisplatin Resistant Spheroids Model Clinically Relevant Survival Mechanisms in Ovarian Tumors. </w:t>
      </w:r>
      <w:r w:rsidRPr="00317E7D">
        <w:rPr>
          <w:rFonts w:ascii="Calibri" w:cs="Calibri"/>
          <w:i/>
          <w:iCs/>
        </w:rPr>
        <w:t>PLoS ONE</w:t>
      </w:r>
      <w:r w:rsidRPr="00317E7D">
        <w:rPr>
          <w:rFonts w:ascii="Calibri" w:cs="Calibri"/>
        </w:rPr>
        <w:t xml:space="preserve"> </w:t>
      </w:r>
      <w:r w:rsidRPr="00317E7D">
        <w:rPr>
          <w:rFonts w:ascii="Calibri" w:cs="Calibri"/>
          <w:b/>
          <w:bCs/>
        </w:rPr>
        <w:t>11</w:t>
      </w:r>
      <w:r w:rsidRPr="00317E7D">
        <w:rPr>
          <w:rFonts w:ascii="Calibri" w:cs="Calibri"/>
        </w:rPr>
        <w:t>, e0151089 (2016).</w:t>
      </w:r>
    </w:p>
    <w:p w14:paraId="6EC26D78" w14:textId="77777777" w:rsidR="00317E7D" w:rsidRPr="00317E7D" w:rsidRDefault="00317E7D" w:rsidP="00317E7D">
      <w:pPr>
        <w:pStyle w:val="Bibliography"/>
        <w:rPr>
          <w:rFonts w:ascii="Calibri" w:cs="Calibri"/>
        </w:rPr>
      </w:pPr>
      <w:r w:rsidRPr="00317E7D">
        <w:rPr>
          <w:rFonts w:ascii="Calibri" w:cs="Calibri"/>
        </w:rPr>
        <w:t>339.</w:t>
      </w:r>
      <w:r w:rsidRPr="00317E7D">
        <w:rPr>
          <w:rFonts w:ascii="Calibri" w:cs="Calibri"/>
        </w:rPr>
        <w:tab/>
        <w:t xml:space="preserve">Godwin, A. K. </w:t>
      </w:r>
      <w:r w:rsidRPr="00317E7D">
        <w:rPr>
          <w:rFonts w:ascii="Calibri" w:cs="Calibri"/>
          <w:i/>
          <w:iCs/>
        </w:rPr>
        <w:t>et al.</w:t>
      </w:r>
      <w:r w:rsidRPr="00317E7D">
        <w:rPr>
          <w:rFonts w:ascii="Calibri" w:cs="Calibri"/>
        </w:rPr>
        <w:t xml:space="preserve"> High resistance to cisplatin in human ovarian cancer cell lines is associated with marked increase of glutathione synthesis. </w:t>
      </w:r>
      <w:r w:rsidRPr="00317E7D">
        <w:rPr>
          <w:rFonts w:ascii="Calibri" w:cs="Calibri"/>
          <w:i/>
          <w:iCs/>
        </w:rPr>
        <w:t>Proceedings of the National Academy of Sciences</w:t>
      </w:r>
      <w:r w:rsidRPr="00317E7D">
        <w:rPr>
          <w:rFonts w:ascii="Calibri" w:cs="Calibri"/>
        </w:rPr>
        <w:t xml:space="preserve"> </w:t>
      </w:r>
      <w:r w:rsidRPr="00317E7D">
        <w:rPr>
          <w:rFonts w:ascii="Calibri" w:cs="Calibri"/>
          <w:b/>
          <w:bCs/>
        </w:rPr>
        <w:t>89</w:t>
      </w:r>
      <w:r w:rsidRPr="00317E7D">
        <w:rPr>
          <w:rFonts w:ascii="Calibri" w:cs="Calibri"/>
        </w:rPr>
        <w:t>, 3070–3074 (1992).</w:t>
      </w:r>
    </w:p>
    <w:p w14:paraId="33EE94F2" w14:textId="77777777" w:rsidR="00317E7D" w:rsidRPr="00317E7D" w:rsidRDefault="00317E7D" w:rsidP="00317E7D">
      <w:pPr>
        <w:pStyle w:val="Bibliography"/>
        <w:rPr>
          <w:rFonts w:ascii="Calibri" w:cs="Calibri"/>
        </w:rPr>
      </w:pPr>
      <w:r w:rsidRPr="00317E7D">
        <w:rPr>
          <w:rFonts w:ascii="Calibri" w:cs="Calibri"/>
        </w:rPr>
        <w:lastRenderedPageBreak/>
        <w:t>340.</w:t>
      </w:r>
      <w:r w:rsidRPr="00317E7D">
        <w:rPr>
          <w:rFonts w:ascii="Calibri" w:cs="Calibri"/>
        </w:rPr>
        <w:tab/>
        <w:t xml:space="preserve">Gadiyar, V. </w:t>
      </w:r>
      <w:r w:rsidRPr="00317E7D">
        <w:rPr>
          <w:rFonts w:ascii="Calibri" w:cs="Calibri"/>
          <w:i/>
          <w:iCs/>
        </w:rPr>
        <w:t>et al.</w:t>
      </w:r>
      <w:r w:rsidRPr="00317E7D">
        <w:rPr>
          <w:rFonts w:ascii="Calibri" w:cs="Calibri"/>
        </w:rPr>
        <w:t xml:space="preserve"> Cell Death in the Tumor Microenvironment: Implications for Cancer Immunotherapy. </w:t>
      </w:r>
      <w:r w:rsidRPr="00317E7D">
        <w:rPr>
          <w:rFonts w:ascii="Calibri" w:cs="Calibri"/>
          <w:i/>
          <w:iCs/>
        </w:rPr>
        <w:t>Cells</w:t>
      </w:r>
      <w:r w:rsidRPr="00317E7D">
        <w:rPr>
          <w:rFonts w:ascii="Calibri" w:cs="Calibri"/>
        </w:rPr>
        <w:t xml:space="preserve"> </w:t>
      </w:r>
      <w:r w:rsidRPr="00317E7D">
        <w:rPr>
          <w:rFonts w:ascii="Calibri" w:cs="Calibri"/>
          <w:b/>
          <w:bCs/>
        </w:rPr>
        <w:t>9</w:t>
      </w:r>
      <w:r w:rsidRPr="00317E7D">
        <w:rPr>
          <w:rFonts w:ascii="Calibri" w:cs="Calibri"/>
        </w:rPr>
        <w:t>, 2207 (2020).</w:t>
      </w:r>
    </w:p>
    <w:p w14:paraId="62D4E798" w14:textId="77777777" w:rsidR="00317E7D" w:rsidRPr="00317E7D" w:rsidRDefault="00317E7D" w:rsidP="00317E7D">
      <w:pPr>
        <w:pStyle w:val="Bibliography"/>
        <w:rPr>
          <w:rFonts w:ascii="Calibri" w:cs="Calibri"/>
        </w:rPr>
      </w:pPr>
      <w:r w:rsidRPr="00317E7D">
        <w:rPr>
          <w:rFonts w:ascii="Calibri" w:cs="Calibri"/>
        </w:rPr>
        <w:t>341.</w:t>
      </w:r>
      <w:r w:rsidRPr="00317E7D">
        <w:rPr>
          <w:rFonts w:ascii="Calibri" w:cs="Calibri"/>
        </w:rPr>
        <w:tab/>
        <w:t xml:space="preserve">Fabian, K. P., Wolfson, B. &amp; Hodge, J. W. From Immunogenic Cell Death to Immunogenic Modulation: Select Chemotherapy Regimens Induce a Spectrum of Immune-Enhancing Activities in the Tumor Microenvironment. </w:t>
      </w:r>
      <w:r w:rsidRPr="00317E7D">
        <w:rPr>
          <w:rFonts w:ascii="Calibri" w:cs="Calibri"/>
          <w:i/>
          <w:iCs/>
        </w:rPr>
        <w:t>Front. Oncol.</w:t>
      </w:r>
      <w:r w:rsidRPr="00317E7D">
        <w:rPr>
          <w:rFonts w:ascii="Calibri" w:cs="Calibri"/>
        </w:rPr>
        <w:t xml:space="preserve"> </w:t>
      </w:r>
      <w:r w:rsidRPr="00317E7D">
        <w:rPr>
          <w:rFonts w:ascii="Calibri" w:cs="Calibri"/>
          <w:b/>
          <w:bCs/>
        </w:rPr>
        <w:t>11</w:t>
      </w:r>
      <w:r w:rsidRPr="00317E7D">
        <w:rPr>
          <w:rFonts w:ascii="Calibri" w:cs="Calibri"/>
        </w:rPr>
        <w:t>, 728018 (2021).</w:t>
      </w:r>
    </w:p>
    <w:p w14:paraId="1CC5B0B3" w14:textId="77777777" w:rsidR="00317E7D" w:rsidRPr="00317E7D" w:rsidRDefault="00317E7D" w:rsidP="00317E7D">
      <w:pPr>
        <w:pStyle w:val="Bibliography"/>
        <w:rPr>
          <w:rFonts w:ascii="Calibri" w:cs="Calibri"/>
        </w:rPr>
      </w:pPr>
      <w:r w:rsidRPr="00317E7D">
        <w:rPr>
          <w:rFonts w:ascii="Calibri" w:cs="Calibri"/>
        </w:rPr>
        <w:t>342.</w:t>
      </w:r>
      <w:r w:rsidRPr="00317E7D">
        <w:rPr>
          <w:rFonts w:ascii="Calibri" w:cs="Calibri"/>
        </w:rPr>
        <w:tab/>
        <w:t xml:space="preserve">Golden, E. B. &amp; Apetoh, L. Radiotherapy and Immunogenic Cell Death. </w:t>
      </w:r>
      <w:r w:rsidRPr="00317E7D">
        <w:rPr>
          <w:rFonts w:ascii="Calibri" w:cs="Calibri"/>
          <w:i/>
          <w:iCs/>
        </w:rPr>
        <w:t>Seminars in Radiation Oncology</w:t>
      </w:r>
      <w:r w:rsidRPr="00317E7D">
        <w:rPr>
          <w:rFonts w:ascii="Calibri" w:cs="Calibri"/>
        </w:rPr>
        <w:t xml:space="preserve"> </w:t>
      </w:r>
      <w:r w:rsidRPr="00317E7D">
        <w:rPr>
          <w:rFonts w:ascii="Calibri" w:cs="Calibri"/>
          <w:b/>
          <w:bCs/>
        </w:rPr>
        <w:t>25</w:t>
      </w:r>
      <w:r w:rsidRPr="00317E7D">
        <w:rPr>
          <w:rFonts w:ascii="Calibri" w:cs="Calibri"/>
        </w:rPr>
        <w:t>, 11–17 (2015).</w:t>
      </w:r>
    </w:p>
    <w:p w14:paraId="67188DE1" w14:textId="77777777" w:rsidR="00317E7D" w:rsidRPr="00317E7D" w:rsidRDefault="00317E7D" w:rsidP="00317E7D">
      <w:pPr>
        <w:pStyle w:val="Bibliography"/>
        <w:rPr>
          <w:rFonts w:ascii="Calibri" w:cs="Calibri"/>
        </w:rPr>
      </w:pPr>
      <w:r w:rsidRPr="00317E7D">
        <w:rPr>
          <w:rFonts w:ascii="Calibri" w:cs="Calibri"/>
        </w:rPr>
        <w:t>343.</w:t>
      </w:r>
      <w:r w:rsidRPr="00317E7D">
        <w:rPr>
          <w:rFonts w:ascii="Calibri" w:cs="Calibri"/>
        </w:rPr>
        <w:tab/>
        <w:t xml:space="preserve">Gunay, G. </w:t>
      </w:r>
      <w:r w:rsidRPr="00317E7D">
        <w:rPr>
          <w:rFonts w:ascii="Calibri" w:cs="Calibri"/>
          <w:i/>
          <w:iCs/>
        </w:rPr>
        <w:t>et al.</w:t>
      </w:r>
      <w:r w:rsidRPr="00317E7D">
        <w:rPr>
          <w:rFonts w:ascii="Calibri" w:cs="Calibri"/>
        </w:rPr>
        <w:t xml:space="preserve"> Peptide Aggregation Induced Immunogenic Rupture (PAIIR). </w:t>
      </w:r>
      <w:r w:rsidRPr="00317E7D">
        <w:rPr>
          <w:rFonts w:ascii="Calibri" w:cs="Calibri"/>
          <w:i/>
          <w:iCs/>
        </w:rPr>
        <w:t>Advanced Science</w:t>
      </w:r>
      <w:r w:rsidRPr="00317E7D">
        <w:rPr>
          <w:rFonts w:ascii="Calibri" w:cs="Calibri"/>
        </w:rPr>
        <w:t xml:space="preserve"> </w:t>
      </w:r>
      <w:r w:rsidRPr="00317E7D">
        <w:rPr>
          <w:rFonts w:ascii="Calibri" w:cs="Calibri"/>
          <w:b/>
          <w:bCs/>
        </w:rPr>
        <w:t>472230</w:t>
      </w:r>
      <w:r w:rsidRPr="00317E7D">
        <w:rPr>
          <w:rFonts w:ascii="Calibri" w:cs="Calibri"/>
        </w:rPr>
        <w:t>, (2022).</w:t>
      </w:r>
    </w:p>
    <w:p w14:paraId="3407DC30" w14:textId="77777777" w:rsidR="00317E7D" w:rsidRPr="00317E7D" w:rsidRDefault="00317E7D" w:rsidP="00317E7D">
      <w:pPr>
        <w:pStyle w:val="Bibliography"/>
        <w:rPr>
          <w:rFonts w:ascii="Calibri" w:cs="Calibri"/>
        </w:rPr>
      </w:pPr>
      <w:r w:rsidRPr="00317E7D">
        <w:rPr>
          <w:rFonts w:ascii="Calibri" w:cs="Calibri"/>
        </w:rPr>
        <w:t>344.</w:t>
      </w:r>
      <w:r w:rsidRPr="00317E7D">
        <w:rPr>
          <w:rFonts w:ascii="Calibri" w:cs="Calibri"/>
        </w:rPr>
        <w:tab/>
        <w:t xml:space="preserve">Van Norman, G. A. Limitations of Animal Studies for Predicting Toxicity in Clinical Trials. </w:t>
      </w:r>
      <w:r w:rsidRPr="00317E7D">
        <w:rPr>
          <w:rFonts w:ascii="Calibri" w:cs="Calibri"/>
          <w:i/>
          <w:iCs/>
        </w:rPr>
        <w:t>JACC: Basic to Translational Science</w:t>
      </w:r>
      <w:r w:rsidRPr="00317E7D">
        <w:rPr>
          <w:rFonts w:ascii="Calibri" w:cs="Calibri"/>
        </w:rPr>
        <w:t xml:space="preserve"> </w:t>
      </w:r>
      <w:r w:rsidRPr="00317E7D">
        <w:rPr>
          <w:rFonts w:ascii="Calibri" w:cs="Calibri"/>
          <w:b/>
          <w:bCs/>
        </w:rPr>
        <w:t>4</w:t>
      </w:r>
      <w:r w:rsidRPr="00317E7D">
        <w:rPr>
          <w:rFonts w:ascii="Calibri" w:cs="Calibri"/>
        </w:rPr>
        <w:t>, 845–854 (2019).</w:t>
      </w:r>
    </w:p>
    <w:p w14:paraId="2C96E30C" w14:textId="77777777" w:rsidR="00317E7D" w:rsidRPr="00317E7D" w:rsidRDefault="00317E7D" w:rsidP="00317E7D">
      <w:pPr>
        <w:pStyle w:val="Bibliography"/>
        <w:rPr>
          <w:rFonts w:ascii="Calibri" w:cs="Calibri"/>
        </w:rPr>
      </w:pPr>
      <w:r w:rsidRPr="00317E7D">
        <w:rPr>
          <w:rFonts w:ascii="Calibri" w:cs="Calibri"/>
        </w:rPr>
        <w:t>345.</w:t>
      </w:r>
      <w:r w:rsidRPr="00317E7D">
        <w:rPr>
          <w:rFonts w:ascii="Calibri" w:cs="Calibri"/>
        </w:rPr>
        <w:tab/>
        <w:t xml:space="preserve">Mehta, G., Hsiao, A. Y., Ingram, M., Luker, G. D. &amp; Takayama, S. Opportunities and challenges for use of tumor spheroids as models to test drug delivery and efficacy. </w:t>
      </w:r>
      <w:r w:rsidRPr="00317E7D">
        <w:rPr>
          <w:rFonts w:ascii="Calibri" w:cs="Calibri"/>
          <w:i/>
          <w:iCs/>
        </w:rPr>
        <w:t>Journal of Controlled Release</w:t>
      </w:r>
      <w:r w:rsidRPr="00317E7D">
        <w:rPr>
          <w:rFonts w:ascii="Calibri" w:cs="Calibri"/>
        </w:rPr>
        <w:t xml:space="preserve"> </w:t>
      </w:r>
      <w:r w:rsidRPr="00317E7D">
        <w:rPr>
          <w:rFonts w:ascii="Calibri" w:cs="Calibri"/>
          <w:b/>
          <w:bCs/>
        </w:rPr>
        <w:t>164</w:t>
      </w:r>
      <w:r w:rsidRPr="00317E7D">
        <w:rPr>
          <w:rFonts w:ascii="Calibri" w:cs="Calibri"/>
        </w:rPr>
        <w:t>, 192–204 (2012).</w:t>
      </w:r>
    </w:p>
    <w:p w14:paraId="33911362" w14:textId="77777777" w:rsidR="00317E7D" w:rsidRPr="00317E7D" w:rsidRDefault="00317E7D" w:rsidP="00317E7D">
      <w:pPr>
        <w:pStyle w:val="Bibliography"/>
        <w:rPr>
          <w:rFonts w:ascii="Calibri" w:cs="Calibri"/>
        </w:rPr>
      </w:pPr>
      <w:r w:rsidRPr="00317E7D">
        <w:rPr>
          <w:rFonts w:ascii="Calibri" w:cs="Calibri"/>
        </w:rPr>
        <w:t>346.</w:t>
      </w:r>
      <w:r w:rsidRPr="00317E7D">
        <w:rPr>
          <w:rFonts w:ascii="Calibri" w:cs="Calibri"/>
        </w:rPr>
        <w:tab/>
        <w:t xml:space="preserve">Duval, K. </w:t>
      </w:r>
      <w:r w:rsidRPr="00317E7D">
        <w:rPr>
          <w:rFonts w:ascii="Calibri" w:cs="Calibri"/>
          <w:i/>
          <w:iCs/>
        </w:rPr>
        <w:t>et al.</w:t>
      </w:r>
      <w:r w:rsidRPr="00317E7D">
        <w:rPr>
          <w:rFonts w:ascii="Calibri" w:cs="Calibri"/>
        </w:rPr>
        <w:t xml:space="preserve"> Modeling Physiological Events in 2D vs. 3D Cell Culture. </w:t>
      </w:r>
      <w:r w:rsidRPr="00317E7D">
        <w:rPr>
          <w:rFonts w:ascii="Calibri" w:cs="Calibri"/>
          <w:i/>
          <w:iCs/>
        </w:rPr>
        <w:t>Physiology</w:t>
      </w:r>
      <w:r w:rsidRPr="00317E7D">
        <w:rPr>
          <w:rFonts w:ascii="Calibri" w:cs="Calibri"/>
        </w:rPr>
        <w:t xml:space="preserve"> </w:t>
      </w:r>
      <w:r w:rsidRPr="00317E7D">
        <w:rPr>
          <w:rFonts w:ascii="Calibri" w:cs="Calibri"/>
          <w:b/>
          <w:bCs/>
        </w:rPr>
        <w:t>32</w:t>
      </w:r>
      <w:r w:rsidRPr="00317E7D">
        <w:rPr>
          <w:rFonts w:ascii="Calibri" w:cs="Calibri"/>
        </w:rPr>
        <w:t>, 266–277 (2017).</w:t>
      </w:r>
    </w:p>
    <w:p w14:paraId="5FA17024" w14:textId="77777777" w:rsidR="00317E7D" w:rsidRPr="00317E7D" w:rsidRDefault="00317E7D" w:rsidP="00317E7D">
      <w:pPr>
        <w:pStyle w:val="Bibliography"/>
        <w:rPr>
          <w:rFonts w:ascii="Calibri" w:cs="Calibri"/>
        </w:rPr>
      </w:pPr>
      <w:r w:rsidRPr="00317E7D">
        <w:rPr>
          <w:rFonts w:ascii="Calibri" w:cs="Calibri"/>
        </w:rPr>
        <w:t>347.</w:t>
      </w:r>
      <w:r w:rsidRPr="00317E7D">
        <w:rPr>
          <w:rFonts w:ascii="Calibri" w:cs="Calibri"/>
        </w:rPr>
        <w:tab/>
        <w:t xml:space="preserve">Imamura, Y. </w:t>
      </w:r>
      <w:r w:rsidRPr="00317E7D">
        <w:rPr>
          <w:rFonts w:ascii="Calibri" w:cs="Calibri"/>
          <w:i/>
          <w:iCs/>
        </w:rPr>
        <w:t>et al.</w:t>
      </w:r>
      <w:r w:rsidRPr="00317E7D">
        <w:rPr>
          <w:rFonts w:ascii="Calibri" w:cs="Calibri"/>
        </w:rPr>
        <w:t xml:space="preserve"> Comparison of 2D- and 3D-culture models as drug-testing platforms in breast cancer. </w:t>
      </w:r>
      <w:r w:rsidRPr="00317E7D">
        <w:rPr>
          <w:rFonts w:ascii="Calibri" w:cs="Calibri"/>
          <w:i/>
          <w:iCs/>
        </w:rPr>
        <w:t>Oncology Reports</w:t>
      </w:r>
      <w:r w:rsidRPr="00317E7D">
        <w:rPr>
          <w:rFonts w:ascii="Calibri" w:cs="Calibri"/>
        </w:rPr>
        <w:t xml:space="preserve"> </w:t>
      </w:r>
      <w:r w:rsidRPr="00317E7D">
        <w:rPr>
          <w:rFonts w:ascii="Calibri" w:cs="Calibri"/>
          <w:b/>
          <w:bCs/>
        </w:rPr>
        <w:t>33</w:t>
      </w:r>
      <w:r w:rsidRPr="00317E7D">
        <w:rPr>
          <w:rFonts w:ascii="Calibri" w:cs="Calibri"/>
        </w:rPr>
        <w:t>, 1837–1843 (2015).</w:t>
      </w:r>
    </w:p>
    <w:p w14:paraId="4F57F13D" w14:textId="77777777" w:rsidR="00317E7D" w:rsidRPr="00317E7D" w:rsidRDefault="00317E7D" w:rsidP="00317E7D">
      <w:pPr>
        <w:pStyle w:val="Bibliography"/>
        <w:rPr>
          <w:rFonts w:ascii="Calibri" w:cs="Calibri"/>
        </w:rPr>
      </w:pPr>
      <w:r w:rsidRPr="00317E7D">
        <w:rPr>
          <w:rFonts w:ascii="Calibri" w:cs="Calibri"/>
        </w:rPr>
        <w:t>348.</w:t>
      </w:r>
      <w:r w:rsidRPr="00317E7D">
        <w:rPr>
          <w:rFonts w:ascii="Calibri" w:cs="Calibri"/>
        </w:rPr>
        <w:tab/>
        <w:t xml:space="preserve">Rodríguez, C. E., Reidel, S. I., Bal de Kier Joffé, E. D., Jasnis, M. A. &amp; Fiszman, G. L. Autophagy Protects from Trastuzumab-Induced Cytotoxicity in HER2 Overexpressing Breast Tumor Spheroids. </w:t>
      </w:r>
      <w:r w:rsidRPr="00317E7D">
        <w:rPr>
          <w:rFonts w:ascii="Calibri" w:cs="Calibri"/>
          <w:i/>
          <w:iCs/>
        </w:rPr>
        <w:t>PLoS ONE</w:t>
      </w:r>
      <w:r w:rsidRPr="00317E7D">
        <w:rPr>
          <w:rFonts w:ascii="Calibri" w:cs="Calibri"/>
        </w:rPr>
        <w:t xml:space="preserve"> </w:t>
      </w:r>
      <w:r w:rsidRPr="00317E7D">
        <w:rPr>
          <w:rFonts w:ascii="Calibri" w:cs="Calibri"/>
          <w:b/>
          <w:bCs/>
        </w:rPr>
        <w:t>10</w:t>
      </w:r>
      <w:r w:rsidRPr="00317E7D">
        <w:rPr>
          <w:rFonts w:ascii="Calibri" w:cs="Calibri"/>
        </w:rPr>
        <w:t>, e0137920 (2015).</w:t>
      </w:r>
    </w:p>
    <w:p w14:paraId="7BCE9B08" w14:textId="77777777" w:rsidR="00317E7D" w:rsidRPr="00317E7D" w:rsidRDefault="00317E7D" w:rsidP="00317E7D">
      <w:pPr>
        <w:pStyle w:val="Bibliography"/>
        <w:rPr>
          <w:rFonts w:ascii="Calibri" w:cs="Calibri"/>
        </w:rPr>
      </w:pPr>
      <w:r w:rsidRPr="00317E7D">
        <w:rPr>
          <w:rFonts w:ascii="Calibri" w:cs="Calibri"/>
        </w:rPr>
        <w:lastRenderedPageBreak/>
        <w:t>349.</w:t>
      </w:r>
      <w:r w:rsidRPr="00317E7D">
        <w:rPr>
          <w:rFonts w:ascii="Calibri" w:cs="Calibri"/>
        </w:rPr>
        <w:tab/>
        <w:t xml:space="preserve">Demuynck, R., Efimova, I., Lin, A., Declercq, H. &amp; Krysko, D. V. A 3D Cell Death Assay to Quantitatively Determine Ferroptosis in Spheroids. </w:t>
      </w:r>
      <w:r w:rsidRPr="00317E7D">
        <w:rPr>
          <w:rFonts w:ascii="Calibri" w:cs="Calibri"/>
          <w:i/>
          <w:iCs/>
        </w:rPr>
        <w:t>Cells</w:t>
      </w:r>
      <w:r w:rsidRPr="00317E7D">
        <w:rPr>
          <w:rFonts w:ascii="Calibri" w:cs="Calibri"/>
        </w:rPr>
        <w:t xml:space="preserve"> </w:t>
      </w:r>
      <w:r w:rsidRPr="00317E7D">
        <w:rPr>
          <w:rFonts w:ascii="Calibri" w:cs="Calibri"/>
          <w:b/>
          <w:bCs/>
        </w:rPr>
        <w:t>9</w:t>
      </w:r>
      <w:r w:rsidRPr="00317E7D">
        <w:rPr>
          <w:rFonts w:ascii="Calibri" w:cs="Calibri"/>
        </w:rPr>
        <w:t>, 703 (2020).</w:t>
      </w:r>
    </w:p>
    <w:p w14:paraId="401E74FF" w14:textId="77777777" w:rsidR="00317E7D" w:rsidRPr="00317E7D" w:rsidRDefault="00317E7D" w:rsidP="00317E7D">
      <w:pPr>
        <w:pStyle w:val="Bibliography"/>
        <w:rPr>
          <w:rFonts w:ascii="Calibri" w:cs="Calibri"/>
        </w:rPr>
      </w:pPr>
      <w:r w:rsidRPr="00317E7D">
        <w:rPr>
          <w:rFonts w:ascii="Calibri" w:cs="Calibri"/>
        </w:rPr>
        <w:t>350.</w:t>
      </w:r>
      <w:r w:rsidRPr="00317E7D">
        <w:rPr>
          <w:rFonts w:ascii="Calibri" w:cs="Calibri"/>
        </w:rPr>
        <w:tab/>
        <w:t xml:space="preserve">Yu, J. W. </w:t>
      </w:r>
      <w:r w:rsidRPr="00317E7D">
        <w:rPr>
          <w:rFonts w:ascii="Calibri" w:cs="Calibri"/>
          <w:i/>
          <w:iCs/>
        </w:rPr>
        <w:t>et al.</w:t>
      </w:r>
      <w:r w:rsidRPr="00317E7D">
        <w:rPr>
          <w:rFonts w:ascii="Calibri" w:cs="Calibri"/>
        </w:rPr>
        <w:t xml:space="preserve"> Tumor-immune profiling of murine syngeneic tumor models as a framework to guide mechanistic studies and predict therapy response in distinct tumor microenvironments. </w:t>
      </w:r>
      <w:r w:rsidRPr="00317E7D">
        <w:rPr>
          <w:rFonts w:ascii="Calibri" w:cs="Calibri"/>
          <w:i/>
          <w:iCs/>
        </w:rPr>
        <w:t>PLoS ONE</w:t>
      </w:r>
      <w:r w:rsidRPr="00317E7D">
        <w:rPr>
          <w:rFonts w:ascii="Calibri" w:cs="Calibri"/>
        </w:rPr>
        <w:t xml:space="preserve"> </w:t>
      </w:r>
      <w:r w:rsidRPr="00317E7D">
        <w:rPr>
          <w:rFonts w:ascii="Calibri" w:cs="Calibri"/>
          <w:b/>
          <w:bCs/>
        </w:rPr>
        <w:t>13</w:t>
      </w:r>
      <w:r w:rsidRPr="00317E7D">
        <w:rPr>
          <w:rFonts w:ascii="Calibri" w:cs="Calibri"/>
        </w:rPr>
        <w:t>, e0206223 (2018).</w:t>
      </w:r>
    </w:p>
    <w:p w14:paraId="6B7B3479" w14:textId="77777777" w:rsidR="00317E7D" w:rsidRPr="00317E7D" w:rsidRDefault="00317E7D" w:rsidP="00317E7D">
      <w:pPr>
        <w:pStyle w:val="Bibliography"/>
        <w:rPr>
          <w:rFonts w:ascii="Calibri" w:cs="Calibri"/>
        </w:rPr>
      </w:pPr>
      <w:r w:rsidRPr="00317E7D">
        <w:rPr>
          <w:rFonts w:ascii="Calibri" w:cs="Calibri"/>
        </w:rPr>
        <w:t>351.</w:t>
      </w:r>
      <w:r w:rsidRPr="00317E7D">
        <w:rPr>
          <w:rFonts w:ascii="Calibri" w:cs="Calibri"/>
        </w:rPr>
        <w:tab/>
        <w:t xml:space="preserve">Kamatar, A., Gunay, G. &amp; Acar, H. Natural and Synthetic Biomaterials for Engineering Multicellular Tumor Spheroids. </w:t>
      </w:r>
      <w:r w:rsidRPr="00317E7D">
        <w:rPr>
          <w:rFonts w:ascii="Calibri" w:cs="Calibri"/>
          <w:i/>
          <w:iCs/>
        </w:rPr>
        <w:t>Polymers</w:t>
      </w:r>
      <w:r w:rsidRPr="00317E7D">
        <w:rPr>
          <w:rFonts w:ascii="Calibri" w:cs="Calibri"/>
        </w:rPr>
        <w:t xml:space="preserve"> </w:t>
      </w:r>
      <w:r w:rsidRPr="00317E7D">
        <w:rPr>
          <w:rFonts w:ascii="Calibri" w:cs="Calibri"/>
          <w:b/>
          <w:bCs/>
        </w:rPr>
        <w:t>12</w:t>
      </w:r>
      <w:r w:rsidRPr="00317E7D">
        <w:rPr>
          <w:rFonts w:ascii="Calibri" w:cs="Calibri"/>
        </w:rPr>
        <w:t>, 2506 (2020).</w:t>
      </w:r>
    </w:p>
    <w:p w14:paraId="7098FDFD" w14:textId="77777777" w:rsidR="00317E7D" w:rsidRPr="00317E7D" w:rsidRDefault="00317E7D" w:rsidP="00317E7D">
      <w:pPr>
        <w:pStyle w:val="Bibliography"/>
        <w:rPr>
          <w:rFonts w:ascii="Calibri" w:cs="Calibri"/>
        </w:rPr>
      </w:pPr>
      <w:r w:rsidRPr="00317E7D">
        <w:rPr>
          <w:rFonts w:ascii="Calibri" w:cs="Calibri"/>
        </w:rPr>
        <w:t>352.</w:t>
      </w:r>
      <w:r w:rsidRPr="00317E7D">
        <w:rPr>
          <w:rFonts w:ascii="Calibri" w:cs="Calibri"/>
        </w:rPr>
        <w:tab/>
        <w:t xml:space="preserve">Gunay, G. </w:t>
      </w:r>
      <w:r w:rsidRPr="00317E7D">
        <w:rPr>
          <w:rFonts w:ascii="Calibri" w:cs="Calibri"/>
          <w:i/>
          <w:iCs/>
        </w:rPr>
        <w:t>et al.</w:t>
      </w:r>
      <w:r w:rsidRPr="00317E7D">
        <w:rPr>
          <w:rFonts w:ascii="Calibri" w:cs="Calibri"/>
        </w:rPr>
        <w:t xml:space="preserve"> The effects of size and shape of the ovarian cancer spheroids on the drug resistance and migration. </w:t>
      </w:r>
      <w:r w:rsidRPr="00317E7D">
        <w:rPr>
          <w:rFonts w:ascii="Calibri" w:cs="Calibri"/>
          <w:i/>
          <w:iCs/>
        </w:rPr>
        <w:t>Gynecologic Oncology</w:t>
      </w:r>
      <w:r w:rsidRPr="00317E7D">
        <w:rPr>
          <w:rFonts w:ascii="Calibri" w:cs="Calibri"/>
        </w:rPr>
        <w:t xml:space="preserve"> </w:t>
      </w:r>
      <w:r w:rsidRPr="00317E7D">
        <w:rPr>
          <w:rFonts w:ascii="Calibri" w:cs="Calibri"/>
          <w:b/>
          <w:bCs/>
        </w:rPr>
        <w:t>159</w:t>
      </w:r>
      <w:r w:rsidRPr="00317E7D">
        <w:rPr>
          <w:rFonts w:ascii="Calibri" w:cs="Calibri"/>
        </w:rPr>
        <w:t>, 563–572 (2020).</w:t>
      </w:r>
    </w:p>
    <w:p w14:paraId="3854D2D0" w14:textId="77777777" w:rsidR="00317E7D" w:rsidRPr="00317E7D" w:rsidRDefault="00317E7D" w:rsidP="00317E7D">
      <w:pPr>
        <w:pStyle w:val="Bibliography"/>
        <w:rPr>
          <w:rFonts w:ascii="Calibri" w:cs="Calibri"/>
        </w:rPr>
      </w:pPr>
      <w:r w:rsidRPr="00317E7D">
        <w:rPr>
          <w:rFonts w:ascii="Calibri" w:cs="Calibri"/>
        </w:rPr>
        <w:t>353.</w:t>
      </w:r>
      <w:r w:rsidRPr="00317E7D">
        <w:rPr>
          <w:rFonts w:ascii="Calibri" w:cs="Calibri"/>
        </w:rPr>
        <w:tab/>
        <w:t xml:space="preserve">Jing, X. </w:t>
      </w:r>
      <w:r w:rsidRPr="00317E7D">
        <w:rPr>
          <w:rFonts w:ascii="Calibri" w:cs="Calibri"/>
          <w:i/>
          <w:iCs/>
        </w:rPr>
        <w:t>et al.</w:t>
      </w:r>
      <w:r w:rsidRPr="00317E7D">
        <w:rPr>
          <w:rFonts w:ascii="Calibri" w:cs="Calibri"/>
        </w:rPr>
        <w:t xml:space="preserve"> Role of hypoxia in cancer therapy by regulating the tumor microenvironment. </w:t>
      </w:r>
      <w:r w:rsidRPr="00317E7D">
        <w:rPr>
          <w:rFonts w:ascii="Calibri" w:cs="Calibri"/>
          <w:i/>
          <w:iCs/>
        </w:rPr>
        <w:t>Mol Cancer</w:t>
      </w:r>
      <w:r w:rsidRPr="00317E7D">
        <w:rPr>
          <w:rFonts w:ascii="Calibri" w:cs="Calibri"/>
        </w:rPr>
        <w:t xml:space="preserve"> </w:t>
      </w:r>
      <w:r w:rsidRPr="00317E7D">
        <w:rPr>
          <w:rFonts w:ascii="Calibri" w:cs="Calibri"/>
          <w:b/>
          <w:bCs/>
        </w:rPr>
        <w:t>18</w:t>
      </w:r>
      <w:r w:rsidRPr="00317E7D">
        <w:rPr>
          <w:rFonts w:ascii="Calibri" w:cs="Calibri"/>
        </w:rPr>
        <w:t>, 157 (2019).</w:t>
      </w:r>
    </w:p>
    <w:p w14:paraId="292851CD" w14:textId="77777777" w:rsidR="00317E7D" w:rsidRPr="00317E7D" w:rsidRDefault="00317E7D" w:rsidP="00317E7D">
      <w:pPr>
        <w:pStyle w:val="Bibliography"/>
        <w:rPr>
          <w:rFonts w:ascii="Calibri" w:cs="Calibri"/>
        </w:rPr>
      </w:pPr>
      <w:r w:rsidRPr="00317E7D">
        <w:rPr>
          <w:rFonts w:ascii="Calibri" w:cs="Calibri"/>
        </w:rPr>
        <w:t>354.</w:t>
      </w:r>
      <w:r w:rsidRPr="00317E7D">
        <w:rPr>
          <w:rFonts w:ascii="Calibri" w:cs="Calibri"/>
        </w:rPr>
        <w:tab/>
        <w:t xml:space="preserve">Hirschhaeuser, F. </w:t>
      </w:r>
      <w:r w:rsidRPr="00317E7D">
        <w:rPr>
          <w:rFonts w:ascii="Calibri" w:cs="Calibri"/>
          <w:i/>
          <w:iCs/>
        </w:rPr>
        <w:t>et al.</w:t>
      </w:r>
      <w:r w:rsidRPr="00317E7D">
        <w:rPr>
          <w:rFonts w:ascii="Calibri" w:cs="Calibri"/>
        </w:rPr>
        <w:t xml:space="preserve"> Multicellular tumor spheroids: An underestimated tool is catching up again. </w:t>
      </w:r>
      <w:r w:rsidRPr="00317E7D">
        <w:rPr>
          <w:rFonts w:ascii="Calibri" w:cs="Calibri"/>
          <w:i/>
          <w:iCs/>
        </w:rPr>
        <w:t>Journal of Biotechnology</w:t>
      </w:r>
      <w:r w:rsidRPr="00317E7D">
        <w:rPr>
          <w:rFonts w:ascii="Calibri" w:cs="Calibri"/>
        </w:rPr>
        <w:t xml:space="preserve"> </w:t>
      </w:r>
      <w:r w:rsidRPr="00317E7D">
        <w:rPr>
          <w:rFonts w:ascii="Calibri" w:cs="Calibri"/>
          <w:b/>
          <w:bCs/>
        </w:rPr>
        <w:t>148</w:t>
      </w:r>
      <w:r w:rsidRPr="00317E7D">
        <w:rPr>
          <w:rFonts w:ascii="Calibri" w:cs="Calibri"/>
        </w:rPr>
        <w:t>, 3–15 (2010).</w:t>
      </w:r>
    </w:p>
    <w:p w14:paraId="0AD6EFF4" w14:textId="77777777" w:rsidR="00317E7D" w:rsidRPr="00317E7D" w:rsidRDefault="00317E7D" w:rsidP="00317E7D">
      <w:pPr>
        <w:pStyle w:val="Bibliography"/>
        <w:rPr>
          <w:rFonts w:ascii="Calibri" w:cs="Calibri"/>
        </w:rPr>
      </w:pPr>
      <w:r w:rsidRPr="00317E7D">
        <w:rPr>
          <w:rFonts w:ascii="Calibri" w:cs="Calibri"/>
        </w:rPr>
        <w:t>355.</w:t>
      </w:r>
      <w:r w:rsidRPr="00317E7D">
        <w:rPr>
          <w:rFonts w:ascii="Calibri" w:cs="Calibri"/>
        </w:rPr>
        <w:tab/>
        <w:t xml:space="preserve">Yan, F. </w:t>
      </w:r>
      <w:r w:rsidRPr="00317E7D">
        <w:rPr>
          <w:rFonts w:ascii="Calibri" w:cs="Calibri"/>
          <w:i/>
          <w:iCs/>
        </w:rPr>
        <w:t>et al.</w:t>
      </w:r>
      <w:r w:rsidRPr="00317E7D">
        <w:rPr>
          <w:rFonts w:ascii="Calibri" w:cs="Calibri"/>
        </w:rPr>
        <w:t xml:space="preserve"> Characterization and quantification of necrotic tissues and morphology in multicellular ovarian cancer tumor spheroids using optical coherence tomography. </w:t>
      </w:r>
      <w:r w:rsidRPr="00317E7D">
        <w:rPr>
          <w:rFonts w:ascii="Calibri" w:cs="Calibri"/>
          <w:i/>
          <w:iCs/>
        </w:rPr>
        <w:t>Biomed. Opt. Express, BOE</w:t>
      </w:r>
      <w:r w:rsidRPr="00317E7D">
        <w:rPr>
          <w:rFonts w:ascii="Calibri" w:cs="Calibri"/>
        </w:rPr>
        <w:t xml:space="preserve"> </w:t>
      </w:r>
      <w:r w:rsidRPr="00317E7D">
        <w:rPr>
          <w:rFonts w:ascii="Calibri" w:cs="Calibri"/>
          <w:b/>
          <w:bCs/>
        </w:rPr>
        <w:t>12</w:t>
      </w:r>
      <w:r w:rsidRPr="00317E7D">
        <w:rPr>
          <w:rFonts w:ascii="Calibri" w:cs="Calibri"/>
        </w:rPr>
        <w:t>, 3352–3371 (2021).</w:t>
      </w:r>
    </w:p>
    <w:p w14:paraId="72C02C3E" w14:textId="77777777" w:rsidR="00317E7D" w:rsidRPr="00317E7D" w:rsidRDefault="00317E7D" w:rsidP="00317E7D">
      <w:pPr>
        <w:pStyle w:val="Bibliography"/>
        <w:rPr>
          <w:rFonts w:ascii="Calibri" w:cs="Calibri"/>
        </w:rPr>
      </w:pPr>
      <w:r w:rsidRPr="00317E7D">
        <w:rPr>
          <w:rFonts w:ascii="Calibri" w:cs="Calibri"/>
        </w:rPr>
        <w:t>356.</w:t>
      </w:r>
      <w:r w:rsidRPr="00317E7D">
        <w:rPr>
          <w:rFonts w:ascii="Calibri" w:cs="Calibri"/>
        </w:rPr>
        <w:tab/>
        <w:t xml:space="preserve">Biancalana, M. &amp; Koide, S. Molecular mechanism of Thioflavin-T binding to amyloid fibrils. </w:t>
      </w:r>
      <w:r w:rsidRPr="00317E7D">
        <w:rPr>
          <w:rFonts w:ascii="Calibri" w:cs="Calibri"/>
          <w:i/>
          <w:iCs/>
        </w:rPr>
        <w:t>Biochimica et Biophysica Acta (BBA) - Proteins and Proteomics</w:t>
      </w:r>
      <w:r w:rsidRPr="00317E7D">
        <w:rPr>
          <w:rFonts w:ascii="Calibri" w:cs="Calibri"/>
        </w:rPr>
        <w:t xml:space="preserve"> </w:t>
      </w:r>
      <w:r w:rsidRPr="00317E7D">
        <w:rPr>
          <w:rFonts w:ascii="Calibri" w:cs="Calibri"/>
          <w:b/>
          <w:bCs/>
        </w:rPr>
        <w:t>1804</w:t>
      </w:r>
      <w:r w:rsidRPr="00317E7D">
        <w:rPr>
          <w:rFonts w:ascii="Calibri" w:cs="Calibri"/>
        </w:rPr>
        <w:t>, 1405–1412 (2010).</w:t>
      </w:r>
    </w:p>
    <w:p w14:paraId="516E471A" w14:textId="77777777" w:rsidR="00317E7D" w:rsidRPr="00317E7D" w:rsidRDefault="00317E7D" w:rsidP="00317E7D">
      <w:pPr>
        <w:pStyle w:val="Bibliography"/>
        <w:rPr>
          <w:rFonts w:ascii="Calibri" w:cs="Calibri"/>
        </w:rPr>
      </w:pPr>
      <w:r w:rsidRPr="00317E7D">
        <w:rPr>
          <w:rFonts w:ascii="Calibri" w:cs="Calibri"/>
        </w:rPr>
        <w:t>357.</w:t>
      </w:r>
      <w:r w:rsidRPr="00317E7D">
        <w:rPr>
          <w:rFonts w:ascii="Calibri" w:cs="Calibri"/>
        </w:rPr>
        <w:tab/>
        <w:t xml:space="preserve">Bensen, R. C. </w:t>
      </w:r>
      <w:r w:rsidRPr="00317E7D">
        <w:rPr>
          <w:rFonts w:ascii="Calibri" w:cs="Calibri"/>
          <w:i/>
          <w:iCs/>
        </w:rPr>
        <w:t>et al.</w:t>
      </w:r>
      <w:r w:rsidRPr="00317E7D">
        <w:rPr>
          <w:rFonts w:ascii="Calibri" w:cs="Calibri"/>
        </w:rPr>
        <w:t xml:space="preserve"> Small Molecule Targeting of Oxysterol-Binding Protein (OSBP)-Related Protein 4 and OSBP Inhibits Ovarian Cancer Cell Proliferation in Monolayer and Spheroid Cell Models. </w:t>
      </w:r>
      <w:r w:rsidRPr="00317E7D">
        <w:rPr>
          <w:rFonts w:ascii="Calibri" w:cs="Calibri"/>
          <w:i/>
          <w:iCs/>
        </w:rPr>
        <w:t>ACS Pharmacol. Transl. Sci.</w:t>
      </w:r>
      <w:r w:rsidRPr="00317E7D">
        <w:rPr>
          <w:rFonts w:ascii="Calibri" w:cs="Calibri"/>
        </w:rPr>
        <w:t xml:space="preserve"> (2021) doi:10.1021/acsptsci.0c00207.</w:t>
      </w:r>
    </w:p>
    <w:p w14:paraId="0EAA7E99" w14:textId="77777777" w:rsidR="00317E7D" w:rsidRPr="00317E7D" w:rsidRDefault="00317E7D" w:rsidP="00317E7D">
      <w:pPr>
        <w:pStyle w:val="Bibliography"/>
        <w:rPr>
          <w:rFonts w:ascii="Calibri" w:cs="Calibri"/>
        </w:rPr>
      </w:pPr>
      <w:r w:rsidRPr="00317E7D">
        <w:rPr>
          <w:rFonts w:ascii="Calibri" w:cs="Calibri"/>
        </w:rPr>
        <w:lastRenderedPageBreak/>
        <w:t>358.</w:t>
      </w:r>
      <w:r w:rsidRPr="00317E7D">
        <w:rPr>
          <w:rFonts w:ascii="Calibri" w:cs="Calibri"/>
        </w:rPr>
        <w:tab/>
        <w:t xml:space="preserve">Azharuddin, M. </w:t>
      </w:r>
      <w:r w:rsidRPr="00317E7D">
        <w:rPr>
          <w:rFonts w:ascii="Calibri" w:cs="Calibri"/>
          <w:i/>
          <w:iCs/>
        </w:rPr>
        <w:t>et al.</w:t>
      </w:r>
      <w:r w:rsidRPr="00317E7D">
        <w:rPr>
          <w:rFonts w:ascii="Calibri" w:cs="Calibri"/>
        </w:rPr>
        <w:t xml:space="preserve"> Dissecting multi drug resistance in head and neck cancer cells using multicellular tumor spheroids. </w:t>
      </w:r>
      <w:r w:rsidRPr="00317E7D">
        <w:rPr>
          <w:rFonts w:ascii="Calibri" w:cs="Calibri"/>
          <w:i/>
          <w:iCs/>
        </w:rPr>
        <w:t>Sci Rep</w:t>
      </w:r>
      <w:r w:rsidRPr="00317E7D">
        <w:rPr>
          <w:rFonts w:ascii="Calibri" w:cs="Calibri"/>
        </w:rPr>
        <w:t xml:space="preserve"> </w:t>
      </w:r>
      <w:r w:rsidRPr="00317E7D">
        <w:rPr>
          <w:rFonts w:ascii="Calibri" w:cs="Calibri"/>
          <w:b/>
          <w:bCs/>
        </w:rPr>
        <w:t>9</w:t>
      </w:r>
      <w:r w:rsidRPr="00317E7D">
        <w:rPr>
          <w:rFonts w:ascii="Calibri" w:cs="Calibri"/>
        </w:rPr>
        <w:t>, 20066 (2019).</w:t>
      </w:r>
    </w:p>
    <w:p w14:paraId="3DC7785E" w14:textId="77777777" w:rsidR="00317E7D" w:rsidRPr="00317E7D" w:rsidRDefault="00317E7D" w:rsidP="00317E7D">
      <w:pPr>
        <w:pStyle w:val="Bibliography"/>
        <w:rPr>
          <w:rFonts w:ascii="Calibri" w:cs="Calibri"/>
        </w:rPr>
      </w:pPr>
      <w:r w:rsidRPr="00317E7D">
        <w:rPr>
          <w:rFonts w:ascii="Calibri" w:cs="Calibri"/>
        </w:rPr>
        <w:t>359.</w:t>
      </w:r>
      <w:r w:rsidRPr="00317E7D">
        <w:rPr>
          <w:rFonts w:ascii="Calibri" w:cs="Calibri"/>
        </w:rPr>
        <w:tab/>
        <w:t xml:space="preserve">Nunes, A. S., Barros, A. S., Costa, E. C., Moreira, A. F. &amp; Correia, I. J. 3D tumor spheroids as in vitro models to mimic in vivo human solid tumors resistance to therapeutic drugs: NUNES </w:t>
      </w:r>
      <w:r w:rsidRPr="00317E7D">
        <w:rPr>
          <w:rFonts w:ascii="Calibri" w:cs="Calibri"/>
          <w:smallCaps/>
        </w:rPr>
        <w:t>et al.</w:t>
      </w:r>
      <w:r w:rsidRPr="00317E7D">
        <w:rPr>
          <w:rFonts w:ascii="Calibri" w:cs="Calibri"/>
        </w:rPr>
        <w:t xml:space="preserve"> </w:t>
      </w:r>
      <w:r w:rsidRPr="00317E7D">
        <w:rPr>
          <w:rFonts w:ascii="Calibri" w:cs="Calibri"/>
          <w:i/>
          <w:iCs/>
        </w:rPr>
        <w:t>Biotechnology and Bioengineering</w:t>
      </w:r>
      <w:r w:rsidRPr="00317E7D">
        <w:rPr>
          <w:rFonts w:ascii="Calibri" w:cs="Calibri"/>
        </w:rPr>
        <w:t xml:space="preserve"> </w:t>
      </w:r>
      <w:r w:rsidRPr="00317E7D">
        <w:rPr>
          <w:rFonts w:ascii="Calibri" w:cs="Calibri"/>
          <w:b/>
          <w:bCs/>
        </w:rPr>
        <w:t>116</w:t>
      </w:r>
      <w:r w:rsidRPr="00317E7D">
        <w:rPr>
          <w:rFonts w:ascii="Calibri" w:cs="Calibri"/>
        </w:rPr>
        <w:t>, 206–226 (2019).</w:t>
      </w:r>
    </w:p>
    <w:p w14:paraId="28617E40" w14:textId="77777777" w:rsidR="00317E7D" w:rsidRPr="00317E7D" w:rsidRDefault="00317E7D" w:rsidP="00317E7D">
      <w:pPr>
        <w:pStyle w:val="Bibliography"/>
        <w:rPr>
          <w:rFonts w:ascii="Calibri" w:cs="Calibri"/>
        </w:rPr>
      </w:pPr>
      <w:r w:rsidRPr="00317E7D">
        <w:rPr>
          <w:rFonts w:ascii="Calibri" w:cs="Calibri"/>
        </w:rPr>
        <w:t>360.</w:t>
      </w:r>
      <w:r w:rsidRPr="00317E7D">
        <w:rPr>
          <w:rFonts w:ascii="Calibri" w:cs="Calibri"/>
        </w:rPr>
        <w:tab/>
        <w:t xml:space="preserve">Perche, F. &amp; Torchilin, V. P. Cancer cell spheroids as a model to evaluate chemotherapy protocols. </w:t>
      </w:r>
      <w:r w:rsidRPr="00317E7D">
        <w:rPr>
          <w:rFonts w:ascii="Calibri" w:cs="Calibri"/>
          <w:i/>
          <w:iCs/>
        </w:rPr>
        <w:t>Cancer Biology &amp; Therapy</w:t>
      </w:r>
      <w:r w:rsidRPr="00317E7D">
        <w:rPr>
          <w:rFonts w:ascii="Calibri" w:cs="Calibri"/>
        </w:rPr>
        <w:t xml:space="preserve"> </w:t>
      </w:r>
      <w:r w:rsidRPr="00317E7D">
        <w:rPr>
          <w:rFonts w:ascii="Calibri" w:cs="Calibri"/>
          <w:b/>
          <w:bCs/>
        </w:rPr>
        <w:t>13</w:t>
      </w:r>
      <w:r w:rsidRPr="00317E7D">
        <w:rPr>
          <w:rFonts w:ascii="Calibri" w:cs="Calibri"/>
        </w:rPr>
        <w:t>, 1205–1213 (2012).</w:t>
      </w:r>
    </w:p>
    <w:p w14:paraId="3F351765" w14:textId="77777777" w:rsidR="00317E7D" w:rsidRPr="00317E7D" w:rsidRDefault="00317E7D" w:rsidP="00317E7D">
      <w:pPr>
        <w:pStyle w:val="Bibliography"/>
        <w:rPr>
          <w:rFonts w:ascii="Calibri" w:cs="Calibri"/>
        </w:rPr>
      </w:pPr>
      <w:r w:rsidRPr="00317E7D">
        <w:rPr>
          <w:rFonts w:ascii="Calibri" w:cs="Calibri"/>
        </w:rPr>
        <w:t>361.</w:t>
      </w:r>
      <w:r w:rsidRPr="00317E7D">
        <w:rPr>
          <w:rFonts w:ascii="Calibri" w:cs="Calibri"/>
        </w:rPr>
        <w:tab/>
        <w:t xml:space="preserve">Krukiewicz, K. &amp; Zak, J. K. Biomaterial-based regional chemotherapy: Local anticancer drug delivery to enhance chemotherapy and minimize its side-effects. </w:t>
      </w:r>
      <w:r w:rsidRPr="00317E7D">
        <w:rPr>
          <w:rFonts w:ascii="Calibri" w:cs="Calibri"/>
          <w:i/>
          <w:iCs/>
        </w:rPr>
        <w:t>Materials Science and Engineering: C</w:t>
      </w:r>
      <w:r w:rsidRPr="00317E7D">
        <w:rPr>
          <w:rFonts w:ascii="Calibri" w:cs="Calibri"/>
        </w:rPr>
        <w:t xml:space="preserve"> </w:t>
      </w:r>
      <w:r w:rsidRPr="00317E7D">
        <w:rPr>
          <w:rFonts w:ascii="Calibri" w:cs="Calibri"/>
          <w:b/>
          <w:bCs/>
        </w:rPr>
        <w:t>62</w:t>
      </w:r>
      <w:r w:rsidRPr="00317E7D">
        <w:rPr>
          <w:rFonts w:ascii="Calibri" w:cs="Calibri"/>
        </w:rPr>
        <w:t>, 927–942 (2016).</w:t>
      </w:r>
    </w:p>
    <w:p w14:paraId="72CF55BB" w14:textId="77777777" w:rsidR="00317E7D" w:rsidRPr="00317E7D" w:rsidRDefault="00317E7D" w:rsidP="00317E7D">
      <w:pPr>
        <w:pStyle w:val="Bibliography"/>
        <w:rPr>
          <w:rFonts w:ascii="Calibri" w:cs="Calibri"/>
        </w:rPr>
      </w:pPr>
      <w:r w:rsidRPr="00317E7D">
        <w:rPr>
          <w:rFonts w:ascii="Calibri" w:cs="Calibri"/>
        </w:rPr>
        <w:t>362.</w:t>
      </w:r>
      <w:r w:rsidRPr="00317E7D">
        <w:rPr>
          <w:rFonts w:ascii="Calibri" w:cs="Calibri"/>
        </w:rPr>
        <w:tab/>
        <w:t xml:space="preserve">Shahar, N. &amp; Larisch, S. Inhibiting the inhibitors: Targeting anti-apoptotic proteins in cancer and therapy resistance. </w:t>
      </w:r>
      <w:r w:rsidRPr="00317E7D">
        <w:rPr>
          <w:rFonts w:ascii="Calibri" w:cs="Calibri"/>
          <w:i/>
          <w:iCs/>
        </w:rPr>
        <w:t>Drug Resistance Updates</w:t>
      </w:r>
      <w:r w:rsidRPr="00317E7D">
        <w:rPr>
          <w:rFonts w:ascii="Calibri" w:cs="Calibri"/>
        </w:rPr>
        <w:t xml:space="preserve"> </w:t>
      </w:r>
      <w:r w:rsidRPr="00317E7D">
        <w:rPr>
          <w:rFonts w:ascii="Calibri" w:cs="Calibri"/>
          <w:b/>
          <w:bCs/>
        </w:rPr>
        <w:t>52</w:t>
      </w:r>
      <w:r w:rsidRPr="00317E7D">
        <w:rPr>
          <w:rFonts w:ascii="Calibri" w:cs="Calibri"/>
        </w:rPr>
        <w:t>, 100712 (2020).</w:t>
      </w:r>
    </w:p>
    <w:p w14:paraId="1718D12F" w14:textId="77777777" w:rsidR="00317E7D" w:rsidRPr="00317E7D" w:rsidRDefault="00317E7D" w:rsidP="00317E7D">
      <w:pPr>
        <w:pStyle w:val="Bibliography"/>
        <w:rPr>
          <w:rFonts w:ascii="Calibri" w:cs="Calibri"/>
        </w:rPr>
      </w:pPr>
      <w:r w:rsidRPr="00317E7D">
        <w:rPr>
          <w:rFonts w:ascii="Calibri" w:cs="Calibri"/>
        </w:rPr>
        <w:t>363.</w:t>
      </w:r>
      <w:r w:rsidRPr="00317E7D">
        <w:rPr>
          <w:rFonts w:ascii="Calibri" w:cs="Calibri"/>
        </w:rPr>
        <w:tab/>
        <w:t xml:space="preserve">Land, W. G. The Role of Damage-Associated Molecular Patterns (DAMPs) in Human Diseases. </w:t>
      </w:r>
      <w:r w:rsidRPr="00317E7D">
        <w:rPr>
          <w:rFonts w:ascii="Calibri" w:cs="Calibri"/>
          <w:i/>
          <w:iCs/>
        </w:rPr>
        <w:t>Sultan Qaboos Univ Med J</w:t>
      </w:r>
      <w:r w:rsidRPr="00317E7D">
        <w:rPr>
          <w:rFonts w:ascii="Calibri" w:cs="Calibri"/>
        </w:rPr>
        <w:t xml:space="preserve"> </w:t>
      </w:r>
      <w:r w:rsidRPr="00317E7D">
        <w:rPr>
          <w:rFonts w:ascii="Calibri" w:cs="Calibri"/>
          <w:b/>
          <w:bCs/>
        </w:rPr>
        <w:t>15</w:t>
      </w:r>
      <w:r w:rsidRPr="00317E7D">
        <w:rPr>
          <w:rFonts w:ascii="Calibri" w:cs="Calibri"/>
        </w:rPr>
        <w:t>, e157–e170 (2015).</w:t>
      </w:r>
    </w:p>
    <w:p w14:paraId="2E1DC16E" w14:textId="77777777" w:rsidR="00317E7D" w:rsidRPr="00317E7D" w:rsidRDefault="00317E7D" w:rsidP="00317E7D">
      <w:pPr>
        <w:pStyle w:val="Bibliography"/>
        <w:rPr>
          <w:rFonts w:ascii="Calibri" w:cs="Calibri"/>
        </w:rPr>
      </w:pPr>
      <w:r w:rsidRPr="00317E7D">
        <w:rPr>
          <w:rFonts w:ascii="Calibri" w:cs="Calibri"/>
        </w:rPr>
        <w:t>364.</w:t>
      </w:r>
      <w:r w:rsidRPr="00317E7D">
        <w:rPr>
          <w:rFonts w:ascii="Calibri" w:cs="Calibri"/>
        </w:rPr>
        <w:tab/>
        <w:t xml:space="preserve">Eisenächer, K., Steinberg, C., Reindl, W. &amp; Krug, A. The role of viral nucleic acid recognition in dendritic cells for innate and adaptive antiviral immunity. </w:t>
      </w:r>
      <w:r w:rsidRPr="00317E7D">
        <w:rPr>
          <w:rFonts w:ascii="Calibri" w:cs="Calibri"/>
          <w:i/>
          <w:iCs/>
        </w:rPr>
        <w:t>Immunobiology</w:t>
      </w:r>
      <w:r w:rsidRPr="00317E7D">
        <w:rPr>
          <w:rFonts w:ascii="Calibri" w:cs="Calibri"/>
        </w:rPr>
        <w:t xml:space="preserve"> </w:t>
      </w:r>
      <w:r w:rsidRPr="00317E7D">
        <w:rPr>
          <w:rFonts w:ascii="Calibri" w:cs="Calibri"/>
          <w:b/>
          <w:bCs/>
        </w:rPr>
        <w:t>212</w:t>
      </w:r>
      <w:r w:rsidRPr="00317E7D">
        <w:rPr>
          <w:rFonts w:ascii="Calibri" w:cs="Calibri"/>
        </w:rPr>
        <w:t>, 701–714 (2008).</w:t>
      </w:r>
    </w:p>
    <w:p w14:paraId="46926C22" w14:textId="77777777" w:rsidR="00317E7D" w:rsidRPr="00317E7D" w:rsidRDefault="00317E7D" w:rsidP="00317E7D">
      <w:pPr>
        <w:pStyle w:val="Bibliography"/>
        <w:rPr>
          <w:rFonts w:ascii="Calibri" w:cs="Calibri"/>
        </w:rPr>
      </w:pPr>
      <w:r w:rsidRPr="00317E7D">
        <w:rPr>
          <w:rFonts w:ascii="Calibri" w:cs="Calibri"/>
        </w:rPr>
        <w:t>365.</w:t>
      </w:r>
      <w:r w:rsidRPr="00317E7D">
        <w:rPr>
          <w:rFonts w:ascii="Calibri" w:cs="Calibri"/>
        </w:rPr>
        <w:tab/>
        <w:t xml:space="preserve">Sistigu, A. </w:t>
      </w:r>
      <w:r w:rsidRPr="00317E7D">
        <w:rPr>
          <w:rFonts w:ascii="Calibri" w:cs="Calibri"/>
          <w:i/>
          <w:iCs/>
        </w:rPr>
        <w:t>et al.</w:t>
      </w:r>
      <w:r w:rsidRPr="00317E7D">
        <w:rPr>
          <w:rFonts w:ascii="Calibri" w:cs="Calibri"/>
        </w:rPr>
        <w:t xml:space="preserve"> Cancer cell–autonomous contribution of type I interferon signaling to the efficacy of chemotherapy. </w:t>
      </w:r>
      <w:r w:rsidRPr="00317E7D">
        <w:rPr>
          <w:rFonts w:ascii="Calibri" w:cs="Calibri"/>
          <w:i/>
          <w:iCs/>
        </w:rPr>
        <w:t>Nat Med</w:t>
      </w:r>
      <w:r w:rsidRPr="00317E7D">
        <w:rPr>
          <w:rFonts w:ascii="Calibri" w:cs="Calibri"/>
        </w:rPr>
        <w:t xml:space="preserve"> </w:t>
      </w:r>
      <w:r w:rsidRPr="00317E7D">
        <w:rPr>
          <w:rFonts w:ascii="Calibri" w:cs="Calibri"/>
          <w:b/>
          <w:bCs/>
        </w:rPr>
        <w:t>20</w:t>
      </w:r>
      <w:r w:rsidRPr="00317E7D">
        <w:rPr>
          <w:rFonts w:ascii="Calibri" w:cs="Calibri"/>
        </w:rPr>
        <w:t>, 1301–1309 (2014).</w:t>
      </w:r>
    </w:p>
    <w:p w14:paraId="7A4B1FA7" w14:textId="77777777" w:rsidR="00317E7D" w:rsidRPr="00317E7D" w:rsidRDefault="00317E7D" w:rsidP="00317E7D">
      <w:pPr>
        <w:pStyle w:val="Bibliography"/>
        <w:rPr>
          <w:rFonts w:ascii="Calibri" w:cs="Calibri"/>
        </w:rPr>
      </w:pPr>
      <w:r w:rsidRPr="00317E7D">
        <w:rPr>
          <w:rFonts w:ascii="Calibri" w:cs="Calibri"/>
        </w:rPr>
        <w:t>366.</w:t>
      </w:r>
      <w:r w:rsidRPr="00317E7D">
        <w:rPr>
          <w:rFonts w:ascii="Calibri" w:cs="Calibri"/>
        </w:rPr>
        <w:tab/>
        <w:t xml:space="preserve">Suzuki, K. </w:t>
      </w:r>
      <w:r w:rsidRPr="00317E7D">
        <w:rPr>
          <w:rFonts w:ascii="Calibri" w:cs="Calibri"/>
          <w:i/>
          <w:iCs/>
        </w:rPr>
        <w:t>et al.</w:t>
      </w:r>
      <w:r w:rsidRPr="00317E7D">
        <w:rPr>
          <w:rFonts w:ascii="Calibri" w:cs="Calibri"/>
        </w:rPr>
        <w:t xml:space="preserve"> Activation of target-tissue immune-recognition molecules by double-stranded polynucleotides. </w:t>
      </w:r>
      <w:r w:rsidRPr="00317E7D">
        <w:rPr>
          <w:rFonts w:ascii="Calibri" w:cs="Calibri"/>
          <w:i/>
          <w:iCs/>
        </w:rPr>
        <w:t>Proceedings of the National Academy of Sciences</w:t>
      </w:r>
      <w:r w:rsidRPr="00317E7D">
        <w:rPr>
          <w:rFonts w:ascii="Calibri" w:cs="Calibri"/>
        </w:rPr>
        <w:t xml:space="preserve"> </w:t>
      </w:r>
      <w:r w:rsidRPr="00317E7D">
        <w:rPr>
          <w:rFonts w:ascii="Calibri" w:cs="Calibri"/>
          <w:b/>
          <w:bCs/>
        </w:rPr>
        <w:t>96</w:t>
      </w:r>
      <w:r w:rsidRPr="00317E7D">
        <w:rPr>
          <w:rFonts w:ascii="Calibri" w:cs="Calibri"/>
        </w:rPr>
        <w:t>, 2285–2290 (1999).</w:t>
      </w:r>
    </w:p>
    <w:p w14:paraId="2F0A3890" w14:textId="77777777" w:rsidR="00317E7D" w:rsidRPr="00317E7D" w:rsidRDefault="00317E7D" w:rsidP="00317E7D">
      <w:pPr>
        <w:pStyle w:val="Bibliography"/>
        <w:rPr>
          <w:rFonts w:ascii="Calibri" w:cs="Calibri"/>
        </w:rPr>
      </w:pPr>
      <w:r w:rsidRPr="00317E7D">
        <w:rPr>
          <w:rFonts w:ascii="Calibri" w:cs="Calibri"/>
        </w:rPr>
        <w:lastRenderedPageBreak/>
        <w:t>367.</w:t>
      </w:r>
      <w:r w:rsidRPr="00317E7D">
        <w:rPr>
          <w:rFonts w:ascii="Calibri" w:cs="Calibri"/>
        </w:rPr>
        <w:tab/>
        <w:t xml:space="preserve">Chen, S.-H. </w:t>
      </w:r>
      <w:r w:rsidRPr="00317E7D">
        <w:rPr>
          <w:rFonts w:ascii="Calibri" w:cs="Calibri"/>
          <w:i/>
          <w:iCs/>
        </w:rPr>
        <w:t>et al.</w:t>
      </w:r>
      <w:r w:rsidRPr="00317E7D">
        <w:rPr>
          <w:rFonts w:ascii="Calibri" w:cs="Calibri"/>
        </w:rPr>
        <w:t xml:space="preserve"> O6-methylguanine-DNA methyltransferase modulates cisplatin-induced DNA double-strand breaks by targeting the homologous recombination pathway in nasopharyngeal carcinoma. </w:t>
      </w:r>
      <w:r w:rsidRPr="00317E7D">
        <w:rPr>
          <w:rFonts w:ascii="Calibri" w:cs="Calibri"/>
          <w:i/>
          <w:iCs/>
        </w:rPr>
        <w:t>J Biomed Sci</w:t>
      </w:r>
      <w:r w:rsidRPr="00317E7D">
        <w:rPr>
          <w:rFonts w:ascii="Calibri" w:cs="Calibri"/>
        </w:rPr>
        <w:t xml:space="preserve"> </w:t>
      </w:r>
      <w:r w:rsidRPr="00317E7D">
        <w:rPr>
          <w:rFonts w:ascii="Calibri" w:cs="Calibri"/>
          <w:b/>
          <w:bCs/>
        </w:rPr>
        <w:t>28</w:t>
      </w:r>
      <w:r w:rsidRPr="00317E7D">
        <w:rPr>
          <w:rFonts w:ascii="Calibri" w:cs="Calibri"/>
        </w:rPr>
        <w:t>, 2 (2021).</w:t>
      </w:r>
    </w:p>
    <w:p w14:paraId="3628BF8F" w14:textId="77777777" w:rsidR="00317E7D" w:rsidRPr="00317E7D" w:rsidRDefault="00317E7D" w:rsidP="00317E7D">
      <w:pPr>
        <w:pStyle w:val="Bibliography"/>
        <w:rPr>
          <w:rFonts w:ascii="Calibri" w:cs="Calibri"/>
        </w:rPr>
      </w:pPr>
      <w:r w:rsidRPr="00317E7D">
        <w:rPr>
          <w:rFonts w:ascii="Calibri" w:cs="Calibri"/>
        </w:rPr>
        <w:t>368.</w:t>
      </w:r>
      <w:r w:rsidRPr="00317E7D">
        <w:rPr>
          <w:rFonts w:ascii="Calibri" w:cs="Calibri"/>
        </w:rPr>
        <w:tab/>
        <w:t xml:space="preserve">Bianchi, M. E. DAMPs from cell death to new life. </w:t>
      </w:r>
      <w:r w:rsidRPr="00317E7D">
        <w:rPr>
          <w:rFonts w:ascii="Calibri" w:cs="Calibri"/>
          <w:i/>
          <w:iCs/>
        </w:rPr>
        <w:t>Frontiers in Immunology</w:t>
      </w:r>
      <w:r w:rsidRPr="00317E7D">
        <w:rPr>
          <w:rFonts w:ascii="Calibri" w:cs="Calibri"/>
        </w:rPr>
        <w:t xml:space="preserve"> </w:t>
      </w:r>
      <w:r w:rsidRPr="00317E7D">
        <w:rPr>
          <w:rFonts w:ascii="Calibri" w:cs="Calibri"/>
          <w:b/>
          <w:bCs/>
        </w:rPr>
        <w:t>6</w:t>
      </w:r>
      <w:r w:rsidRPr="00317E7D">
        <w:rPr>
          <w:rFonts w:ascii="Calibri" w:cs="Calibri"/>
        </w:rPr>
        <w:t>, 11 (2015).</w:t>
      </w:r>
    </w:p>
    <w:p w14:paraId="5449A338" w14:textId="77777777" w:rsidR="00317E7D" w:rsidRPr="00317E7D" w:rsidRDefault="00317E7D" w:rsidP="00317E7D">
      <w:pPr>
        <w:pStyle w:val="Bibliography"/>
        <w:rPr>
          <w:rFonts w:ascii="Calibri" w:cs="Calibri"/>
        </w:rPr>
      </w:pPr>
      <w:r w:rsidRPr="00317E7D">
        <w:rPr>
          <w:rFonts w:ascii="Calibri" w:cs="Calibri"/>
        </w:rPr>
        <w:t>369.</w:t>
      </w:r>
      <w:r w:rsidRPr="00317E7D">
        <w:rPr>
          <w:rFonts w:ascii="Calibri" w:cs="Calibri"/>
        </w:rPr>
        <w:tab/>
        <w:t xml:space="preserve">Mortezaee, K. </w:t>
      </w:r>
      <w:r w:rsidRPr="00317E7D">
        <w:rPr>
          <w:rFonts w:ascii="Calibri" w:cs="Calibri"/>
          <w:i/>
          <w:iCs/>
        </w:rPr>
        <w:t>et al.</w:t>
      </w:r>
      <w:r w:rsidRPr="00317E7D">
        <w:rPr>
          <w:rFonts w:ascii="Calibri" w:cs="Calibri"/>
        </w:rPr>
        <w:t xml:space="preserve"> NF‐κB targeting for overcoming tumor resistance and normal tissues toxicity. </w:t>
      </w:r>
      <w:r w:rsidRPr="00317E7D">
        <w:rPr>
          <w:rFonts w:ascii="Calibri" w:cs="Calibri"/>
          <w:i/>
          <w:iCs/>
        </w:rPr>
        <w:t>Journal Cellular Physiology</w:t>
      </w:r>
      <w:r w:rsidRPr="00317E7D">
        <w:rPr>
          <w:rFonts w:ascii="Calibri" w:cs="Calibri"/>
        </w:rPr>
        <w:t xml:space="preserve"> </w:t>
      </w:r>
      <w:r w:rsidRPr="00317E7D">
        <w:rPr>
          <w:rFonts w:ascii="Calibri" w:cs="Calibri"/>
          <w:b/>
          <w:bCs/>
        </w:rPr>
        <w:t>234</w:t>
      </w:r>
      <w:r w:rsidRPr="00317E7D">
        <w:rPr>
          <w:rFonts w:ascii="Calibri" w:cs="Calibri"/>
        </w:rPr>
        <w:t>, 17187–17204 (2019).</w:t>
      </w:r>
    </w:p>
    <w:p w14:paraId="2807861E" w14:textId="77777777" w:rsidR="00317E7D" w:rsidRPr="00317E7D" w:rsidRDefault="00317E7D" w:rsidP="00317E7D">
      <w:pPr>
        <w:pStyle w:val="Bibliography"/>
        <w:rPr>
          <w:rFonts w:ascii="Calibri" w:cs="Calibri"/>
        </w:rPr>
      </w:pPr>
      <w:r w:rsidRPr="00317E7D">
        <w:rPr>
          <w:rFonts w:ascii="Calibri" w:cs="Calibri"/>
        </w:rPr>
        <w:t>370.</w:t>
      </w:r>
      <w:r w:rsidRPr="00317E7D">
        <w:rPr>
          <w:rFonts w:ascii="Calibri" w:cs="Calibri"/>
        </w:rPr>
        <w:tab/>
        <w:t xml:space="preserve">Hong, W. X. </w:t>
      </w:r>
      <w:r w:rsidRPr="00317E7D">
        <w:rPr>
          <w:rFonts w:ascii="Calibri" w:cs="Calibri"/>
          <w:i/>
          <w:iCs/>
        </w:rPr>
        <w:t>et al.</w:t>
      </w:r>
      <w:r w:rsidRPr="00317E7D">
        <w:rPr>
          <w:rFonts w:ascii="Calibri" w:cs="Calibri"/>
        </w:rPr>
        <w:t xml:space="preserve"> Intratumoral Immunotherapy for Early-stage Solid Tumors. </w:t>
      </w:r>
      <w:r w:rsidRPr="00317E7D">
        <w:rPr>
          <w:rFonts w:ascii="Calibri" w:cs="Calibri"/>
          <w:i/>
          <w:iCs/>
        </w:rPr>
        <w:t>Clin Cancer Res</w:t>
      </w:r>
      <w:r w:rsidRPr="00317E7D">
        <w:rPr>
          <w:rFonts w:ascii="Calibri" w:cs="Calibri"/>
        </w:rPr>
        <w:t xml:space="preserve"> </w:t>
      </w:r>
      <w:r w:rsidRPr="00317E7D">
        <w:rPr>
          <w:rFonts w:ascii="Calibri" w:cs="Calibri"/>
          <w:b/>
          <w:bCs/>
        </w:rPr>
        <w:t>26</w:t>
      </w:r>
      <w:r w:rsidRPr="00317E7D">
        <w:rPr>
          <w:rFonts w:ascii="Calibri" w:cs="Calibri"/>
        </w:rPr>
        <w:t>, 3091–3099 (2020).</w:t>
      </w:r>
    </w:p>
    <w:p w14:paraId="19126BD6" w14:textId="7E0D2085" w:rsidR="000711C0" w:rsidRDefault="009D125F" w:rsidP="003D04F1">
      <w:pPr>
        <w:spacing w:line="276" w:lineRule="auto"/>
        <w:rPr>
          <w:rFonts w:ascii="Palatino Linotype" w:hAnsi="Palatino Linotype"/>
        </w:rPr>
      </w:pPr>
      <w:r>
        <w:rPr>
          <w:rFonts w:ascii="Palatino Linotype" w:hAnsi="Palatino Linotype"/>
        </w:rPr>
        <w:fldChar w:fldCharType="end"/>
      </w:r>
    </w:p>
    <w:p w14:paraId="72BFB839" w14:textId="77777777" w:rsidR="000711C0" w:rsidRDefault="000711C0" w:rsidP="003D04F1">
      <w:pPr>
        <w:spacing w:line="276" w:lineRule="auto"/>
        <w:rPr>
          <w:rFonts w:ascii="Palatino Linotype" w:hAnsi="Palatino Linotype"/>
        </w:rPr>
      </w:pPr>
    </w:p>
    <w:p w14:paraId="400B477C" w14:textId="77777777" w:rsidR="000711C0" w:rsidRPr="00D9424A" w:rsidRDefault="000711C0" w:rsidP="003D04F1">
      <w:pPr>
        <w:spacing w:line="276" w:lineRule="auto"/>
        <w:rPr>
          <w:rFonts w:ascii="Palatino Linotype" w:hAnsi="Palatino Linotype"/>
        </w:rPr>
      </w:pPr>
    </w:p>
    <w:p w14:paraId="58DBA674" w14:textId="77777777" w:rsidR="000711C0" w:rsidRPr="000711C0" w:rsidRDefault="000711C0" w:rsidP="003D04F1">
      <w:pPr>
        <w:spacing w:line="276" w:lineRule="auto"/>
      </w:pPr>
    </w:p>
    <w:p w14:paraId="2C305B0B" w14:textId="64D1D02D" w:rsidR="008B229D" w:rsidRDefault="00000000" w:rsidP="003D04F1">
      <w:pPr>
        <w:pStyle w:val="Heading1"/>
        <w:spacing w:line="276" w:lineRule="auto"/>
      </w:pPr>
    </w:p>
    <w:sectPr w:rsidR="008B229D" w:rsidSect="0067493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30413" w14:textId="77777777" w:rsidR="001A646A" w:rsidRDefault="001A646A" w:rsidP="00081F83">
      <w:r>
        <w:separator/>
      </w:r>
    </w:p>
  </w:endnote>
  <w:endnote w:type="continuationSeparator" w:id="0">
    <w:p w14:paraId="4F763281" w14:textId="77777777" w:rsidR="001A646A" w:rsidRDefault="001A646A" w:rsidP="00081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Noto Sans Symbols">
    <w:altName w:val="Calibri"/>
    <w:panose1 w:val="020B0604020202020204"/>
    <w:charset w:val="00"/>
    <w:family w:val="swiss"/>
    <w:pitch w:val="variable"/>
    <w:sig w:usb0="E00002FF" w:usb1="4000001F" w:usb2="08000029"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9249129"/>
      <w:docPartObj>
        <w:docPartGallery w:val="Page Numbers (Bottom of Page)"/>
        <w:docPartUnique/>
      </w:docPartObj>
    </w:sdtPr>
    <w:sdtContent>
      <w:p w14:paraId="7D430B77" w14:textId="16415D0B" w:rsidR="0067493A" w:rsidRDefault="0067493A" w:rsidP="003673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AE5D6E" w14:textId="77777777" w:rsidR="0067493A" w:rsidRDefault="0067493A" w:rsidP="006749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33269476"/>
      <w:docPartObj>
        <w:docPartGallery w:val="Page Numbers (Bottom of Page)"/>
        <w:docPartUnique/>
      </w:docPartObj>
    </w:sdtPr>
    <w:sdtContent>
      <w:p w14:paraId="6CA6B10F" w14:textId="4EB6C465" w:rsidR="0067493A" w:rsidRDefault="0067493A" w:rsidP="003673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41FEF26A" w14:textId="77777777" w:rsidR="0067493A" w:rsidRDefault="0067493A" w:rsidP="006749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573E4" w14:textId="77777777" w:rsidR="001A646A" w:rsidRDefault="001A646A" w:rsidP="00081F83">
      <w:r>
        <w:separator/>
      </w:r>
    </w:p>
  </w:footnote>
  <w:footnote w:type="continuationSeparator" w:id="0">
    <w:p w14:paraId="665A003D" w14:textId="77777777" w:rsidR="001A646A" w:rsidRDefault="001A646A" w:rsidP="00081F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6507B"/>
    <w:multiLevelType w:val="multilevel"/>
    <w:tmpl w:val="A662B1A8"/>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AB6A66"/>
    <w:multiLevelType w:val="hybridMultilevel"/>
    <w:tmpl w:val="1656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C851C8"/>
    <w:multiLevelType w:val="multilevel"/>
    <w:tmpl w:val="683E9C5C"/>
    <w:lvl w:ilvl="0">
      <w:start w:val="2"/>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9D462AA"/>
    <w:multiLevelType w:val="hybridMultilevel"/>
    <w:tmpl w:val="13004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440165"/>
    <w:multiLevelType w:val="multilevel"/>
    <w:tmpl w:val="0FEE9E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3ED25AE"/>
    <w:multiLevelType w:val="hybridMultilevel"/>
    <w:tmpl w:val="78CE0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C33ABB"/>
    <w:multiLevelType w:val="multilevel"/>
    <w:tmpl w:val="B6325100"/>
    <w:lvl w:ilvl="0">
      <w:start w:val="3"/>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E6C1AEC"/>
    <w:multiLevelType w:val="hybridMultilevel"/>
    <w:tmpl w:val="F692C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CC7C31"/>
    <w:multiLevelType w:val="hybridMultilevel"/>
    <w:tmpl w:val="9E780004"/>
    <w:lvl w:ilvl="0" w:tplc="17547478">
      <w:start w:val="1"/>
      <w:numFmt w:val="bullet"/>
      <w:lvlText w:val="-"/>
      <w:lvlJc w:val="left"/>
      <w:pPr>
        <w:ind w:left="360" w:hanging="360"/>
      </w:pPr>
      <w:rPr>
        <w:rFonts w:ascii="Palatino Linotype" w:eastAsiaTheme="minorHAnsi" w:hAnsi="Palatino Linotype"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37858861">
    <w:abstractNumId w:val="8"/>
  </w:num>
  <w:num w:numId="2" w16cid:durableId="1361516080">
    <w:abstractNumId w:val="4"/>
  </w:num>
  <w:num w:numId="3" w16cid:durableId="61409555">
    <w:abstractNumId w:val="7"/>
  </w:num>
  <w:num w:numId="4" w16cid:durableId="1384404373">
    <w:abstractNumId w:val="1"/>
  </w:num>
  <w:num w:numId="5" w16cid:durableId="247734552">
    <w:abstractNumId w:val="3"/>
  </w:num>
  <w:num w:numId="6" w16cid:durableId="1113092692">
    <w:abstractNumId w:val="5"/>
  </w:num>
  <w:num w:numId="7" w16cid:durableId="1875653604">
    <w:abstractNumId w:val="2"/>
  </w:num>
  <w:num w:numId="8" w16cid:durableId="1861117069">
    <w:abstractNumId w:val="6"/>
  </w:num>
  <w:num w:numId="9" w16cid:durableId="346293868">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C77"/>
    <w:rsid w:val="00005721"/>
    <w:rsid w:val="0000657B"/>
    <w:rsid w:val="00030897"/>
    <w:rsid w:val="000371DC"/>
    <w:rsid w:val="00054DF0"/>
    <w:rsid w:val="00063EA1"/>
    <w:rsid w:val="000711C0"/>
    <w:rsid w:val="00074127"/>
    <w:rsid w:val="00077DB9"/>
    <w:rsid w:val="0008050E"/>
    <w:rsid w:val="000813B8"/>
    <w:rsid w:val="00081F83"/>
    <w:rsid w:val="0008275D"/>
    <w:rsid w:val="000906D0"/>
    <w:rsid w:val="00094CFE"/>
    <w:rsid w:val="00097E8C"/>
    <w:rsid w:val="000A41EE"/>
    <w:rsid w:val="000A5320"/>
    <w:rsid w:val="000A73D5"/>
    <w:rsid w:val="000A7B4F"/>
    <w:rsid w:val="000A7E50"/>
    <w:rsid w:val="000B28AA"/>
    <w:rsid w:val="000D3061"/>
    <w:rsid w:val="000D5DE9"/>
    <w:rsid w:val="000E7E4A"/>
    <w:rsid w:val="000F1D5E"/>
    <w:rsid w:val="000F4001"/>
    <w:rsid w:val="001043C8"/>
    <w:rsid w:val="00106F65"/>
    <w:rsid w:val="00124C75"/>
    <w:rsid w:val="00134725"/>
    <w:rsid w:val="00135E13"/>
    <w:rsid w:val="00140ABD"/>
    <w:rsid w:val="001620A1"/>
    <w:rsid w:val="00167C54"/>
    <w:rsid w:val="001752A2"/>
    <w:rsid w:val="00185E01"/>
    <w:rsid w:val="001A2A45"/>
    <w:rsid w:val="001A4BC3"/>
    <w:rsid w:val="001A5498"/>
    <w:rsid w:val="001A62A6"/>
    <w:rsid w:val="001A646A"/>
    <w:rsid w:val="001A6B26"/>
    <w:rsid w:val="001B2BB9"/>
    <w:rsid w:val="001B5C92"/>
    <w:rsid w:val="001B6677"/>
    <w:rsid w:val="001B66EC"/>
    <w:rsid w:val="001B66F5"/>
    <w:rsid w:val="001C0ADC"/>
    <w:rsid w:val="001C0F28"/>
    <w:rsid w:val="001C16E5"/>
    <w:rsid w:val="001D011C"/>
    <w:rsid w:val="001D3D3C"/>
    <w:rsid w:val="001D44E0"/>
    <w:rsid w:val="001D5403"/>
    <w:rsid w:val="001F0EC9"/>
    <w:rsid w:val="00200C1D"/>
    <w:rsid w:val="002042C3"/>
    <w:rsid w:val="002058A6"/>
    <w:rsid w:val="00206DE1"/>
    <w:rsid w:val="002212F0"/>
    <w:rsid w:val="00230386"/>
    <w:rsid w:val="00236CA8"/>
    <w:rsid w:val="0024234C"/>
    <w:rsid w:val="00242A8A"/>
    <w:rsid w:val="00243AED"/>
    <w:rsid w:val="0025009E"/>
    <w:rsid w:val="00250FBA"/>
    <w:rsid w:val="002560C6"/>
    <w:rsid w:val="00261A88"/>
    <w:rsid w:val="00264D9F"/>
    <w:rsid w:val="00266C8A"/>
    <w:rsid w:val="00284BA0"/>
    <w:rsid w:val="002A45FA"/>
    <w:rsid w:val="002A4ABE"/>
    <w:rsid w:val="002A7128"/>
    <w:rsid w:val="002A76EB"/>
    <w:rsid w:val="002B27CA"/>
    <w:rsid w:val="002C1094"/>
    <w:rsid w:val="002C19BE"/>
    <w:rsid w:val="002C1A9B"/>
    <w:rsid w:val="002D2078"/>
    <w:rsid w:val="002F66E8"/>
    <w:rsid w:val="00317E7D"/>
    <w:rsid w:val="003308C9"/>
    <w:rsid w:val="00331A96"/>
    <w:rsid w:val="003364FE"/>
    <w:rsid w:val="003374B4"/>
    <w:rsid w:val="00342E19"/>
    <w:rsid w:val="00346B43"/>
    <w:rsid w:val="00346E73"/>
    <w:rsid w:val="0035149A"/>
    <w:rsid w:val="00356D94"/>
    <w:rsid w:val="003574D5"/>
    <w:rsid w:val="00386929"/>
    <w:rsid w:val="003B0154"/>
    <w:rsid w:val="003B3413"/>
    <w:rsid w:val="003C420A"/>
    <w:rsid w:val="003C6BDE"/>
    <w:rsid w:val="003D04F1"/>
    <w:rsid w:val="003D0E84"/>
    <w:rsid w:val="003F1EC2"/>
    <w:rsid w:val="003F7C23"/>
    <w:rsid w:val="004064FE"/>
    <w:rsid w:val="00412405"/>
    <w:rsid w:val="004174F0"/>
    <w:rsid w:val="0042269C"/>
    <w:rsid w:val="004247BE"/>
    <w:rsid w:val="00424997"/>
    <w:rsid w:val="00424C77"/>
    <w:rsid w:val="00435756"/>
    <w:rsid w:val="0044198E"/>
    <w:rsid w:val="00453128"/>
    <w:rsid w:val="004559ED"/>
    <w:rsid w:val="004601F1"/>
    <w:rsid w:val="00467C81"/>
    <w:rsid w:val="00470F4A"/>
    <w:rsid w:val="0047187F"/>
    <w:rsid w:val="00485391"/>
    <w:rsid w:val="004A0E60"/>
    <w:rsid w:val="004B7E17"/>
    <w:rsid w:val="004D5A96"/>
    <w:rsid w:val="004D5B6E"/>
    <w:rsid w:val="004E1181"/>
    <w:rsid w:val="004E2D15"/>
    <w:rsid w:val="00513307"/>
    <w:rsid w:val="005140F7"/>
    <w:rsid w:val="00523F4A"/>
    <w:rsid w:val="00530717"/>
    <w:rsid w:val="00534101"/>
    <w:rsid w:val="00545A19"/>
    <w:rsid w:val="00562203"/>
    <w:rsid w:val="0058379E"/>
    <w:rsid w:val="00586495"/>
    <w:rsid w:val="00586E95"/>
    <w:rsid w:val="005A475F"/>
    <w:rsid w:val="005A7853"/>
    <w:rsid w:val="005B6557"/>
    <w:rsid w:val="005C01F8"/>
    <w:rsid w:val="005C63B4"/>
    <w:rsid w:val="005D2399"/>
    <w:rsid w:val="005D6E79"/>
    <w:rsid w:val="005E6C7F"/>
    <w:rsid w:val="00601D04"/>
    <w:rsid w:val="00603C06"/>
    <w:rsid w:val="006308B2"/>
    <w:rsid w:val="00641998"/>
    <w:rsid w:val="00654998"/>
    <w:rsid w:val="00657473"/>
    <w:rsid w:val="006574E9"/>
    <w:rsid w:val="00664501"/>
    <w:rsid w:val="00673CC9"/>
    <w:rsid w:val="0067493A"/>
    <w:rsid w:val="00680AEB"/>
    <w:rsid w:val="0068416F"/>
    <w:rsid w:val="00692208"/>
    <w:rsid w:val="00693F2E"/>
    <w:rsid w:val="00697A62"/>
    <w:rsid w:val="006A0350"/>
    <w:rsid w:val="006A1E55"/>
    <w:rsid w:val="006A66A7"/>
    <w:rsid w:val="006A6F4C"/>
    <w:rsid w:val="006C2705"/>
    <w:rsid w:val="006C6B0D"/>
    <w:rsid w:val="006D0258"/>
    <w:rsid w:val="006D2054"/>
    <w:rsid w:val="006D34B7"/>
    <w:rsid w:val="006D6A72"/>
    <w:rsid w:val="006F36BA"/>
    <w:rsid w:val="00700636"/>
    <w:rsid w:val="00720D16"/>
    <w:rsid w:val="0072453A"/>
    <w:rsid w:val="0072607A"/>
    <w:rsid w:val="007266EB"/>
    <w:rsid w:val="00727BBB"/>
    <w:rsid w:val="00740A39"/>
    <w:rsid w:val="0074306C"/>
    <w:rsid w:val="00757770"/>
    <w:rsid w:val="00763B96"/>
    <w:rsid w:val="007678DF"/>
    <w:rsid w:val="00795381"/>
    <w:rsid w:val="00795E11"/>
    <w:rsid w:val="00795F64"/>
    <w:rsid w:val="00797CB8"/>
    <w:rsid w:val="007D2ECB"/>
    <w:rsid w:val="007D49C3"/>
    <w:rsid w:val="007D4AE9"/>
    <w:rsid w:val="007D4F8C"/>
    <w:rsid w:val="007D711E"/>
    <w:rsid w:val="007E011E"/>
    <w:rsid w:val="007E2DBE"/>
    <w:rsid w:val="007E6B98"/>
    <w:rsid w:val="007F4BCC"/>
    <w:rsid w:val="00800CA3"/>
    <w:rsid w:val="008151E1"/>
    <w:rsid w:val="00821147"/>
    <w:rsid w:val="0082412A"/>
    <w:rsid w:val="008325BB"/>
    <w:rsid w:val="00847235"/>
    <w:rsid w:val="0084780F"/>
    <w:rsid w:val="00860767"/>
    <w:rsid w:val="00875749"/>
    <w:rsid w:val="00876686"/>
    <w:rsid w:val="008C52B4"/>
    <w:rsid w:val="008E254D"/>
    <w:rsid w:val="008E46DA"/>
    <w:rsid w:val="00903B38"/>
    <w:rsid w:val="00934B7B"/>
    <w:rsid w:val="00936C62"/>
    <w:rsid w:val="00937D95"/>
    <w:rsid w:val="009429D0"/>
    <w:rsid w:val="00946DA6"/>
    <w:rsid w:val="0095358A"/>
    <w:rsid w:val="00965A55"/>
    <w:rsid w:val="00976C00"/>
    <w:rsid w:val="009816CD"/>
    <w:rsid w:val="00984667"/>
    <w:rsid w:val="00990BE5"/>
    <w:rsid w:val="009952B3"/>
    <w:rsid w:val="009A0A8C"/>
    <w:rsid w:val="009A20DC"/>
    <w:rsid w:val="009A7B2A"/>
    <w:rsid w:val="009B7955"/>
    <w:rsid w:val="009C2A7D"/>
    <w:rsid w:val="009C61FE"/>
    <w:rsid w:val="009C7885"/>
    <w:rsid w:val="009D125F"/>
    <w:rsid w:val="009D454A"/>
    <w:rsid w:val="009D5363"/>
    <w:rsid w:val="009E3600"/>
    <w:rsid w:val="009E6673"/>
    <w:rsid w:val="00A001CE"/>
    <w:rsid w:val="00A0457F"/>
    <w:rsid w:val="00A1239A"/>
    <w:rsid w:val="00A271BE"/>
    <w:rsid w:val="00A27485"/>
    <w:rsid w:val="00A5499D"/>
    <w:rsid w:val="00A57E94"/>
    <w:rsid w:val="00A64B61"/>
    <w:rsid w:val="00A83FFC"/>
    <w:rsid w:val="00A86311"/>
    <w:rsid w:val="00A86EDA"/>
    <w:rsid w:val="00A876C8"/>
    <w:rsid w:val="00A926F1"/>
    <w:rsid w:val="00A96583"/>
    <w:rsid w:val="00A97EAC"/>
    <w:rsid w:val="00AB4789"/>
    <w:rsid w:val="00AC547B"/>
    <w:rsid w:val="00AD6EF4"/>
    <w:rsid w:val="00AD7072"/>
    <w:rsid w:val="00AE1687"/>
    <w:rsid w:val="00AE16A7"/>
    <w:rsid w:val="00AF4C8B"/>
    <w:rsid w:val="00B12634"/>
    <w:rsid w:val="00B126F5"/>
    <w:rsid w:val="00B216FE"/>
    <w:rsid w:val="00B232DC"/>
    <w:rsid w:val="00B34776"/>
    <w:rsid w:val="00B458EA"/>
    <w:rsid w:val="00B5776C"/>
    <w:rsid w:val="00B75E89"/>
    <w:rsid w:val="00B91A92"/>
    <w:rsid w:val="00B97E79"/>
    <w:rsid w:val="00BA550C"/>
    <w:rsid w:val="00BA5798"/>
    <w:rsid w:val="00BA612B"/>
    <w:rsid w:val="00BB3790"/>
    <w:rsid w:val="00BD50B3"/>
    <w:rsid w:val="00BE3C8E"/>
    <w:rsid w:val="00C056FA"/>
    <w:rsid w:val="00C112D7"/>
    <w:rsid w:val="00C112F6"/>
    <w:rsid w:val="00C276EC"/>
    <w:rsid w:val="00C35721"/>
    <w:rsid w:val="00C427CB"/>
    <w:rsid w:val="00C5738C"/>
    <w:rsid w:val="00C62AA6"/>
    <w:rsid w:val="00C64D40"/>
    <w:rsid w:val="00C72A38"/>
    <w:rsid w:val="00C738C5"/>
    <w:rsid w:val="00C84E8E"/>
    <w:rsid w:val="00C92790"/>
    <w:rsid w:val="00C950D7"/>
    <w:rsid w:val="00CA5E3F"/>
    <w:rsid w:val="00CA7037"/>
    <w:rsid w:val="00CC6F0C"/>
    <w:rsid w:val="00CD1007"/>
    <w:rsid w:val="00CD2979"/>
    <w:rsid w:val="00CE648D"/>
    <w:rsid w:val="00CE6EC4"/>
    <w:rsid w:val="00CF3CD1"/>
    <w:rsid w:val="00D077F0"/>
    <w:rsid w:val="00D14330"/>
    <w:rsid w:val="00D20B04"/>
    <w:rsid w:val="00D24606"/>
    <w:rsid w:val="00D26013"/>
    <w:rsid w:val="00D4116C"/>
    <w:rsid w:val="00D63FE6"/>
    <w:rsid w:val="00D658F7"/>
    <w:rsid w:val="00D67ACB"/>
    <w:rsid w:val="00D70D84"/>
    <w:rsid w:val="00D769AE"/>
    <w:rsid w:val="00D827D8"/>
    <w:rsid w:val="00D8345D"/>
    <w:rsid w:val="00D835E2"/>
    <w:rsid w:val="00D860E1"/>
    <w:rsid w:val="00DA7658"/>
    <w:rsid w:val="00DC14AE"/>
    <w:rsid w:val="00DC58BB"/>
    <w:rsid w:val="00DC795E"/>
    <w:rsid w:val="00DD0AF7"/>
    <w:rsid w:val="00DE0434"/>
    <w:rsid w:val="00DE0735"/>
    <w:rsid w:val="00DE5DB9"/>
    <w:rsid w:val="00DF16AD"/>
    <w:rsid w:val="00E358E4"/>
    <w:rsid w:val="00E36E0C"/>
    <w:rsid w:val="00E4594A"/>
    <w:rsid w:val="00E60079"/>
    <w:rsid w:val="00E70727"/>
    <w:rsid w:val="00E716CA"/>
    <w:rsid w:val="00E80178"/>
    <w:rsid w:val="00E84001"/>
    <w:rsid w:val="00E873BA"/>
    <w:rsid w:val="00EB442A"/>
    <w:rsid w:val="00EB58D3"/>
    <w:rsid w:val="00EB6F8B"/>
    <w:rsid w:val="00EC6CE7"/>
    <w:rsid w:val="00EC73D7"/>
    <w:rsid w:val="00ED3922"/>
    <w:rsid w:val="00ED3F9E"/>
    <w:rsid w:val="00ED4350"/>
    <w:rsid w:val="00F02DDC"/>
    <w:rsid w:val="00F26762"/>
    <w:rsid w:val="00F274D7"/>
    <w:rsid w:val="00F3237F"/>
    <w:rsid w:val="00F3561B"/>
    <w:rsid w:val="00F53C2D"/>
    <w:rsid w:val="00F55367"/>
    <w:rsid w:val="00F675B4"/>
    <w:rsid w:val="00F73EE4"/>
    <w:rsid w:val="00F81EC9"/>
    <w:rsid w:val="00F83C3D"/>
    <w:rsid w:val="00F845D6"/>
    <w:rsid w:val="00F85356"/>
    <w:rsid w:val="00F94595"/>
    <w:rsid w:val="00FA204E"/>
    <w:rsid w:val="00FA2CDC"/>
    <w:rsid w:val="00FA7053"/>
    <w:rsid w:val="00FC031B"/>
    <w:rsid w:val="00FC0DD4"/>
    <w:rsid w:val="00FC272D"/>
    <w:rsid w:val="00FC413B"/>
    <w:rsid w:val="00FC7B61"/>
    <w:rsid w:val="00FD1007"/>
    <w:rsid w:val="00FD3188"/>
    <w:rsid w:val="00FE15A1"/>
    <w:rsid w:val="00FE3944"/>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1945E"/>
  <w15:chartTrackingRefBased/>
  <w15:docId w15:val="{048FA422-4447-FF46-8A24-15E29143F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58A"/>
    <w:rPr>
      <w:rFonts w:ascii="Times New Roman" w:eastAsia="Times New Roman" w:hAnsi="Times New Roman" w:cs="Times New Roman"/>
    </w:rPr>
  </w:style>
  <w:style w:type="paragraph" w:styleId="Heading1">
    <w:name w:val="heading 1"/>
    <w:basedOn w:val="Normal"/>
    <w:next w:val="Normal"/>
    <w:link w:val="Heading1Char"/>
    <w:uiPriority w:val="9"/>
    <w:qFormat/>
    <w:rsid w:val="002A76EB"/>
    <w:pPr>
      <w:keepNext/>
      <w:keepLines/>
      <w:spacing w:before="240"/>
      <w:outlineLvl w:val="0"/>
    </w:pPr>
    <w:rPr>
      <w:rFonts w:asciiTheme="minorHAnsi" w:eastAsiaTheme="majorEastAsia" w:hAnsiTheme="minorHAnsi" w:cstheme="majorBidi"/>
      <w:b/>
      <w:color w:val="000000" w:themeColor="text1"/>
      <w:szCs w:val="32"/>
    </w:rPr>
  </w:style>
  <w:style w:type="paragraph" w:styleId="Heading2">
    <w:name w:val="heading 2"/>
    <w:basedOn w:val="Normal"/>
    <w:next w:val="Normal"/>
    <w:link w:val="Heading2Char"/>
    <w:uiPriority w:val="9"/>
    <w:unhideWhenUsed/>
    <w:qFormat/>
    <w:rsid w:val="002A76EB"/>
    <w:pPr>
      <w:keepNext/>
      <w:keepLines/>
      <w:spacing w:before="40"/>
      <w:outlineLvl w:val="1"/>
    </w:pPr>
    <w:rPr>
      <w:rFonts w:asciiTheme="minorHAnsi" w:eastAsiaTheme="majorEastAsia" w:hAnsiTheme="minorHAnsi" w:cstheme="majorBidi"/>
      <w:b/>
      <w:color w:val="000000" w:themeColor="text1"/>
      <w:szCs w:val="26"/>
    </w:rPr>
  </w:style>
  <w:style w:type="paragraph" w:styleId="Heading3">
    <w:name w:val="heading 3"/>
    <w:basedOn w:val="Normal"/>
    <w:next w:val="Normal"/>
    <w:link w:val="Heading3Char"/>
    <w:uiPriority w:val="9"/>
    <w:unhideWhenUsed/>
    <w:qFormat/>
    <w:rsid w:val="00081F8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934B7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6EB"/>
    <w:rPr>
      <w:rFonts w:eastAsiaTheme="majorEastAsia" w:cstheme="majorBidi"/>
      <w:b/>
      <w:color w:val="000000" w:themeColor="text1"/>
      <w:szCs w:val="32"/>
    </w:rPr>
  </w:style>
  <w:style w:type="paragraph" w:styleId="TOCHeading">
    <w:name w:val="TOC Heading"/>
    <w:basedOn w:val="Heading1"/>
    <w:next w:val="Normal"/>
    <w:uiPriority w:val="39"/>
    <w:unhideWhenUsed/>
    <w:qFormat/>
    <w:rsid w:val="00424C77"/>
    <w:pPr>
      <w:spacing w:before="480" w:line="276" w:lineRule="auto"/>
      <w:outlineLvl w:val="9"/>
    </w:pPr>
    <w:rPr>
      <w:b w:val="0"/>
      <w:bCs/>
      <w:sz w:val="28"/>
      <w:szCs w:val="28"/>
    </w:rPr>
  </w:style>
  <w:style w:type="paragraph" w:styleId="TOC1">
    <w:name w:val="toc 1"/>
    <w:basedOn w:val="Normal"/>
    <w:next w:val="Normal"/>
    <w:autoRedefine/>
    <w:uiPriority w:val="39"/>
    <w:unhideWhenUsed/>
    <w:rsid w:val="00424C77"/>
    <w:pPr>
      <w:spacing w:before="240" w:after="120"/>
    </w:pPr>
    <w:rPr>
      <w:rFonts w:asciiTheme="minorHAnsi" w:eastAsiaTheme="minorHAnsi" w:hAnsiTheme="minorHAnsi" w:cstheme="minorHAnsi"/>
      <w:b/>
      <w:bCs/>
      <w:sz w:val="20"/>
      <w:szCs w:val="20"/>
    </w:rPr>
  </w:style>
  <w:style w:type="character" w:styleId="Hyperlink">
    <w:name w:val="Hyperlink"/>
    <w:basedOn w:val="DefaultParagraphFont"/>
    <w:uiPriority w:val="99"/>
    <w:unhideWhenUsed/>
    <w:rsid w:val="00424C77"/>
    <w:rPr>
      <w:color w:val="0563C1" w:themeColor="hyperlink"/>
      <w:u w:val="single"/>
    </w:rPr>
  </w:style>
  <w:style w:type="paragraph" w:styleId="TOC2">
    <w:name w:val="toc 2"/>
    <w:basedOn w:val="Normal"/>
    <w:next w:val="Normal"/>
    <w:autoRedefine/>
    <w:uiPriority w:val="39"/>
    <w:unhideWhenUsed/>
    <w:rsid w:val="00424C77"/>
    <w:pPr>
      <w:spacing w:before="120"/>
      <w:ind w:left="240"/>
    </w:pPr>
    <w:rPr>
      <w:rFonts w:asciiTheme="minorHAnsi" w:eastAsiaTheme="minorHAnsi" w:hAnsiTheme="minorHAnsi" w:cstheme="minorHAnsi"/>
      <w:i/>
      <w:iCs/>
      <w:sz w:val="20"/>
      <w:szCs w:val="20"/>
    </w:rPr>
  </w:style>
  <w:style w:type="paragraph" w:styleId="TOC3">
    <w:name w:val="toc 3"/>
    <w:basedOn w:val="Normal"/>
    <w:next w:val="Normal"/>
    <w:autoRedefine/>
    <w:uiPriority w:val="39"/>
    <w:unhideWhenUsed/>
    <w:rsid w:val="00424C77"/>
    <w:pPr>
      <w:ind w:left="480"/>
    </w:pPr>
    <w:rPr>
      <w:rFonts w:asciiTheme="minorHAnsi" w:eastAsiaTheme="minorHAnsi" w:hAnsiTheme="minorHAnsi" w:cstheme="minorHAnsi"/>
      <w:sz w:val="20"/>
      <w:szCs w:val="20"/>
    </w:rPr>
  </w:style>
  <w:style w:type="paragraph" w:styleId="TOC4">
    <w:name w:val="toc 4"/>
    <w:basedOn w:val="Normal"/>
    <w:next w:val="Normal"/>
    <w:autoRedefine/>
    <w:uiPriority w:val="39"/>
    <w:unhideWhenUsed/>
    <w:rsid w:val="00424C77"/>
    <w:pPr>
      <w:ind w:left="720"/>
    </w:pPr>
    <w:rPr>
      <w:rFonts w:cstheme="minorHAnsi"/>
      <w:sz w:val="20"/>
      <w:szCs w:val="20"/>
    </w:rPr>
  </w:style>
  <w:style w:type="paragraph" w:styleId="TOC5">
    <w:name w:val="toc 5"/>
    <w:basedOn w:val="Normal"/>
    <w:next w:val="Normal"/>
    <w:autoRedefine/>
    <w:uiPriority w:val="39"/>
    <w:unhideWhenUsed/>
    <w:rsid w:val="00424C77"/>
    <w:pPr>
      <w:ind w:left="960"/>
    </w:pPr>
    <w:rPr>
      <w:rFonts w:cstheme="minorHAnsi"/>
      <w:sz w:val="20"/>
      <w:szCs w:val="20"/>
    </w:rPr>
  </w:style>
  <w:style w:type="paragraph" w:styleId="TOC6">
    <w:name w:val="toc 6"/>
    <w:basedOn w:val="Normal"/>
    <w:next w:val="Normal"/>
    <w:autoRedefine/>
    <w:uiPriority w:val="39"/>
    <w:unhideWhenUsed/>
    <w:rsid w:val="00424C77"/>
    <w:pPr>
      <w:ind w:left="1200"/>
    </w:pPr>
    <w:rPr>
      <w:rFonts w:cstheme="minorHAnsi"/>
      <w:sz w:val="20"/>
      <w:szCs w:val="20"/>
    </w:rPr>
  </w:style>
  <w:style w:type="paragraph" w:styleId="TOC7">
    <w:name w:val="toc 7"/>
    <w:basedOn w:val="Normal"/>
    <w:next w:val="Normal"/>
    <w:autoRedefine/>
    <w:uiPriority w:val="39"/>
    <w:unhideWhenUsed/>
    <w:rsid w:val="00424C77"/>
    <w:pPr>
      <w:ind w:left="1440"/>
    </w:pPr>
    <w:rPr>
      <w:rFonts w:cstheme="minorHAnsi"/>
      <w:sz w:val="20"/>
      <w:szCs w:val="20"/>
    </w:rPr>
  </w:style>
  <w:style w:type="paragraph" w:styleId="TOC8">
    <w:name w:val="toc 8"/>
    <w:basedOn w:val="Normal"/>
    <w:next w:val="Normal"/>
    <w:autoRedefine/>
    <w:uiPriority w:val="39"/>
    <w:unhideWhenUsed/>
    <w:rsid w:val="00424C77"/>
    <w:pPr>
      <w:ind w:left="1680"/>
    </w:pPr>
    <w:rPr>
      <w:rFonts w:cstheme="minorHAnsi"/>
      <w:sz w:val="20"/>
      <w:szCs w:val="20"/>
    </w:rPr>
  </w:style>
  <w:style w:type="paragraph" w:styleId="TOC9">
    <w:name w:val="toc 9"/>
    <w:basedOn w:val="Normal"/>
    <w:next w:val="Normal"/>
    <w:autoRedefine/>
    <w:uiPriority w:val="39"/>
    <w:unhideWhenUsed/>
    <w:rsid w:val="00424C77"/>
    <w:pPr>
      <w:ind w:left="1920"/>
    </w:pPr>
    <w:rPr>
      <w:rFonts w:cstheme="minorHAnsi"/>
      <w:sz w:val="20"/>
      <w:szCs w:val="20"/>
    </w:rPr>
  </w:style>
  <w:style w:type="character" w:customStyle="1" w:styleId="Heading2Char">
    <w:name w:val="Heading 2 Char"/>
    <w:basedOn w:val="DefaultParagraphFont"/>
    <w:link w:val="Heading2"/>
    <w:uiPriority w:val="9"/>
    <w:rsid w:val="002A76EB"/>
    <w:rPr>
      <w:rFonts w:eastAsiaTheme="majorEastAsia" w:cstheme="majorBidi"/>
      <w:b/>
      <w:color w:val="000000" w:themeColor="text1"/>
      <w:szCs w:val="26"/>
    </w:rPr>
  </w:style>
  <w:style w:type="paragraph" w:styleId="Caption">
    <w:name w:val="caption"/>
    <w:basedOn w:val="Normal"/>
    <w:next w:val="Normal"/>
    <w:uiPriority w:val="35"/>
    <w:unhideWhenUsed/>
    <w:qFormat/>
    <w:rsid w:val="00424C77"/>
    <w:pPr>
      <w:spacing w:after="200"/>
    </w:pPr>
    <w:rPr>
      <w:rFonts w:asciiTheme="minorHAnsi" w:eastAsiaTheme="minorHAnsi" w:hAnsiTheme="minorHAnsi" w:cstheme="minorBidi"/>
      <w:i/>
      <w:iCs/>
      <w:color w:val="44546A" w:themeColor="text2"/>
      <w:sz w:val="18"/>
      <w:szCs w:val="18"/>
    </w:rPr>
  </w:style>
  <w:style w:type="character" w:styleId="UnresolvedMention">
    <w:name w:val="Unresolved Mention"/>
    <w:basedOn w:val="DefaultParagraphFont"/>
    <w:uiPriority w:val="99"/>
    <w:semiHidden/>
    <w:unhideWhenUsed/>
    <w:rsid w:val="00424C77"/>
    <w:rPr>
      <w:color w:val="605E5C"/>
      <w:shd w:val="clear" w:color="auto" w:fill="E1DFDD"/>
    </w:rPr>
  </w:style>
  <w:style w:type="character" w:customStyle="1" w:styleId="apple-converted-space">
    <w:name w:val="apple-converted-space"/>
    <w:basedOn w:val="DefaultParagraphFont"/>
    <w:rsid w:val="000711C0"/>
  </w:style>
  <w:style w:type="paragraph" w:customStyle="1" w:styleId="MDPI31text">
    <w:name w:val="MDPI_3.1_text"/>
    <w:qFormat/>
    <w:rsid w:val="000711C0"/>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eastAsia="de-DE" w:bidi="en-US"/>
    </w:rPr>
  </w:style>
  <w:style w:type="paragraph" w:customStyle="1" w:styleId="MDPI51figurecaption">
    <w:name w:val="MDPI_5.1_figure_caption"/>
    <w:qFormat/>
    <w:rsid w:val="000711C0"/>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52figure">
    <w:name w:val="MDPI_5.2_figure"/>
    <w:qFormat/>
    <w:rsid w:val="000711C0"/>
    <w:pPr>
      <w:adjustRightInd w:val="0"/>
      <w:snapToGrid w:val="0"/>
      <w:spacing w:before="240" w:after="12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22heading2">
    <w:name w:val="MDPI_2.2_heading2"/>
    <w:qFormat/>
    <w:rsid w:val="000711C0"/>
    <w:pPr>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szCs w:val="22"/>
      <w:lang w:eastAsia="de-DE" w:bidi="en-US"/>
    </w:rPr>
  </w:style>
  <w:style w:type="paragraph" w:customStyle="1" w:styleId="MDPI21heading1">
    <w:name w:val="MDPI_2.1_heading1"/>
    <w:qFormat/>
    <w:rsid w:val="000711C0"/>
    <w:pPr>
      <w:adjustRightInd w:val="0"/>
      <w:snapToGrid w:val="0"/>
      <w:spacing w:before="240" w:after="120" w:line="260" w:lineRule="atLeast"/>
      <w:jc w:val="both"/>
      <w:outlineLvl w:val="0"/>
    </w:pPr>
    <w:rPr>
      <w:rFonts w:ascii="Palatino Linotype" w:eastAsia="Times New Roman" w:hAnsi="Palatino Linotype" w:cs="Times New Roman"/>
      <w:b/>
      <w:snapToGrid w:val="0"/>
      <w:color w:val="000000"/>
      <w:sz w:val="20"/>
      <w:szCs w:val="22"/>
      <w:lang w:eastAsia="de-DE" w:bidi="en-US"/>
    </w:rPr>
  </w:style>
  <w:style w:type="character" w:styleId="FollowedHyperlink">
    <w:name w:val="FollowedHyperlink"/>
    <w:basedOn w:val="DefaultParagraphFont"/>
    <w:uiPriority w:val="99"/>
    <w:semiHidden/>
    <w:unhideWhenUsed/>
    <w:rsid w:val="00D835E2"/>
    <w:rPr>
      <w:color w:val="954F72" w:themeColor="followedHyperlink"/>
      <w:u w:val="single"/>
    </w:rPr>
  </w:style>
  <w:style w:type="paragraph" w:styleId="ListParagraph">
    <w:name w:val="List Paragraph"/>
    <w:basedOn w:val="Normal"/>
    <w:uiPriority w:val="34"/>
    <w:qFormat/>
    <w:rsid w:val="00D835E2"/>
    <w:pPr>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081F83"/>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081F8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81F83"/>
  </w:style>
  <w:style w:type="paragraph" w:styleId="Footer">
    <w:name w:val="footer"/>
    <w:basedOn w:val="Normal"/>
    <w:link w:val="FooterChar"/>
    <w:uiPriority w:val="99"/>
    <w:unhideWhenUsed/>
    <w:rsid w:val="00081F8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81F83"/>
  </w:style>
  <w:style w:type="paragraph" w:styleId="TableofFigures">
    <w:name w:val="table of figures"/>
    <w:basedOn w:val="Normal"/>
    <w:next w:val="Normal"/>
    <w:uiPriority w:val="99"/>
    <w:unhideWhenUsed/>
    <w:rsid w:val="00AC547B"/>
    <w:rPr>
      <w:rFonts w:asciiTheme="minorHAnsi" w:eastAsiaTheme="minorHAnsi" w:hAnsiTheme="minorHAnsi" w:cstheme="minorBidi"/>
    </w:rPr>
  </w:style>
  <w:style w:type="paragraph" w:styleId="Bibliography">
    <w:name w:val="Bibliography"/>
    <w:basedOn w:val="Normal"/>
    <w:next w:val="Normal"/>
    <w:uiPriority w:val="37"/>
    <w:unhideWhenUsed/>
    <w:rsid w:val="009D125F"/>
    <w:pPr>
      <w:tabs>
        <w:tab w:val="left" w:pos="500"/>
      </w:tabs>
      <w:spacing w:line="480" w:lineRule="auto"/>
      <w:ind w:left="504" w:hanging="504"/>
    </w:pPr>
    <w:rPr>
      <w:rFonts w:asciiTheme="minorHAnsi" w:eastAsiaTheme="minorHAnsi" w:hAnsiTheme="minorHAnsi" w:cstheme="minorBidi"/>
    </w:rPr>
  </w:style>
  <w:style w:type="character" w:customStyle="1" w:styleId="Heading4Char">
    <w:name w:val="Heading 4 Char"/>
    <w:basedOn w:val="DefaultParagraphFont"/>
    <w:link w:val="Heading4"/>
    <w:uiPriority w:val="9"/>
    <w:rsid w:val="00934B7B"/>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B126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D4F8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
    <w:name w:val="Grid Table 4"/>
    <w:basedOn w:val="TableNormal"/>
    <w:uiPriority w:val="49"/>
    <w:rsid w:val="007D4F8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basedOn w:val="Normal"/>
    <w:link w:val="NoSpacingChar"/>
    <w:uiPriority w:val="1"/>
    <w:qFormat/>
    <w:rsid w:val="00673CC9"/>
    <w:rPr>
      <w:rFonts w:asciiTheme="minorHAnsi" w:eastAsiaTheme="minorEastAsia" w:hAnsiTheme="minorHAnsi"/>
      <w:szCs w:val="32"/>
      <w:lang w:bidi="en-US"/>
    </w:rPr>
  </w:style>
  <w:style w:type="character" w:customStyle="1" w:styleId="NoSpacingChar">
    <w:name w:val="No Spacing Char"/>
    <w:basedOn w:val="DefaultParagraphFont"/>
    <w:link w:val="NoSpacing"/>
    <w:uiPriority w:val="1"/>
    <w:rsid w:val="00673CC9"/>
    <w:rPr>
      <w:rFonts w:eastAsiaTheme="minorEastAsia" w:cs="Times New Roman"/>
      <w:szCs w:val="32"/>
      <w:lang w:bidi="en-US"/>
    </w:rPr>
  </w:style>
  <w:style w:type="table" w:styleId="ListTable6Colorful-Accent2">
    <w:name w:val="List Table 6 Colorful Accent 2"/>
    <w:basedOn w:val="TableNormal"/>
    <w:uiPriority w:val="51"/>
    <w:rsid w:val="00A27485"/>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
    <w:name w:val="List Table 6 Colorful"/>
    <w:basedOn w:val="TableNormal"/>
    <w:uiPriority w:val="51"/>
    <w:rsid w:val="00A2748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A2748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27485"/>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1">
    <w:name w:val="Plain Table 1"/>
    <w:basedOn w:val="TableNormal"/>
    <w:uiPriority w:val="41"/>
    <w:rsid w:val="00A2748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6Colorful-Accent1">
    <w:name w:val="List Table 6 Colorful Accent 1"/>
    <w:basedOn w:val="TableNormal"/>
    <w:uiPriority w:val="51"/>
    <w:rsid w:val="00A27485"/>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3">
    <w:name w:val="List Table 6 Colorful Accent 3"/>
    <w:basedOn w:val="TableNormal"/>
    <w:uiPriority w:val="51"/>
    <w:rsid w:val="00A27485"/>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27485"/>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5Dark-Accent6">
    <w:name w:val="List Table 5 Dark Accent 6"/>
    <w:basedOn w:val="TableNormal"/>
    <w:uiPriority w:val="50"/>
    <w:rsid w:val="00A2748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3">
    <w:name w:val="List Table 4 Accent 3"/>
    <w:basedOn w:val="TableNormal"/>
    <w:uiPriority w:val="49"/>
    <w:rsid w:val="00A2748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
    <w:name w:val="Grid Table 1 Light"/>
    <w:basedOn w:val="TableNormal"/>
    <w:uiPriority w:val="46"/>
    <w:rsid w:val="00A2748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2-Accent3">
    <w:name w:val="List Table 2 Accent 3"/>
    <w:basedOn w:val="TableNormal"/>
    <w:uiPriority w:val="47"/>
    <w:rsid w:val="00A27485"/>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6">
    <w:name w:val="Grid Table 6 Colorful Accent 6"/>
    <w:basedOn w:val="TableNormal"/>
    <w:uiPriority w:val="51"/>
    <w:rsid w:val="00A2748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2748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3-Accent5">
    <w:name w:val="List Table 3 Accent 5"/>
    <w:basedOn w:val="TableNormal"/>
    <w:uiPriority w:val="48"/>
    <w:rsid w:val="00A27485"/>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7Colorful">
    <w:name w:val="List Table 7 Colorful"/>
    <w:basedOn w:val="TableNormal"/>
    <w:uiPriority w:val="52"/>
    <w:rsid w:val="00A2748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
    <w:name w:val="List Table 4"/>
    <w:basedOn w:val="TableNormal"/>
    <w:uiPriority w:val="49"/>
    <w:rsid w:val="00A274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A2748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27485"/>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6">
    <w:name w:val="Grid Table 1 Light Accent 6"/>
    <w:basedOn w:val="TableNormal"/>
    <w:uiPriority w:val="46"/>
    <w:rsid w:val="00A2748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3">
    <w:name w:val="Grid Table 3"/>
    <w:basedOn w:val="TableNormal"/>
    <w:uiPriority w:val="48"/>
    <w:rsid w:val="00A274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Accent5">
    <w:name w:val="Grid Table 5 Dark Accent 5"/>
    <w:basedOn w:val="TableNormal"/>
    <w:uiPriority w:val="50"/>
    <w:rsid w:val="00A274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
    <w:name w:val="Grid Table 5 Dark"/>
    <w:basedOn w:val="TableNormal"/>
    <w:uiPriority w:val="50"/>
    <w:rsid w:val="00A274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3">
    <w:name w:val="Grid Table 5 Dark Accent 3"/>
    <w:basedOn w:val="TableNormal"/>
    <w:uiPriority w:val="50"/>
    <w:rsid w:val="00A274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2">
    <w:name w:val="List Table 2"/>
    <w:basedOn w:val="TableNormal"/>
    <w:uiPriority w:val="47"/>
    <w:rsid w:val="00A2748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2">
    <w:name w:val="Grid Table 2 Accent 2"/>
    <w:basedOn w:val="TableNormal"/>
    <w:uiPriority w:val="47"/>
    <w:rsid w:val="00A27485"/>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5">
    <w:name w:val="Grid Table 4 Accent 5"/>
    <w:basedOn w:val="TableNormal"/>
    <w:uiPriority w:val="49"/>
    <w:rsid w:val="00A27485"/>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5">
    <w:name w:val="Grid Table 6 Colorful Accent 5"/>
    <w:basedOn w:val="TableNormal"/>
    <w:uiPriority w:val="51"/>
    <w:rsid w:val="00A27485"/>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3">
    <w:name w:val="Grid Table 4 Accent 3"/>
    <w:basedOn w:val="TableNormal"/>
    <w:uiPriority w:val="49"/>
    <w:rsid w:val="00A2748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27485"/>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6">
    <w:name w:val="List Table 2 Accent 6"/>
    <w:basedOn w:val="TableNormal"/>
    <w:uiPriority w:val="47"/>
    <w:rsid w:val="00A2748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2">
    <w:name w:val="List Table 2 Accent 2"/>
    <w:basedOn w:val="TableNormal"/>
    <w:uiPriority w:val="47"/>
    <w:rsid w:val="00A27485"/>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CommentReference">
    <w:name w:val="annotation reference"/>
    <w:basedOn w:val="DefaultParagraphFont"/>
    <w:uiPriority w:val="99"/>
    <w:semiHidden/>
    <w:unhideWhenUsed/>
    <w:rsid w:val="00A27485"/>
    <w:rPr>
      <w:sz w:val="16"/>
      <w:szCs w:val="16"/>
    </w:rPr>
  </w:style>
  <w:style w:type="paragraph" w:styleId="CommentText">
    <w:name w:val="annotation text"/>
    <w:basedOn w:val="Normal"/>
    <w:link w:val="CommentTextChar"/>
    <w:uiPriority w:val="99"/>
    <w:semiHidden/>
    <w:unhideWhenUsed/>
    <w:rsid w:val="00A27485"/>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27485"/>
    <w:rPr>
      <w:sz w:val="20"/>
      <w:szCs w:val="20"/>
    </w:rPr>
  </w:style>
  <w:style w:type="paragraph" w:styleId="CommentSubject">
    <w:name w:val="annotation subject"/>
    <w:basedOn w:val="CommentText"/>
    <w:next w:val="CommentText"/>
    <w:link w:val="CommentSubjectChar"/>
    <w:uiPriority w:val="99"/>
    <w:semiHidden/>
    <w:unhideWhenUsed/>
    <w:rsid w:val="00A27485"/>
    <w:rPr>
      <w:b/>
      <w:bCs/>
    </w:rPr>
  </w:style>
  <w:style w:type="character" w:customStyle="1" w:styleId="CommentSubjectChar">
    <w:name w:val="Comment Subject Char"/>
    <w:basedOn w:val="CommentTextChar"/>
    <w:link w:val="CommentSubject"/>
    <w:uiPriority w:val="99"/>
    <w:semiHidden/>
    <w:rsid w:val="00A27485"/>
    <w:rPr>
      <w:b/>
      <w:bCs/>
      <w:sz w:val="20"/>
      <w:szCs w:val="20"/>
    </w:rPr>
  </w:style>
  <w:style w:type="paragraph" w:styleId="Revision">
    <w:name w:val="Revision"/>
    <w:hidden/>
    <w:uiPriority w:val="99"/>
    <w:semiHidden/>
    <w:rsid w:val="00A27485"/>
  </w:style>
  <w:style w:type="character" w:styleId="PageNumber">
    <w:name w:val="page number"/>
    <w:basedOn w:val="DefaultParagraphFont"/>
    <w:uiPriority w:val="99"/>
    <w:semiHidden/>
    <w:unhideWhenUsed/>
    <w:rsid w:val="00674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15984">
      <w:bodyDiv w:val="1"/>
      <w:marLeft w:val="0"/>
      <w:marRight w:val="0"/>
      <w:marTop w:val="0"/>
      <w:marBottom w:val="0"/>
      <w:divBdr>
        <w:top w:val="none" w:sz="0" w:space="0" w:color="auto"/>
        <w:left w:val="none" w:sz="0" w:space="0" w:color="auto"/>
        <w:bottom w:val="none" w:sz="0" w:space="0" w:color="auto"/>
        <w:right w:val="none" w:sz="0" w:space="0" w:color="auto"/>
      </w:divBdr>
    </w:div>
    <w:div w:id="58485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png"/><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emf"/><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9461329F6C29478D80F792C32886AA"/>
        <w:category>
          <w:name w:val="General"/>
          <w:gallery w:val="placeholder"/>
        </w:category>
        <w:types>
          <w:type w:val="bbPlcHdr"/>
        </w:types>
        <w:behaviors>
          <w:behavior w:val="content"/>
        </w:behaviors>
        <w:guid w:val="{0E7C1493-4622-F14C-83FE-EB61FD0DB1CC}"/>
      </w:docPartPr>
      <w:docPartBody>
        <w:p w:rsidR="006C762B" w:rsidRDefault="00302C47" w:rsidP="00302C47">
          <w:pPr>
            <w:pStyle w:val="AA9461329F6C29478D80F792C32886AA"/>
          </w:pPr>
          <w:r w:rsidRPr="001F1C68">
            <w:rPr>
              <w:rStyle w:val="PlaceholderText"/>
            </w:rPr>
            <w:t>Click here to enter text.</w:t>
          </w:r>
        </w:p>
      </w:docPartBody>
    </w:docPart>
    <w:docPart>
      <w:docPartPr>
        <w:name w:val="8C82F46DAAE31D42B38DF16828286AC0"/>
        <w:category>
          <w:name w:val="General"/>
          <w:gallery w:val="placeholder"/>
        </w:category>
        <w:types>
          <w:type w:val="bbPlcHdr"/>
        </w:types>
        <w:behaviors>
          <w:behavior w:val="content"/>
        </w:behaviors>
        <w:guid w:val="{84C07F13-D8ED-2C4C-A11A-C1AE5CC856EE}"/>
      </w:docPartPr>
      <w:docPartBody>
        <w:p w:rsidR="006C762B" w:rsidRDefault="00302C47" w:rsidP="00302C47">
          <w:pPr>
            <w:pStyle w:val="8C82F46DAAE31D42B38DF16828286AC0"/>
          </w:pPr>
          <w:r w:rsidRPr="001F1C68">
            <w:rPr>
              <w:rStyle w:val="PlaceholderText"/>
            </w:rPr>
            <w:t>Choose an item.</w:t>
          </w:r>
        </w:p>
      </w:docPartBody>
    </w:docPart>
    <w:docPart>
      <w:docPartPr>
        <w:name w:val="E3E0FEA7C1A5324E84D1A3772B62C28F"/>
        <w:category>
          <w:name w:val="General"/>
          <w:gallery w:val="placeholder"/>
        </w:category>
        <w:types>
          <w:type w:val="bbPlcHdr"/>
        </w:types>
        <w:behaviors>
          <w:behavior w:val="content"/>
        </w:behaviors>
        <w:guid w:val="{064CAED1-128D-014D-9354-39EC934F2D95}"/>
      </w:docPartPr>
      <w:docPartBody>
        <w:p w:rsidR="006C762B" w:rsidRDefault="00302C47" w:rsidP="00302C47">
          <w:pPr>
            <w:pStyle w:val="E3E0FEA7C1A5324E84D1A3772B62C28F"/>
          </w:pPr>
          <w:r w:rsidRPr="00AC7F25">
            <w:rPr>
              <w:rStyle w:val="PlaceholderText"/>
            </w:rPr>
            <w:t>Choose an item.</w:t>
          </w:r>
        </w:p>
      </w:docPartBody>
    </w:docPart>
    <w:docPart>
      <w:docPartPr>
        <w:name w:val="ADE0B5EB9F9B6B438C08BAF74CC17D46"/>
        <w:category>
          <w:name w:val="General"/>
          <w:gallery w:val="placeholder"/>
        </w:category>
        <w:types>
          <w:type w:val="bbPlcHdr"/>
        </w:types>
        <w:behaviors>
          <w:behavior w:val="content"/>
        </w:behaviors>
        <w:guid w:val="{7FFCCE92-2909-DD4B-8722-47E23BA43AAE}"/>
      </w:docPartPr>
      <w:docPartBody>
        <w:p w:rsidR="006C762B" w:rsidRDefault="00302C47" w:rsidP="00302C47">
          <w:pPr>
            <w:pStyle w:val="ADE0B5EB9F9B6B438C08BAF74CC17D46"/>
          </w:pPr>
          <w:r w:rsidRPr="00BB1A19">
            <w:rPr>
              <w:rStyle w:val="PlaceholderText"/>
            </w:rPr>
            <w:t>Click here to enter text.</w:t>
          </w:r>
        </w:p>
      </w:docPartBody>
    </w:docPart>
    <w:docPart>
      <w:docPartPr>
        <w:name w:val="82BFBC4B1398894FBA98C562341D6330"/>
        <w:category>
          <w:name w:val="General"/>
          <w:gallery w:val="placeholder"/>
        </w:category>
        <w:types>
          <w:type w:val="bbPlcHdr"/>
        </w:types>
        <w:behaviors>
          <w:behavior w:val="content"/>
        </w:behaviors>
        <w:guid w:val="{B79BD057-EC8B-8546-A6C9-5C5332575B1A}"/>
      </w:docPartPr>
      <w:docPartBody>
        <w:p w:rsidR="006C762B" w:rsidRDefault="00302C47" w:rsidP="00302C47">
          <w:pPr>
            <w:pStyle w:val="82BFBC4B1398894FBA98C562341D6330"/>
          </w:pPr>
          <w:r w:rsidRPr="00DB664C">
            <w:rPr>
              <w:rStyle w:val="PlaceholderText"/>
            </w:rPr>
            <w:t>[EXACT NAME OF YOUR ACADEMIC UNIT IN ALL CAPS]</w:t>
          </w:r>
        </w:p>
      </w:docPartBody>
    </w:docPart>
    <w:docPart>
      <w:docPartPr>
        <w:name w:val="AB519BEB74477E4CAFD33F9090813EC7"/>
        <w:category>
          <w:name w:val="General"/>
          <w:gallery w:val="placeholder"/>
        </w:category>
        <w:types>
          <w:type w:val="bbPlcHdr"/>
        </w:types>
        <w:behaviors>
          <w:behavior w:val="content"/>
        </w:behaviors>
        <w:guid w:val="{CD4FE509-5829-5448-95D8-452C652C3F54}"/>
      </w:docPartPr>
      <w:docPartBody>
        <w:p w:rsidR="006C762B" w:rsidRDefault="00302C47" w:rsidP="00302C47">
          <w:pPr>
            <w:pStyle w:val="AB519BEB74477E4CAFD33F9090813EC7"/>
          </w:pPr>
          <w:r w:rsidRPr="00AC7F25">
            <w:rPr>
              <w:rStyle w:val="PlaceholderText"/>
            </w:rPr>
            <w:t>Choose an item.</w:t>
          </w:r>
        </w:p>
      </w:docPartBody>
    </w:docPart>
    <w:docPart>
      <w:docPartPr>
        <w:name w:val="9195BF15C8037B4E941673879A3F5103"/>
        <w:category>
          <w:name w:val="General"/>
          <w:gallery w:val="placeholder"/>
        </w:category>
        <w:types>
          <w:type w:val="bbPlcHdr"/>
        </w:types>
        <w:behaviors>
          <w:behavior w:val="content"/>
        </w:behaviors>
        <w:guid w:val="{3FD43343-AF1C-9D4C-B514-8CEE8C99A49C}"/>
      </w:docPartPr>
      <w:docPartBody>
        <w:p w:rsidR="006C762B" w:rsidRDefault="00302C47" w:rsidP="00302C47">
          <w:pPr>
            <w:pStyle w:val="9195BF15C8037B4E941673879A3F5103"/>
          </w:pPr>
          <w:r w:rsidRPr="001F1C68">
            <w:rPr>
              <w:rStyle w:val="PlaceholderText"/>
            </w:rPr>
            <w:t>Click here to enter text.</w:t>
          </w:r>
        </w:p>
      </w:docPartBody>
    </w:docPart>
    <w:docPart>
      <w:docPartPr>
        <w:name w:val="1C0FC68D7012B44393A6D50D2FE287CC"/>
        <w:category>
          <w:name w:val="General"/>
          <w:gallery w:val="placeholder"/>
        </w:category>
        <w:types>
          <w:type w:val="bbPlcHdr"/>
        </w:types>
        <w:behaviors>
          <w:behavior w:val="content"/>
        </w:behaviors>
        <w:guid w:val="{753625CC-0932-A841-BF2D-AE5D647BE4FC}"/>
      </w:docPartPr>
      <w:docPartBody>
        <w:p w:rsidR="006C762B" w:rsidRDefault="00302C47" w:rsidP="00302C47">
          <w:pPr>
            <w:pStyle w:val="1C0FC68D7012B44393A6D50D2FE287CC"/>
          </w:pPr>
          <w:r w:rsidRPr="00AC7F25">
            <w:rPr>
              <w:rStyle w:val="PlaceholderText"/>
            </w:rPr>
            <w:t>Choose an item.</w:t>
          </w:r>
        </w:p>
      </w:docPartBody>
    </w:docPart>
    <w:docPart>
      <w:docPartPr>
        <w:name w:val="9AEB173F43B9FA43A88A058721E6BC6B"/>
        <w:category>
          <w:name w:val="General"/>
          <w:gallery w:val="placeholder"/>
        </w:category>
        <w:types>
          <w:type w:val="bbPlcHdr"/>
        </w:types>
        <w:behaviors>
          <w:behavior w:val="content"/>
        </w:behaviors>
        <w:guid w:val="{6753A715-C920-8846-B516-C6AF41942BA0}"/>
      </w:docPartPr>
      <w:docPartBody>
        <w:p w:rsidR="006C762B" w:rsidRDefault="00302C47" w:rsidP="00302C47">
          <w:pPr>
            <w:pStyle w:val="9AEB173F43B9FA43A88A058721E6BC6B"/>
          </w:pPr>
          <w:r w:rsidRPr="001F1C68">
            <w:rPr>
              <w:rStyle w:val="PlaceholderText"/>
            </w:rPr>
            <w:t>Click here to enter text.</w:t>
          </w:r>
        </w:p>
      </w:docPartBody>
    </w:docPart>
    <w:docPart>
      <w:docPartPr>
        <w:name w:val="A2691EAAE737894AB4E230CBF2FB82D8"/>
        <w:category>
          <w:name w:val="General"/>
          <w:gallery w:val="placeholder"/>
        </w:category>
        <w:types>
          <w:type w:val="bbPlcHdr"/>
        </w:types>
        <w:behaviors>
          <w:behavior w:val="content"/>
        </w:behaviors>
        <w:guid w:val="{6D57D8A7-7700-1840-8F96-DD3B81D55C0A}"/>
      </w:docPartPr>
      <w:docPartBody>
        <w:p w:rsidR="006C762B" w:rsidRDefault="00302C47" w:rsidP="00302C47">
          <w:pPr>
            <w:pStyle w:val="A2691EAAE737894AB4E230CBF2FB82D8"/>
          </w:pPr>
          <w:r w:rsidRPr="00AC7F25">
            <w:rPr>
              <w:rStyle w:val="PlaceholderText"/>
            </w:rPr>
            <w:t>Choose an item.</w:t>
          </w:r>
        </w:p>
      </w:docPartBody>
    </w:docPart>
    <w:docPart>
      <w:docPartPr>
        <w:name w:val="EDB7280384609945BAF70BC128984081"/>
        <w:category>
          <w:name w:val="General"/>
          <w:gallery w:val="placeholder"/>
        </w:category>
        <w:types>
          <w:type w:val="bbPlcHdr"/>
        </w:types>
        <w:behaviors>
          <w:behavior w:val="content"/>
        </w:behaviors>
        <w:guid w:val="{E3D9C1B7-26F4-F146-A790-C995306BE9A7}"/>
      </w:docPartPr>
      <w:docPartBody>
        <w:p w:rsidR="006C762B" w:rsidRDefault="00302C47" w:rsidP="00302C47">
          <w:pPr>
            <w:pStyle w:val="EDB7280384609945BAF70BC128984081"/>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Noto Sans Symbols">
    <w:altName w:val="Calibri"/>
    <w:panose1 w:val="020B0604020202020204"/>
    <w:charset w:val="00"/>
    <w:family w:val="swiss"/>
    <w:pitch w:val="variable"/>
    <w:sig w:usb0="E00002FF" w:usb1="4000001F" w:usb2="08000029"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C47"/>
    <w:rsid w:val="000245CF"/>
    <w:rsid w:val="00041EA6"/>
    <w:rsid w:val="000B345D"/>
    <w:rsid w:val="000C4F3C"/>
    <w:rsid w:val="000E6D36"/>
    <w:rsid w:val="001277EA"/>
    <w:rsid w:val="001D2BAF"/>
    <w:rsid w:val="001E1B73"/>
    <w:rsid w:val="00302C47"/>
    <w:rsid w:val="00310BDA"/>
    <w:rsid w:val="00325ACE"/>
    <w:rsid w:val="0038059A"/>
    <w:rsid w:val="003D7D2A"/>
    <w:rsid w:val="00491CBC"/>
    <w:rsid w:val="00510A26"/>
    <w:rsid w:val="00540F69"/>
    <w:rsid w:val="00565878"/>
    <w:rsid w:val="0059069E"/>
    <w:rsid w:val="005D4E71"/>
    <w:rsid w:val="00675FBC"/>
    <w:rsid w:val="006836A1"/>
    <w:rsid w:val="006C762B"/>
    <w:rsid w:val="006E7A29"/>
    <w:rsid w:val="00704540"/>
    <w:rsid w:val="00746074"/>
    <w:rsid w:val="007C316B"/>
    <w:rsid w:val="008A52A4"/>
    <w:rsid w:val="008E3AC3"/>
    <w:rsid w:val="008F1E93"/>
    <w:rsid w:val="00A93B2F"/>
    <w:rsid w:val="00AA429D"/>
    <w:rsid w:val="00AA510E"/>
    <w:rsid w:val="00AC4F65"/>
    <w:rsid w:val="00AD6CF2"/>
    <w:rsid w:val="00B9078F"/>
    <w:rsid w:val="00C041EE"/>
    <w:rsid w:val="00C513DE"/>
    <w:rsid w:val="00D02C68"/>
    <w:rsid w:val="00D3060D"/>
    <w:rsid w:val="00D931AD"/>
    <w:rsid w:val="00DB6FAC"/>
    <w:rsid w:val="00EA33BF"/>
    <w:rsid w:val="00EC17EC"/>
    <w:rsid w:val="00ED0FAB"/>
    <w:rsid w:val="00FE0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2C47"/>
    <w:rPr>
      <w:color w:val="808080"/>
    </w:rPr>
  </w:style>
  <w:style w:type="paragraph" w:customStyle="1" w:styleId="AA9461329F6C29478D80F792C32886AA">
    <w:name w:val="AA9461329F6C29478D80F792C32886AA"/>
    <w:rsid w:val="00302C47"/>
  </w:style>
  <w:style w:type="paragraph" w:customStyle="1" w:styleId="8C82F46DAAE31D42B38DF16828286AC0">
    <w:name w:val="8C82F46DAAE31D42B38DF16828286AC0"/>
    <w:rsid w:val="00302C47"/>
  </w:style>
  <w:style w:type="paragraph" w:customStyle="1" w:styleId="E3E0FEA7C1A5324E84D1A3772B62C28F">
    <w:name w:val="E3E0FEA7C1A5324E84D1A3772B62C28F"/>
    <w:rsid w:val="00302C47"/>
  </w:style>
  <w:style w:type="paragraph" w:customStyle="1" w:styleId="ADE0B5EB9F9B6B438C08BAF74CC17D46">
    <w:name w:val="ADE0B5EB9F9B6B438C08BAF74CC17D46"/>
    <w:rsid w:val="00302C47"/>
  </w:style>
  <w:style w:type="paragraph" w:customStyle="1" w:styleId="82BFBC4B1398894FBA98C562341D6330">
    <w:name w:val="82BFBC4B1398894FBA98C562341D6330"/>
    <w:rsid w:val="00302C47"/>
  </w:style>
  <w:style w:type="paragraph" w:customStyle="1" w:styleId="AB519BEB74477E4CAFD33F9090813EC7">
    <w:name w:val="AB519BEB74477E4CAFD33F9090813EC7"/>
    <w:rsid w:val="00302C47"/>
  </w:style>
  <w:style w:type="paragraph" w:customStyle="1" w:styleId="9195BF15C8037B4E941673879A3F5103">
    <w:name w:val="9195BF15C8037B4E941673879A3F5103"/>
    <w:rsid w:val="00302C47"/>
  </w:style>
  <w:style w:type="paragraph" w:customStyle="1" w:styleId="1C0FC68D7012B44393A6D50D2FE287CC">
    <w:name w:val="1C0FC68D7012B44393A6D50D2FE287CC"/>
    <w:rsid w:val="00302C47"/>
  </w:style>
  <w:style w:type="paragraph" w:customStyle="1" w:styleId="9AEB173F43B9FA43A88A058721E6BC6B">
    <w:name w:val="9AEB173F43B9FA43A88A058721E6BC6B"/>
    <w:rsid w:val="00302C47"/>
  </w:style>
  <w:style w:type="paragraph" w:customStyle="1" w:styleId="A2691EAAE737894AB4E230CBF2FB82D8">
    <w:name w:val="A2691EAAE737894AB4E230CBF2FB82D8"/>
    <w:rsid w:val="00302C47"/>
  </w:style>
  <w:style w:type="paragraph" w:customStyle="1" w:styleId="EDB7280384609945BAF70BC128984081">
    <w:name w:val="EDB7280384609945BAF70BC128984081"/>
    <w:rsid w:val="00302C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AFF55-0BB2-A949-98CB-D81393E5B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214</Pages>
  <Words>199253</Words>
  <Characters>1135746</Characters>
  <Application>Microsoft Office Word</Application>
  <DocSecurity>0</DocSecurity>
  <Lines>9464</Lines>
  <Paragraphs>2664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Gunay, Gokhan</dc:creator>
  <cp:keywords/>
  <dc:description/>
  <cp:lastModifiedBy>Gunay, Gokhan</cp:lastModifiedBy>
  <cp:revision>12</cp:revision>
  <dcterms:created xsi:type="dcterms:W3CDTF">2022-12-01T20:00:00Z</dcterms:created>
  <dcterms:modified xsi:type="dcterms:W3CDTF">2022-12-05T20:50:00Z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id="wiida5Bo"/&gt;&lt;style id="http://www.zotero.org/styles/nature" hasBibliography="1" bibliographyStyleHasBeenSet="1"/&gt;&lt;prefs&gt;&lt;pref name="fieldType" value="Field"/&gt;&lt;pref name="delayCitationUpdates" valu</vt:lpwstr>
  </property>
  <property fmtid="{D5CDD505-2E9C-101B-9397-08002B2CF9AE}" pid="3" name="ZOTERO_PREF_2">
    <vt:lpwstr>e="true"/&gt;&lt;pref name="dontAskDelayCitationUpdates" value="true"/&gt;&lt;/prefs&gt;&lt;/data&gt;</vt:lpwstr>
  </property>
</Properties>
</file>